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282FE" w14:textId="4758A733" w:rsidR="002768DD" w:rsidRDefault="002768DD" w:rsidP="002768DD">
      <w:pPr>
        <w:spacing w:after="160"/>
        <w:rPr>
          <w:b/>
          <w:bCs/>
          <w:color w:val="000000" w:themeColor="text1"/>
          <w:lang w:val="da-DK"/>
        </w:rPr>
      </w:pPr>
      <w:r>
        <w:rPr>
          <w:b/>
          <w:bCs/>
          <w:color w:val="000000" w:themeColor="text1"/>
          <w:lang w:val="da-DK"/>
        </w:rPr>
        <w:t>Supplementary table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09"/>
        <w:gridCol w:w="1944"/>
        <w:gridCol w:w="2336"/>
        <w:gridCol w:w="2337"/>
      </w:tblGrid>
      <w:tr w:rsidR="002768DD" w14:paraId="40897689" w14:textId="77777777" w:rsidTr="00013D2A">
        <w:tc>
          <w:tcPr>
            <w:tcW w:w="9628" w:type="dxa"/>
            <w:gridSpan w:val="4"/>
            <w:tcBorders>
              <w:bottom w:val="single" w:sz="18" w:space="0" w:color="auto"/>
            </w:tcBorders>
          </w:tcPr>
          <w:p w14:paraId="3EB8545E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Supplementary Table</w:t>
            </w:r>
            <w:r>
              <w:rPr>
                <w:rFonts w:ascii="Arial Unicode MS" w:cs="Arial Unicode MS"/>
                <w:b/>
                <w:bCs/>
                <w:color w:val="000000" w:themeColor="text1"/>
              </w:rPr>
              <w:t> </w:t>
            </w:r>
            <w:r>
              <w:rPr>
                <w:rFonts w:ascii="Arial Unicode MS" w:cs="Arial Unicode MS"/>
                <w:b/>
                <w:bCs/>
                <w:color w:val="000000" w:themeColor="text1"/>
              </w:rPr>
              <w:t>1.</w:t>
            </w:r>
            <w:r>
              <w:rPr>
                <w:rFonts w:ascii="Arial Unicode MS" w:cs="Arial Unicode MS"/>
                <w:color w:val="000000" w:themeColor="text1"/>
              </w:rPr>
              <w:t xml:space="preserve"> The standardized absolute risk of recurrence used in the manuscript. </w:t>
            </w:r>
          </w:p>
        </w:tc>
      </w:tr>
      <w:tr w:rsidR="002768DD" w14:paraId="2C9B6EF0" w14:textId="77777777" w:rsidTr="00013D2A">
        <w:tc>
          <w:tcPr>
            <w:tcW w:w="2591" w:type="dxa"/>
            <w:tcBorders>
              <w:top w:val="single" w:sz="18" w:space="0" w:color="auto"/>
              <w:right w:val="single" w:sz="18" w:space="0" w:color="auto"/>
            </w:tcBorders>
          </w:tcPr>
          <w:p w14:paraId="74953E2F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</w:tcBorders>
          </w:tcPr>
          <w:p w14:paraId="1C7F77CE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Standard Population</w:t>
            </w:r>
          </w:p>
        </w:tc>
        <w:tc>
          <w:tcPr>
            <w:tcW w:w="2488" w:type="dxa"/>
            <w:tcBorders>
              <w:top w:val="single" w:sz="18" w:space="0" w:color="auto"/>
            </w:tcBorders>
          </w:tcPr>
          <w:p w14:paraId="6123CE82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5-years standardized recurrence risk (95% CI)</w:t>
            </w:r>
          </w:p>
        </w:tc>
        <w:tc>
          <w:tcPr>
            <w:tcW w:w="2489" w:type="dxa"/>
            <w:tcBorders>
              <w:top w:val="single" w:sz="18" w:space="0" w:color="auto"/>
            </w:tcBorders>
          </w:tcPr>
          <w:p w14:paraId="35B645AB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10-years standardized recurrence risk (95% CI)</w:t>
            </w:r>
          </w:p>
        </w:tc>
      </w:tr>
      <w:tr w:rsidR="002768DD" w14:paraId="516BA05F" w14:textId="77777777" w:rsidTr="00013D2A">
        <w:tc>
          <w:tcPr>
            <w:tcW w:w="2591" w:type="dxa"/>
            <w:tcBorders>
              <w:right w:val="single" w:sz="18" w:space="0" w:color="auto"/>
            </w:tcBorders>
          </w:tcPr>
          <w:p w14:paraId="61FBC168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Comparison 1</w:t>
            </w:r>
          </w:p>
          <w:p w14:paraId="123792EB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Calendar Time-Group</w:t>
            </w:r>
          </w:p>
        </w:tc>
        <w:tc>
          <w:tcPr>
            <w:tcW w:w="2060" w:type="dxa"/>
            <w:tcBorders>
              <w:left w:val="single" w:sz="18" w:space="0" w:color="auto"/>
            </w:tcBorders>
          </w:tcPr>
          <w:p w14:paraId="790BF691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Diagnosed between 2008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2012</w:t>
            </w:r>
          </w:p>
        </w:tc>
        <w:tc>
          <w:tcPr>
            <w:tcW w:w="2488" w:type="dxa"/>
          </w:tcPr>
          <w:p w14:paraId="5AFF1787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10.2% (8.1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12.4)</w:t>
            </w:r>
          </w:p>
        </w:tc>
        <w:tc>
          <w:tcPr>
            <w:tcW w:w="2489" w:type="dxa"/>
          </w:tcPr>
          <w:p w14:paraId="073683D1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33.6% (27.6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39.7)</w:t>
            </w:r>
          </w:p>
        </w:tc>
      </w:tr>
      <w:tr w:rsidR="002768DD" w14:paraId="474F9ACF" w14:textId="77777777" w:rsidTr="00013D2A">
        <w:tc>
          <w:tcPr>
            <w:tcW w:w="2591" w:type="dxa"/>
            <w:tcBorders>
              <w:right w:val="single" w:sz="18" w:space="0" w:color="auto"/>
            </w:tcBorders>
          </w:tcPr>
          <w:p w14:paraId="28F4463D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Comparison 2</w:t>
            </w:r>
          </w:p>
          <w:p w14:paraId="3E3750F3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WHO Classification Edition</w:t>
            </w:r>
          </w:p>
          <w:p w14:paraId="6B295C5B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</w:p>
        </w:tc>
        <w:tc>
          <w:tcPr>
            <w:tcW w:w="2060" w:type="dxa"/>
            <w:tcBorders>
              <w:left w:val="single" w:sz="18" w:space="0" w:color="auto"/>
            </w:tcBorders>
          </w:tcPr>
          <w:p w14:paraId="2CC90659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2007 edition</w:t>
            </w:r>
          </w:p>
        </w:tc>
        <w:tc>
          <w:tcPr>
            <w:tcW w:w="2488" w:type="dxa"/>
          </w:tcPr>
          <w:p w14:paraId="37053E67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WHO-1</w:t>
            </w:r>
          </w:p>
          <w:p w14:paraId="5F37C67D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10.9% (9.1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12.7)</w:t>
            </w:r>
          </w:p>
          <w:p w14:paraId="79C697C7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WHO-2</w:t>
            </w:r>
          </w:p>
          <w:p w14:paraId="52B99C7C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33.3% (27.8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38.7)</w:t>
            </w:r>
          </w:p>
        </w:tc>
        <w:tc>
          <w:tcPr>
            <w:tcW w:w="2489" w:type="dxa"/>
          </w:tcPr>
          <w:p w14:paraId="35B5302B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WHO-1</w:t>
            </w:r>
          </w:p>
          <w:p w14:paraId="0305A36A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27.3% (23.3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31.3)</w:t>
            </w:r>
          </w:p>
          <w:p w14:paraId="0A5AB90E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WHO-2</w:t>
            </w:r>
          </w:p>
          <w:p w14:paraId="557A139F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48.1% (42.7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53.5%)</w:t>
            </w:r>
          </w:p>
        </w:tc>
      </w:tr>
      <w:tr w:rsidR="002768DD" w14:paraId="548906FF" w14:textId="77777777" w:rsidTr="00013D2A">
        <w:tc>
          <w:tcPr>
            <w:tcW w:w="2591" w:type="dxa"/>
            <w:tcBorders>
              <w:right w:val="single" w:sz="18" w:space="0" w:color="auto"/>
            </w:tcBorders>
          </w:tcPr>
          <w:p w14:paraId="53F2E2DF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Comparison 3</w:t>
            </w:r>
          </w:p>
          <w:p w14:paraId="27F65F87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Geographical Setting</w:t>
            </w:r>
          </w:p>
        </w:tc>
        <w:tc>
          <w:tcPr>
            <w:tcW w:w="2060" w:type="dxa"/>
            <w:tcBorders>
              <w:left w:val="single" w:sz="18" w:space="0" w:color="auto"/>
            </w:tcBorders>
          </w:tcPr>
          <w:p w14:paraId="31BB81B4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Geneva Cohort</w:t>
            </w:r>
          </w:p>
        </w:tc>
        <w:tc>
          <w:tcPr>
            <w:tcW w:w="2488" w:type="dxa"/>
          </w:tcPr>
          <w:p w14:paraId="016BB10F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7.1% (4.1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101.1)</w:t>
            </w:r>
          </w:p>
        </w:tc>
        <w:tc>
          <w:tcPr>
            <w:tcW w:w="2489" w:type="dxa"/>
          </w:tcPr>
          <w:p w14:paraId="1B7437AF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32.8% (20.5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45.0)</w:t>
            </w:r>
          </w:p>
        </w:tc>
      </w:tr>
      <w:tr w:rsidR="002768DD" w14:paraId="1198CB22" w14:textId="77777777" w:rsidTr="00013D2A">
        <w:tc>
          <w:tcPr>
            <w:tcW w:w="2591" w:type="dxa"/>
            <w:tcBorders>
              <w:right w:val="single" w:sz="18" w:space="0" w:color="auto"/>
            </w:tcBorders>
          </w:tcPr>
          <w:p w14:paraId="27DE427C" w14:textId="77777777" w:rsidR="002768DD" w:rsidRDefault="002768DD" w:rsidP="00013D2A">
            <w:pPr>
              <w:spacing w:after="160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</w:rPr>
              <w:t>Comparison 4</w:t>
            </w:r>
          </w:p>
          <w:p w14:paraId="14A9691D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Healthcare System</w:t>
            </w:r>
          </w:p>
        </w:tc>
        <w:tc>
          <w:tcPr>
            <w:tcW w:w="2060" w:type="dxa"/>
            <w:tcBorders>
              <w:left w:val="single" w:sz="18" w:space="0" w:color="auto"/>
            </w:tcBorders>
          </w:tcPr>
          <w:p w14:paraId="42323DC0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Social insurance-funded healthcare system</w:t>
            </w:r>
          </w:p>
        </w:tc>
        <w:tc>
          <w:tcPr>
            <w:tcW w:w="2488" w:type="dxa"/>
          </w:tcPr>
          <w:p w14:paraId="1C77BBC7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14.5% (12.7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16.2)</w:t>
            </w:r>
          </w:p>
        </w:tc>
        <w:tc>
          <w:tcPr>
            <w:tcW w:w="2489" w:type="dxa"/>
          </w:tcPr>
          <w:p w14:paraId="386B90A5" w14:textId="77777777" w:rsidR="002768DD" w:rsidRDefault="002768DD" w:rsidP="00013D2A">
            <w:pPr>
              <w:spacing w:after="160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</w:rPr>
              <w:t>35.0% (29.6</w:t>
            </w:r>
            <w:r>
              <w:rPr>
                <w:rFonts w:ascii="Arial Unicode MS" w:cs="Arial Unicode MS"/>
                <w:color w:val="000000" w:themeColor="text1"/>
              </w:rPr>
              <w:t>–</w:t>
            </w:r>
            <w:r>
              <w:rPr>
                <w:rFonts w:ascii="Arial Unicode MS" w:cs="Arial Unicode MS"/>
                <w:color w:val="000000" w:themeColor="text1"/>
              </w:rPr>
              <w:t>40.4)</w:t>
            </w:r>
          </w:p>
        </w:tc>
      </w:tr>
    </w:tbl>
    <w:p w14:paraId="2DB58BE1" w14:textId="77777777" w:rsidR="002768DD" w:rsidRDefault="002768DD" w:rsidP="002768DD"/>
    <w:p w14:paraId="28A55347" w14:textId="77777777" w:rsidR="00BA6B60" w:rsidRDefault="00BA6B60"/>
    <w:sectPr w:rsidR="00BA6B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DD"/>
    <w:rsid w:val="002768DD"/>
    <w:rsid w:val="00816D9B"/>
    <w:rsid w:val="008D3025"/>
    <w:rsid w:val="00AE41EB"/>
    <w:rsid w:val="00B230BE"/>
    <w:rsid w:val="00BA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19AE1"/>
  <w15:chartTrackingRefBased/>
  <w15:docId w15:val="{99EFA92A-6F72-4225-AF99-A66E5EF5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8DD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Lingeshwar Sundaramoorthi (Integra)</dc:creator>
  <cp:keywords/>
  <dc:description/>
  <cp:lastModifiedBy>Lingeshwar Sundaramoorthi (Integra)</cp:lastModifiedBy>
  <cp:revision>1</cp:revision>
  <dcterms:created xsi:type="dcterms:W3CDTF">2026-08-06T11:03:00Z</dcterms:created>
  <dcterms:modified xsi:type="dcterms:W3CDTF">2026-08-06T11:03:00Z</dcterms:modified>
</cp:coreProperties>
</file>