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20DCF0" w14:textId="77777777" w:rsidR="007A2BE4" w:rsidRDefault="00000000">
      <w:pPr>
        <w:pStyle w:val="Heading2"/>
      </w:pPr>
      <w:r>
        <w:t>Figure S1. Participant flow</w:t>
      </w:r>
    </w:p>
    <w:p w14:paraId="31C8AE1E" w14:textId="77777777" w:rsidR="007A2BE4" w:rsidRDefault="00000000">
      <w:r>
        <w:rPr>
          <w:noProof/>
        </w:rPr>
        <w:drawing>
          <wp:inline distT="0" distB="0" distL="0" distR="0" wp14:anchorId="436470F1" wp14:editId="7F4D9747">
            <wp:extent cx="5486400" cy="5486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CC80F3" w14:textId="77777777" w:rsidR="007A2BE4" w:rsidRDefault="007A2BE4"/>
    <w:p w14:paraId="127BD222" w14:textId="77777777" w:rsidR="007A2BE4" w:rsidRDefault="00000000">
      <w:r>
        <w:t>Screening, exclusions, and pathway assignment. Analytic cohort n = 166 (urgent 122, scheduled 44). The scheduled arm comprises 40 patients who underwent surgery as planned and 4 who required earlier unplanned resection.</w:t>
      </w:r>
    </w:p>
    <w:p w14:paraId="101B0D01" w14:textId="77777777" w:rsidR="007A2BE4" w:rsidRDefault="00000000">
      <w:pPr>
        <w:pStyle w:val="Heading2"/>
      </w:pPr>
      <w:r>
        <w:t>Table S1. Pathway effect on overall survival: primary and prespecified sensitivity analyses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5025"/>
        <w:gridCol w:w="1081"/>
        <w:gridCol w:w="1836"/>
        <w:gridCol w:w="2210"/>
        <w:gridCol w:w="816"/>
      </w:tblGrid>
      <w:tr w:rsidR="007A2BE4" w14:paraId="3C0961A6" w14:textId="77777777">
        <w:trPr>
          <w:tblHeader/>
          <w:jc w:val="center"/>
        </w:trPr>
        <w:tc>
          <w:tcPr>
            <w:tcW w:w="5025" w:type="dxa"/>
            <w:tcBorders>
              <w:top w:val="single" w:sz="8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E898B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Analysis</w:t>
            </w:r>
          </w:p>
        </w:tc>
        <w:tc>
          <w:tcPr>
            <w:tcW w:w="1081" w:type="dxa"/>
            <w:tcBorders>
              <w:top w:val="single" w:sz="8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FA3D1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Patients / deaths</w:t>
            </w:r>
            <w:proofErr w:type="spellEnd"/>
          </w:p>
        </w:tc>
        <w:tc>
          <w:tcPr>
            <w:tcW w:w="1836" w:type="dxa"/>
            <w:tcBorders>
              <w:top w:val="single" w:sz="8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C483E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Scale</w:t>
            </w:r>
          </w:p>
        </w:tc>
        <w:tc>
          <w:tcPr>
            <w:tcW w:w="2210" w:type="dxa"/>
            <w:tcBorders>
              <w:top w:val="single" w:sz="8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C38A9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Estimate (95% CI)</w:t>
            </w:r>
          </w:p>
        </w:tc>
        <w:tc>
          <w:tcPr>
            <w:tcW w:w="816" w:type="dxa"/>
            <w:tcBorders>
              <w:top w:val="single" w:sz="8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65F79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</w:t>
            </w:r>
          </w:p>
        </w:tc>
      </w:tr>
      <w:tr w:rsidR="007A2BE4" w14:paraId="2AF4DA2B" w14:textId="77777777">
        <w:trPr>
          <w:jc w:val="center"/>
        </w:trPr>
        <w:tc>
          <w:tcPr>
            <w:tcW w:w="5025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3FC17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Kaplan–Meier, log-rank (primary)</w:t>
            </w:r>
          </w:p>
        </w:tc>
        <w:tc>
          <w:tcPr>
            <w:tcW w:w="1081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ACF95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166 / 94</w:t>
            </w:r>
          </w:p>
        </w:tc>
        <w:tc>
          <w:tcPr>
            <w:tcW w:w="1836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A36B4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Median OS, months</w:t>
            </w:r>
          </w:p>
        </w:tc>
        <w:tc>
          <w:tcPr>
            <w:tcW w:w="221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1A4B5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15.4 vs 19.0</w:t>
            </w:r>
          </w:p>
        </w:tc>
        <w:tc>
          <w:tcPr>
            <w:tcW w:w="816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888CC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0.758</w:t>
            </w:r>
          </w:p>
        </w:tc>
      </w:tr>
      <w:tr w:rsidR="007A2BE4" w14:paraId="6130E1AF" w14:textId="77777777">
        <w:trPr>
          <w:jc w:val="center"/>
        </w:trPr>
        <w:tc>
          <w:tcPr>
            <w:tcW w:w="50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27838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Crude Cox model</w:t>
            </w:r>
          </w:p>
        </w:tc>
        <w:tc>
          <w:tcPr>
            <w:tcW w:w="10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AB297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166 / 94</w:t>
            </w:r>
          </w:p>
        </w:tc>
        <w:tc>
          <w:tcPr>
            <w:tcW w:w="1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2382E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HR</w:t>
            </w:r>
          </w:p>
        </w:tc>
        <w:tc>
          <w:tcPr>
            <w:tcW w:w="22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1F0CA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1.08 (0.68–1.72)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F3214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0.758</w:t>
            </w:r>
          </w:p>
        </w:tc>
      </w:tr>
      <w:tr w:rsidR="007A2BE4" w14:paraId="579E8BA0" w14:textId="77777777">
        <w:trPr>
          <w:jc w:val="center"/>
        </w:trPr>
        <w:tc>
          <w:tcPr>
            <w:tcW w:w="50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B7FEC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Adjusted Cox model</w:t>
            </w:r>
          </w:p>
        </w:tc>
        <w:tc>
          <w:tcPr>
            <w:tcW w:w="10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72693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 / 88</w:t>
            </w:r>
          </w:p>
        </w:tc>
        <w:tc>
          <w:tcPr>
            <w:tcW w:w="1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FA4D4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HR</w:t>
            </w:r>
          </w:p>
        </w:tc>
        <w:tc>
          <w:tcPr>
            <w:tcW w:w="22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3212D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0.64 (0.38–1.10)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C6BC0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0.105</w:t>
            </w:r>
          </w:p>
        </w:tc>
      </w:tr>
      <w:tr w:rsidR="007A2BE4" w14:paraId="34BB3B30" w14:textId="77777777">
        <w:trPr>
          <w:jc w:val="center"/>
        </w:trPr>
        <w:tc>
          <w:tcPr>
            <w:tcW w:w="50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5D8FB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Per-protocol (crossovers reclassified as urgent)</w:t>
            </w:r>
          </w:p>
        </w:tc>
        <w:tc>
          <w:tcPr>
            <w:tcW w:w="10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2147C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 / 88</w:t>
            </w:r>
          </w:p>
        </w:tc>
        <w:tc>
          <w:tcPr>
            <w:tcW w:w="1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8CA44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HR</w:t>
            </w:r>
          </w:p>
        </w:tc>
        <w:tc>
          <w:tcPr>
            <w:tcW w:w="22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457DD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0.77 (0.43–1.38)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B85DD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0.384</w:t>
            </w:r>
          </w:p>
        </w:tc>
      </w:tr>
      <w:tr w:rsidR="007A2BE4" w14:paraId="0E138FA5" w14:textId="77777777">
        <w:trPr>
          <w:jc w:val="center"/>
        </w:trPr>
        <w:tc>
          <w:tcPr>
            <w:tcW w:w="50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A7A5B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WHO grade 4 only</w:t>
            </w:r>
          </w:p>
        </w:tc>
        <w:tc>
          <w:tcPr>
            <w:tcW w:w="10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4A757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144 / 86</w:t>
            </w:r>
          </w:p>
        </w:tc>
        <w:tc>
          <w:tcPr>
            <w:tcW w:w="1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46384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HR</w:t>
            </w:r>
          </w:p>
        </w:tc>
        <w:tc>
          <w:tcPr>
            <w:tcW w:w="22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A6730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0.64 (0.37–1.10)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58B07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0.107</w:t>
            </w:r>
          </w:p>
        </w:tc>
      </w:tr>
      <w:tr w:rsidR="007A2BE4" w14:paraId="041F28D7" w14:textId="77777777">
        <w:trPr>
          <w:jc w:val="center"/>
        </w:trPr>
        <w:tc>
          <w:tcPr>
            <w:tcW w:w="50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A6969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Diagnosis-anchored (left-truncated)</w:t>
            </w:r>
          </w:p>
        </w:tc>
        <w:tc>
          <w:tcPr>
            <w:tcW w:w="10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AAB06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 / 88</w:t>
            </w:r>
          </w:p>
        </w:tc>
        <w:tc>
          <w:tcPr>
            <w:tcW w:w="1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FE2C4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HR</w:t>
            </w:r>
          </w:p>
        </w:tc>
        <w:tc>
          <w:tcPr>
            <w:tcW w:w="22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B4E06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0.67 (0.39–1.14)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D0754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0.137</w:t>
            </w:r>
          </w:p>
        </w:tc>
      </w:tr>
      <w:tr w:rsidR="007A2BE4" w14:paraId="6820861C" w14:textId="77777777">
        <w:trPr>
          <w:jc w:val="center"/>
        </w:trPr>
        <w:tc>
          <w:tcPr>
            <w:tcW w:w="50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15F3C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Adjusted RMST difference at 24 months</w:t>
            </w:r>
            <w:proofErr w:type="spellStart"/>
            <w:proofErr w:type="spellEnd"/>
          </w:p>
        </w:tc>
        <w:tc>
          <w:tcPr>
            <w:tcW w:w="10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F6880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 / 88</w:t>
            </w:r>
          </w:p>
        </w:tc>
        <w:tc>
          <w:tcPr>
            <w:tcW w:w="1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8B8F6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months</w:t>
            </w:r>
          </w:p>
        </w:tc>
        <w:tc>
          <w:tcPr>
            <w:tcW w:w="22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C93A0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+0.34 (−2.48 to +3.17)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84E4D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0.813</w:t>
            </w:r>
          </w:p>
        </w:tc>
      </w:tr>
    </w:tbl>
    <w:p w14:paraId="426AE7D3" w14:textId="77777777" w:rsidR="007A2BE4" w:rsidRDefault="007A2BE4"/>
    <w:p w14:paraId="1A4C63A5" w14:textId="77777777" w:rsidR="007A2BE4" w:rsidRDefault="00000000">
      <w:r>
        <w:t>HR, hazard ratio (urgent versus scheduled); values below 1 indicate lower hazard in the urgent group. Adjusted models include age, KPS, extent of resection, and MGMT methylation, with baseline hazard stratified by IDH status; no IDH-mutant patient died, so an IDH hazard ratio was not estimable. Adjusted analyses are complete-case (MGMT untested in 12 patients). The per-protocol analysis reclassified the four scheduled patients who required earlier surgery as urgent. The diagnosis-anchored model measured survival from diagnosis with left truncation at surgery. RMST, restricted mean survival time to 24 months (urgent minus scheduled, months), estimated by regression on jackknife pseudo-observations with robust (HC3) standard errors, adjusted for the same covariates. p values are not adjusted for multiplicity. KPS, Karnofsky Performance Status; OS, overall survival.</w:t>
      </w:r>
    </w:p>
    <w:p w14:paraId="7F976A2F" w14:textId="77777777" w:rsidR="007A2BE4" w:rsidRDefault="00000000">
      <w:r>
        <w:br w:type="page"/>
      </w:r>
    </w:p>
    <w:p w14:paraId="1931DCA1" w14:textId="1B692B4A" w:rsidR="007A2BE4" w:rsidRDefault="00000000">
      <w:pPr>
        <w:pStyle w:val="Heading2"/>
      </w:pPr>
      <w:r>
        <w:t>Table S2. Adjusted and overlap-weighted estimates for complications and healthcare utilization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2250"/>
        <w:gridCol w:w="1710"/>
        <w:gridCol w:w="2390"/>
        <w:gridCol w:w="2210"/>
      </w:tblGrid>
      <w:tr w:rsidR="007A2BE4" w14:paraId="37FA615C" w14:textId="77777777">
        <w:trPr>
          <w:tblHeader/>
          <w:jc w:val="center"/>
        </w:trPr>
        <w:tc>
          <w:tcPr>
            <w:tcW w:w="2250" w:type="dxa"/>
            <w:tcBorders>
              <w:top w:val="single" w:sz="8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9D5B2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Outcome</w:t>
            </w:r>
          </w:p>
        </w:tc>
        <w:tc>
          <w:tcPr>
            <w:tcW w:w="1710" w:type="dxa"/>
            <w:tcBorders>
              <w:top w:val="single" w:sz="8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7D2E6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Analysis</w:t>
            </w:r>
          </w:p>
        </w:tc>
        <w:tc>
          <w:tcPr>
            <w:tcW w:w="2390" w:type="dxa"/>
            <w:tcBorders>
              <w:top w:val="single" w:sz="8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2951B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Scale</w:t>
            </w:r>
          </w:p>
        </w:tc>
        <w:tc>
          <w:tcPr>
            <w:tcW w:w="2210" w:type="dxa"/>
            <w:tcBorders>
              <w:top w:val="single" w:sz="8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ECE3A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Estimate (95% CI)</w:t>
            </w:r>
          </w:p>
        </w:tc>
      </w:tr>
      <w:tr w:rsidR="007A2BE4" w14:paraId="41B7E0FF" w14:textId="77777777">
        <w:trPr>
          <w:jc w:val="center"/>
        </w:trPr>
        <w:tc>
          <w:tcPr>
            <w:tcW w:w="225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5E9EE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Index length of stay</w:t>
            </w:r>
          </w:p>
        </w:tc>
        <w:tc>
          <w:tcPr>
            <w:tcW w:w="171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C0B55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Adjusted</w:t>
            </w:r>
          </w:p>
        </w:tc>
        <w:tc>
          <w:tcPr>
            <w:tcW w:w="239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B7461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rate ratio</w:t>
            </w:r>
          </w:p>
        </w:tc>
        <w:tc>
          <w:tcPr>
            <w:tcW w:w="221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C5F11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2.30 (1.85–2.86)</w:t>
            </w:r>
          </w:p>
        </w:tc>
      </w:tr>
      <w:tr w:rsidR="007A2BE4" w14:paraId="65B7A6B7" w14:textId="77777777">
        <w:trPr>
          <w:jc w:val="center"/>
        </w:trPr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F7DF6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Index length of stay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032B8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Overlap-weighted</w:t>
            </w:r>
          </w:p>
        </w:tc>
        <w:tc>
          <w:tcPr>
            <w:tcW w:w="23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662FC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difference in means, days</w:t>
            </w:r>
          </w:p>
        </w:tc>
        <w:tc>
          <w:tcPr>
            <w:tcW w:w="22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0227C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 (3.4–5.8)</w:t>
            </w:r>
          </w:p>
        </w:tc>
      </w:tr>
      <w:tr w:rsidR="007A2BE4" w14:paraId="372A75D2" w14:textId="77777777">
        <w:trPr>
          <w:jc w:val="center"/>
        </w:trPr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3B91C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DAH-30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13FF6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Adjusted</w:t>
            </w:r>
          </w:p>
        </w:tc>
        <w:tc>
          <w:tcPr>
            <w:tcW w:w="23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FA393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difference in medians, days</w:t>
            </w:r>
          </w:p>
        </w:tc>
        <w:tc>
          <w:tcPr>
            <w:tcW w:w="22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304C3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−8.9 (−12.9 to −4.8)</w:t>
            </w:r>
          </w:p>
        </w:tc>
      </w:tr>
      <w:tr w:rsidR="007A2BE4" w14:paraId="4105A99B" w14:textId="77777777">
        <w:trPr>
          <w:jc w:val="center"/>
        </w:trPr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6CFFA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DAH-30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5B019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Overlap-weighted</w:t>
            </w:r>
          </w:p>
        </w:tc>
        <w:tc>
          <w:tcPr>
            <w:tcW w:w="23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14F60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difference in means, days</w:t>
            </w:r>
          </w:p>
        </w:tc>
        <w:tc>
          <w:tcPr>
            <w:tcW w:w="22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EFABA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−7.6 (−10.8 to −4.3)</w:t>
            </w:r>
          </w:p>
        </w:tc>
      </w:tr>
      <w:tr w:rsidR="007A2BE4" w14:paraId="05387483" w14:textId="77777777">
        <w:trPr>
          <w:jc w:val="center"/>
        </w:trPr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878B4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Non-home discharge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B3941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Adjusted</w:t>
            </w:r>
          </w:p>
        </w:tc>
        <w:tc>
          <w:tcPr>
            <w:tcW w:w="23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03E5D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odds ratio</w:t>
            </w:r>
          </w:p>
        </w:tc>
        <w:tc>
          <w:tcPr>
            <w:tcW w:w="22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56820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2.25 (1.00–5.06)</w:t>
            </w:r>
          </w:p>
        </w:tc>
      </w:tr>
      <w:tr w:rsidR="007A2BE4" w14:paraId="566B4161" w14:textId="77777777">
        <w:trPr>
          <w:jc w:val="center"/>
        </w:trPr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A73BE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Non-home discharge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73C08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Overlap-weighted</w:t>
            </w:r>
          </w:p>
        </w:tc>
        <w:tc>
          <w:tcPr>
            <w:tcW w:w="23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6C9FD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odds ratio</w:t>
            </w:r>
          </w:p>
        </w:tc>
        <w:tc>
          <w:tcPr>
            <w:tcW w:w="22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FA28A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1.71 (0.75–3.90)</w:t>
            </w:r>
          </w:p>
        </w:tc>
      </w:tr>
      <w:tr w:rsidR="007A2BE4" w14:paraId="0532D43A" w14:textId="77777777">
        <w:trPr>
          <w:jc w:val="center"/>
        </w:trPr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7F762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Any 30-day complication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A5FF1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Adjusted</w:t>
            </w:r>
          </w:p>
        </w:tc>
        <w:tc>
          <w:tcPr>
            <w:tcW w:w="23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F6543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odds ratio (Firth)</w:t>
            </w:r>
          </w:p>
        </w:tc>
        <w:tc>
          <w:tcPr>
            <w:tcW w:w="22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C8479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1.15 (0.52–2.62)</w:t>
            </w:r>
          </w:p>
        </w:tc>
      </w:tr>
      <w:tr w:rsidR="007A2BE4" w14:paraId="4B45974B" w14:textId="77777777">
        <w:trPr>
          <w:jc w:val="center"/>
        </w:trPr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46660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Any 30-day complication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83848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Overlap-weighted</w:t>
            </w:r>
          </w:p>
        </w:tc>
        <w:tc>
          <w:tcPr>
            <w:tcW w:w="2390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3FFF8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odds ratio</w:t>
            </w:r>
          </w:p>
        </w:tc>
        <w:tc>
          <w:tcPr>
            <w:tcW w:w="2210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F9074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1.03 (0.45–2.36)</w:t>
            </w:r>
          </w:p>
        </w:tc>
      </w:tr>
    </w:tbl>
    <w:p w14:paraId="47C9FA54" w14:textId="77777777" w:rsidR="007A2BE4" w:rsidRDefault="007A2BE4"/>
    <w:p w14:paraId="2A953971" w14:textId="77777777" w:rsidR="007A2BE4" w:rsidRDefault="00000000">
      <w:r>
        <w:t>All estimates compare urgent with scheduled patients; for these adverse outcomes, ratios above 1, longer stays, and fewer days at home indicate less favorable values in the urgent group. Adjusted models: any 30-day complication, Firth-penalized logistic regression (age, KPS, tumor diameter, mFI-5, eloquent location); non-home discharge, logistic regression (age, KPS, mFI-5); index LOS, negative binomial regression (age, KPS, tumor diameter, mFI-5); DAH-30, median regression with bootstrap standard errors (2,000 replicates; age, KPS, tumor diameter, mFI-5, ASA IV). Overlap-weighted estimates use propensity-score overlap weights from a logistic model including age, KPS, tumor diameter, mFI-5, midline shift, and ASA IV. The adjusted and overlap-weighted DAH-30 rows estimate a difference in medians and in means, respectively. ASA, American Society of Anesthesiologists; DAH-30, days alive and at home within 30 days; KPS, Karnofsky Performance Status; LOS, length of stay; mFI-5, 5-item modified frailty index.</w:t>
      </w:r>
    </w:p>
    <w:p w14:paraId="6ED18495" w14:textId="77777777" w:rsidR="007A2BE4" w:rsidRDefault="00000000">
      <w:pPr>
        <w:pStyle w:val="Heading2"/>
      </w:pPr>
      <w:r>
        <w:t>Table S3. Proportional-hazards diagnostics for the adjusted Cox models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2225"/>
        <w:gridCol w:w="1770"/>
        <w:gridCol w:w="1251"/>
        <w:gridCol w:w="571"/>
        <w:gridCol w:w="917"/>
      </w:tblGrid>
      <w:tr w:rsidR="007A2BE4" w14:paraId="47E2DCBD" w14:textId="77777777">
        <w:trPr>
          <w:tblHeader/>
          <w:jc w:val="center"/>
        </w:trPr>
        <w:tc>
          <w:tcPr>
            <w:tcW w:w="2225" w:type="dxa"/>
            <w:tcBorders>
              <w:top w:val="single" w:sz="8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83D8A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770" w:type="dxa"/>
            <w:tcBorders>
              <w:top w:val="single" w:sz="8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DC93F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Term</w:t>
            </w:r>
          </w:p>
        </w:tc>
        <w:tc>
          <w:tcPr>
            <w:tcW w:w="1251" w:type="dxa"/>
            <w:tcBorders>
              <w:top w:val="single" w:sz="8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E684D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χ²</w:t>
            </w:r>
            <w:proofErr w:type="spellEnd"/>
          </w:p>
        </w:tc>
        <w:tc>
          <w:tcPr>
            <w:tcW w:w="571" w:type="dxa"/>
            <w:tcBorders>
              <w:top w:val="single" w:sz="8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439D3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917" w:type="dxa"/>
            <w:tcBorders>
              <w:top w:val="single" w:sz="8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B240E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</w:t>
            </w:r>
          </w:p>
        </w:tc>
      </w:tr>
      <w:tr w:rsidR="007A2BE4" w14:paraId="6D1DAE6E" w14:textId="77777777">
        <w:trPr>
          <w:jc w:val="center"/>
        </w:trPr>
        <w:tc>
          <w:tcPr>
            <w:tcW w:w="2225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B2C94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Overall survival</w:t>
            </w:r>
          </w:p>
        </w:tc>
        <w:tc>
          <w:tcPr>
            <w:tcW w:w="177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A1584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Pathway</w:t>
            </w:r>
          </w:p>
        </w:tc>
        <w:tc>
          <w:tcPr>
            <w:tcW w:w="1251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82413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2.613</w:t>
            </w:r>
          </w:p>
        </w:tc>
        <w:tc>
          <w:tcPr>
            <w:tcW w:w="571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CAC72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7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04617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0.106</w:t>
            </w:r>
          </w:p>
        </w:tc>
      </w:tr>
      <w:tr w:rsidR="007A2BE4" w14:paraId="19E6B61F" w14:textId="77777777">
        <w:trPr>
          <w:jc w:val="center"/>
        </w:trPr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99624" w14:textId="77777777" w:rsidR="007A2BE4" w:rsidRDefault="007A2BE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1B760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2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49E9C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1.643</w:t>
            </w:r>
          </w:p>
        </w:tc>
        <w:tc>
          <w:tcPr>
            <w:tcW w:w="5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5C47B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F5543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0.200</w:t>
            </w:r>
          </w:p>
        </w:tc>
      </w:tr>
      <w:tr w:rsidR="007A2BE4" w14:paraId="17733496" w14:textId="77777777">
        <w:trPr>
          <w:jc w:val="center"/>
        </w:trPr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58161" w14:textId="77777777" w:rsidR="007A2BE4" w:rsidRDefault="007A2BE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12FF7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KPS</w:t>
            </w:r>
          </w:p>
        </w:tc>
        <w:tc>
          <w:tcPr>
            <w:tcW w:w="12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A0CBE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13.491</w:t>
            </w:r>
          </w:p>
        </w:tc>
        <w:tc>
          <w:tcPr>
            <w:tcW w:w="5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7B228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AA045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7A2BE4" w14:paraId="53B6B484" w14:textId="77777777">
        <w:trPr>
          <w:jc w:val="center"/>
        </w:trPr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516D7" w14:textId="77777777" w:rsidR="007A2BE4" w:rsidRDefault="007A2BE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A005B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Extent of resection</w:t>
            </w:r>
          </w:p>
        </w:tc>
        <w:tc>
          <w:tcPr>
            <w:tcW w:w="12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CA37D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1.357</w:t>
            </w:r>
          </w:p>
        </w:tc>
        <w:tc>
          <w:tcPr>
            <w:tcW w:w="5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8B2A0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97127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0.244</w:t>
            </w:r>
          </w:p>
        </w:tc>
      </w:tr>
      <w:tr w:rsidR="007A2BE4" w14:paraId="589119C3" w14:textId="77777777">
        <w:trPr>
          <w:jc w:val="center"/>
        </w:trPr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81382" w14:textId="77777777" w:rsidR="007A2BE4" w:rsidRDefault="007A2BE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116C1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MGMT</w:t>
            </w:r>
          </w:p>
        </w:tc>
        <w:tc>
          <w:tcPr>
            <w:tcW w:w="12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2AA40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0.655</w:t>
            </w:r>
          </w:p>
        </w:tc>
        <w:tc>
          <w:tcPr>
            <w:tcW w:w="5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A45AB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FAB07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0.418</w:t>
            </w:r>
          </w:p>
        </w:tc>
      </w:tr>
      <w:tr w:rsidR="007A2BE4" w14:paraId="505258D4" w14:textId="77777777">
        <w:trPr>
          <w:jc w:val="center"/>
        </w:trPr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62F19" w14:textId="77777777" w:rsidR="007A2BE4" w:rsidRDefault="007A2BE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9A315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Global test</w:t>
            </w:r>
          </w:p>
        </w:tc>
        <w:tc>
          <w:tcPr>
            <w:tcW w:w="12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21DAA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14.517</w:t>
            </w:r>
          </w:p>
        </w:tc>
        <w:tc>
          <w:tcPr>
            <w:tcW w:w="5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8F612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4FF48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0.013</w:t>
            </w:r>
          </w:p>
        </w:tc>
      </w:tr>
      <w:tr w:rsidR="007A2BE4" w14:paraId="1FC1C858" w14:textId="77777777">
        <w:trPr>
          <w:jc w:val="center"/>
        </w:trPr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69788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Progression-free survival</w:t>
            </w:r>
          </w:p>
        </w:tc>
        <w:tc>
          <w:tcPr>
            <w:tcW w:w="17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00012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Pathway</w:t>
            </w:r>
          </w:p>
        </w:tc>
        <w:tc>
          <w:tcPr>
            <w:tcW w:w="12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F66D8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0.242</w:t>
            </w:r>
          </w:p>
        </w:tc>
        <w:tc>
          <w:tcPr>
            <w:tcW w:w="5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92EB5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19F1B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0.623</w:t>
            </w:r>
          </w:p>
        </w:tc>
      </w:tr>
      <w:tr w:rsidR="007A2BE4" w14:paraId="644AE1CA" w14:textId="77777777">
        <w:trPr>
          <w:jc w:val="center"/>
        </w:trPr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FA345" w14:textId="77777777" w:rsidR="007A2BE4" w:rsidRDefault="007A2BE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77CF7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2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1BC9C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0.124</w:t>
            </w:r>
          </w:p>
        </w:tc>
        <w:tc>
          <w:tcPr>
            <w:tcW w:w="5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DA54E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B8C1B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0.725</w:t>
            </w:r>
          </w:p>
        </w:tc>
      </w:tr>
      <w:tr w:rsidR="007A2BE4" w14:paraId="597AD3B8" w14:textId="77777777">
        <w:trPr>
          <w:jc w:val="center"/>
        </w:trPr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4F77F" w14:textId="77777777" w:rsidR="007A2BE4" w:rsidRDefault="007A2BE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7994E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KPS</w:t>
            </w:r>
          </w:p>
        </w:tc>
        <w:tc>
          <w:tcPr>
            <w:tcW w:w="12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11AD5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9.946</w:t>
            </w:r>
          </w:p>
        </w:tc>
        <w:tc>
          <w:tcPr>
            <w:tcW w:w="5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F1A85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9428C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0.002</w:t>
            </w:r>
          </w:p>
        </w:tc>
      </w:tr>
      <w:tr w:rsidR="007A2BE4" w14:paraId="6E2FF212" w14:textId="77777777">
        <w:trPr>
          <w:jc w:val="center"/>
        </w:trPr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91209" w14:textId="77777777" w:rsidR="007A2BE4" w:rsidRDefault="007A2BE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5B517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Extent of resection</w:t>
            </w:r>
          </w:p>
        </w:tc>
        <w:tc>
          <w:tcPr>
            <w:tcW w:w="12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11AAF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6.764</w:t>
            </w:r>
          </w:p>
        </w:tc>
        <w:tc>
          <w:tcPr>
            <w:tcW w:w="5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9718F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64773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0.009</w:t>
            </w:r>
          </w:p>
        </w:tc>
      </w:tr>
      <w:tr w:rsidR="007A2BE4" w14:paraId="7B9CF2E7" w14:textId="77777777">
        <w:trPr>
          <w:jc w:val="center"/>
        </w:trPr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6A0F0" w14:textId="77777777" w:rsidR="007A2BE4" w:rsidRDefault="007A2BE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8EF87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MGMT</w:t>
            </w:r>
          </w:p>
        </w:tc>
        <w:tc>
          <w:tcPr>
            <w:tcW w:w="12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9EDCC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0.669</w:t>
            </w:r>
          </w:p>
        </w:tc>
        <w:tc>
          <w:tcPr>
            <w:tcW w:w="5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4B090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624C2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0.413</w:t>
            </w:r>
          </w:p>
        </w:tc>
      </w:tr>
      <w:tr w:rsidR="007A2BE4" w14:paraId="479EC0C9" w14:textId="77777777">
        <w:trPr>
          <w:jc w:val="center"/>
        </w:trPr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F8340" w14:textId="77777777" w:rsidR="007A2BE4" w:rsidRDefault="007A2BE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B0758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Global test</w:t>
            </w:r>
          </w:p>
        </w:tc>
        <w:tc>
          <w:tcPr>
            <w:tcW w:w="125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56D52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14.213</w:t>
            </w:r>
          </w:p>
        </w:tc>
        <w:tc>
          <w:tcPr>
            <w:tcW w:w="57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FBF06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17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03A06" w14:textId="77777777"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0.014</w:t>
            </w:r>
          </w:p>
        </w:tc>
      </w:tr>
    </w:tbl>
    <w:p w14:paraId="3056B93C" w14:textId="77777777" w:rsidR="007A2BE4" w:rsidRDefault="007A2BE4"/>
    <w:p w14:paraId="0A0D00F3" w14:textId="77777777" w:rsidR="007A2BE4" w:rsidRDefault="00000000">
      <w:r>
        <w:t>Scaled Schoenfeld residual tests (n = 154, complete case). The pathway term did not violate proportional hazards in either model; the global test was significant, driven by KPS (and extent of resection for progression-free survival). The restricted mean survival time difference (Table S1) is therefore reported as an absolute measure that does not assume proportional hazards. KPS, Karnofsky Performance Status.</w:t>
      </w:r>
    </w:p>
    <w:p w:rsidR="007A2BE4" w:rsidRDefault="00000000">
      <w:pPr>
        <w:rPr/>
      </w:pPr>
      <w:r>
        <w:br w:type="page"/>
      </w:r>
    </w:p>
    <w:p>
      <w:pPr>
        <w:pStyle w:val="Heading2"/>
        <w:rPr/>
      </w:pPr>
      <w:r>
        <w:t xml:space="preserve">Table S4. Adjusted and overlap-weighted estimates in patients with IDH-wildtype grade 4 glioblastoma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2250"/>
        <w:gridCol w:w="1710"/>
        <w:gridCol w:w="2390"/>
        <w:gridCol w:w="2210"/>
      </w:tblGrid>
      <w:tr w:rsidR="007A2BE4">
        <w:trPr/>
        <w:tc>
          <w:tcPr>
            <w:tcW w:w="2250" w:type="dxa"/>
            <w:tcBorders>
              <w:top w:val="single" w:sz="8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Outcome</w:t>
            </w:r>
          </w:p>
        </w:tc>
        <w:tc>
          <w:tcPr>
            <w:tcW w:w="1710" w:type="dxa"/>
            <w:tcBorders>
              <w:top w:val="single" w:sz="8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Analysis</w:t>
            </w:r>
          </w:p>
        </w:tc>
        <w:tc>
          <w:tcPr>
            <w:tcW w:w="2390" w:type="dxa"/>
            <w:tcBorders>
              <w:top w:val="single" w:sz="8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Scale</w:t>
            </w:r>
          </w:p>
        </w:tc>
        <w:tc>
          <w:tcPr>
            <w:tcW w:w="2210" w:type="dxa"/>
            <w:tcBorders>
              <w:top w:val="single" w:sz="8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Estimate (95% CI)</w:t>
            </w:r>
          </w:p>
        </w:tc>
      </w:tr>
      <w:tr w:rsidR="007A2BE4">
        <w:trPr/>
        <w:tc>
          <w:tcPr>
            <w:tcW w:w="225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Index length of stay</w:t>
            </w:r>
          </w:p>
        </w:tc>
        <w:tc>
          <w:tcPr>
            <w:tcW w:w="171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Adjusted</w:t>
            </w:r>
          </w:p>
        </w:tc>
        <w:tc>
          <w:tcPr>
            <w:tcW w:w="239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rate ratio</w:t>
            </w:r>
          </w:p>
        </w:tc>
        <w:tc>
          <w:tcPr>
            <w:tcW w:w="221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2.31 (1.84–2.91)</w:t>
            </w:r>
          </w:p>
        </w:tc>
      </w:tr>
      <w:tr w:rsidR="007A2BE4">
        <w:trPr/>
        <w:tc>
          <w:tcPr>
            <w:tcW w:w="225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Index length of stay</w:t>
            </w:r>
          </w:p>
        </w:tc>
        <w:tc>
          <w:tcPr>
            <w:tcW w:w="171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Overlap-weighted</w:t>
            </w:r>
          </w:p>
        </w:tc>
        <w:tc>
          <w:tcPr>
            <w:tcW w:w="239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difference in means, days</w:t>
            </w:r>
          </w:p>
        </w:tc>
        <w:tc>
          <w:tcPr>
            <w:tcW w:w="221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4.8 (3.6–6.0)</w:t>
            </w:r>
          </w:p>
        </w:tc>
      </w:tr>
      <w:tr w:rsidR="007A2BE4">
        <w:trPr/>
        <w:tc>
          <w:tcPr>
            <w:tcW w:w="225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DAH-30</w:t>
            </w:r>
          </w:p>
        </w:tc>
        <w:tc>
          <w:tcPr>
            <w:tcW w:w="171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Adjusted</w:t>
            </w:r>
          </w:p>
        </w:tc>
        <w:tc>
          <w:tcPr>
            <w:tcW w:w="239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difference in medians, days</w:t>
            </w:r>
          </w:p>
        </w:tc>
        <w:tc>
          <w:tcPr>
            <w:tcW w:w="221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−6.4 (−10.1 to −2.7)</w:t>
            </w:r>
          </w:p>
        </w:tc>
      </w:tr>
      <w:tr w:rsidR="007A2BE4">
        <w:trPr/>
        <w:tc>
          <w:tcPr>
            <w:tcW w:w="225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DAH-30</w:t>
            </w:r>
          </w:p>
        </w:tc>
        <w:tc>
          <w:tcPr>
            <w:tcW w:w="171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Overlap-weighted</w:t>
            </w:r>
          </w:p>
        </w:tc>
        <w:tc>
          <w:tcPr>
            <w:tcW w:w="239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difference in means, days</w:t>
            </w:r>
          </w:p>
        </w:tc>
        <w:tc>
          <w:tcPr>
            <w:tcW w:w="221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−7.0 (−10.4 to −3.6)</w:t>
            </w:r>
          </w:p>
        </w:tc>
      </w:tr>
      <w:tr w:rsidR="007A2BE4">
        <w:trPr/>
        <w:tc>
          <w:tcPr>
            <w:tcW w:w="225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Non-home discharge</w:t>
            </w:r>
          </w:p>
        </w:tc>
        <w:tc>
          <w:tcPr>
            <w:tcW w:w="171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Adjusted</w:t>
            </w:r>
          </w:p>
        </w:tc>
        <w:tc>
          <w:tcPr>
            <w:tcW w:w="239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odds ratio</w:t>
            </w:r>
          </w:p>
        </w:tc>
        <w:tc>
          <w:tcPr>
            <w:tcW w:w="221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2.06 (0.87–4.85)</w:t>
            </w:r>
          </w:p>
        </w:tc>
      </w:tr>
      <w:tr w:rsidR="007A2BE4">
        <w:trPr/>
        <w:tc>
          <w:tcPr>
            <w:tcW w:w="225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Non-home discharge</w:t>
            </w:r>
          </w:p>
        </w:tc>
        <w:tc>
          <w:tcPr>
            <w:tcW w:w="171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Overlap-weighted</w:t>
            </w:r>
          </w:p>
        </w:tc>
        <w:tc>
          <w:tcPr>
            <w:tcW w:w="239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odds ratio</w:t>
            </w:r>
          </w:p>
        </w:tc>
        <w:tc>
          <w:tcPr>
            <w:tcW w:w="221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1.48 (0.62–3.51)</w:t>
            </w:r>
          </w:p>
        </w:tc>
      </w:tr>
      <w:tr w:rsidR="007A2BE4">
        <w:trPr/>
        <w:tc>
          <w:tcPr>
            <w:tcW w:w="225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Any 30-day complication</w:t>
            </w:r>
          </w:p>
        </w:tc>
        <w:tc>
          <w:tcPr>
            <w:tcW w:w="171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Adjusted</w:t>
            </w:r>
          </w:p>
        </w:tc>
        <w:tc>
          <w:tcPr>
            <w:tcW w:w="239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odds ratio (Firth)</w:t>
            </w:r>
          </w:p>
        </w:tc>
        <w:tc>
          <w:tcPr>
            <w:tcW w:w="221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1.05 (0.46–2.49)</w:t>
            </w:r>
          </w:p>
        </w:tc>
      </w:tr>
      <w:tr w:rsidR="007A2BE4">
        <w:trPr/>
        <w:tc>
          <w:tcPr>
            <w:tcW w:w="225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Any 30-day complication</w:t>
            </w:r>
          </w:p>
        </w:tc>
        <w:tc>
          <w:tcPr>
            <w:tcW w:w="171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Overlap-weighted</w:t>
            </w:r>
          </w:p>
        </w:tc>
        <w:tc>
          <w:tcPr>
            <w:tcW w:w="239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odds ratio</w:t>
            </w:r>
          </w:p>
        </w:tc>
        <w:tc>
          <w:tcPr>
            <w:tcW w:w="221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0.94 (0.39–2.29)</w:t>
            </w:r>
          </w:p>
        </w:tc>
      </w:tr>
      <w:tr w:rsidR="007A2BE4">
        <w:trPr/>
        <w:tc>
          <w:tcPr>
            <w:tcW w:w="225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Overall survival</w:t>
            </w:r>
          </w:p>
        </w:tc>
        <w:tc>
          <w:tcPr>
            <w:tcW w:w="171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Kaplan–Meier</w:t>
            </w:r>
          </w:p>
        </w:tc>
        <w:tc>
          <w:tcPr>
            <w:tcW w:w="239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median, months</w:t>
            </w:r>
          </w:p>
        </w:tc>
        <w:tc>
          <w:tcPr>
            <w:tcW w:w="221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15.2 vs 15.9</w:t>
            </w:r>
          </w:p>
        </w:tc>
      </w:tr>
      <w:tr w:rsidR="007A2BE4">
        <w:trPr/>
        <w:tc>
          <w:tcPr>
            <w:tcW w:w="225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Overall survival</w:t>
            </w:r>
          </w:p>
        </w:tc>
        <w:tc>
          <w:tcPr>
            <w:tcW w:w="171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Crude Cox model</w:t>
            </w:r>
          </w:p>
        </w:tc>
        <w:tc>
          <w:tcPr>
            <w:tcW w:w="239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hazard ratio</w:t>
            </w:r>
          </w:p>
        </w:tc>
        <w:tc>
          <w:tcPr>
            <w:tcW w:w="221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0.85 (0.53–1.36)</w:t>
            </w:r>
          </w:p>
        </w:tc>
      </w:tr>
      <w:tr w:rsidR="007A2BE4">
        <w:trPr/>
        <w:tc>
          <w:tcPr>
            <w:tcW w:w="225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Overall survival</w:t>
            </w:r>
          </w:p>
        </w:tc>
        <w:tc>
          <w:tcPr>
            <w:tcW w:w="171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Adjusted Cox model</w:t>
            </w:r>
          </w:p>
        </w:tc>
        <w:tc>
          <w:tcPr>
            <w:tcW w:w="239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hazard ratio</w:t>
            </w:r>
          </w:p>
        </w:tc>
        <w:tc>
          <w:tcPr>
            <w:tcW w:w="221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0.64 (0.37–1.10)</w:t>
            </w:r>
          </w:p>
        </w:tc>
      </w:tr>
      <w:tr w:rsidR="007A2BE4">
        <w:trPr/>
        <w:tc>
          <w:tcPr>
            <w:tcW w:w="225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Overall survival</w:t>
            </w:r>
          </w:p>
        </w:tc>
        <w:tc>
          <w:tcPr>
            <w:tcW w:w="171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Diagnosis-anchored (left-truncated)</w:t>
            </w:r>
          </w:p>
        </w:tc>
        <w:tc>
          <w:tcPr>
            <w:tcW w:w="239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hazard ratio</w:t>
            </w:r>
          </w:p>
        </w:tc>
        <w:tc>
          <w:tcPr>
            <w:tcW w:w="221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0.65 (0.38–1.12)</w:t>
            </w:r>
          </w:p>
        </w:tc>
      </w:tr>
      <w:tr w:rsidR="007A2BE4">
        <w:trPr/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Overall survival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Adjusted RMST difference at 24 months</w:t>
            </w:r>
          </w:p>
        </w:tc>
        <w:tc>
          <w:tcPr>
            <w:tcW w:w="2390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months</w:t>
            </w:r>
          </w:p>
        </w:tc>
        <w:tc>
          <w:tcPr>
            <w:tcW w:w="2210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BE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+0.65 (−2.44 to +3.74)</w:t>
            </w:r>
          </w:p>
        </w:tc>
      </w:tr>
    </w:tbl>
    <w:p w:rsidR="007A2BE4" w:rsidRDefault="007A2BE4">
      <w:pPr>
        <w:rPr/>
      </w:pPr>
    </w:p>
    <w:p>
      <w:pPr>
        <w:rPr/>
      </w:pPr>
      <w:r>
        <w:t xml:space="preserve">All estimates compare urgent with scheduled patients among the 152 patients with IDH-wildtype grade 4 glioblastoma (115 urgent, 37 scheduled; 92 deaths). Models and covariates are those of Tables S1 and S2, without IDH stratification; adjusted Cox models are complete-case (n = 141, 86 deaths). For adverse outcomes, ratios above 1, longer stays, and fewer days at home indicate less favorable values in the urgent group; hazard ratios below 1 indicate lower hazard in the urgent group. DAH-30, days alive and at home within 30 days; RMST, restricted mean survival time.</w:t>
      </w:r>
    </w:p>
    <w:sectPr w:rsidR="007A2BE4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96276287">
    <w:abstractNumId w:val="1"/>
  </w:num>
  <w:num w:numId="2" w16cid:durableId="1677000926">
    <w:abstractNumId w:val="2"/>
  </w:num>
  <w:num w:numId="3" w16cid:durableId="6988821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82B51"/>
    <w:rsid w:val="007A2BE4"/>
    <w:rsid w:val="007B3E96"/>
    <w:rsid w:val="008F1F48"/>
    <w:rsid w:val="00901463"/>
    <w:rsid w:val="00905B8E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5F12BF0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1">
    <w:name w:val="Strong1"/>
    <w:basedOn w:val="DefaultParagraphFon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Professional">
    <w:name w:val="Table Professional"/>
    <w:basedOn w:val="Table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1443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Mahmoudi,Danny</cp:lastModifiedBy>
  <cp:revision>10</cp:revision>
  <dcterms:created xsi:type="dcterms:W3CDTF">2017-02-28T11:18:00Z</dcterms:created>
  <dcterms:modified xsi:type="dcterms:W3CDTF">2026-09-15T15:08:00Z</dcterms:modified>
  <cp:category/>
</cp:coreProperties>
</file>