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3820B" w14:textId="77777777" w:rsidR="00D97364" w:rsidRPr="00CB57F2" w:rsidRDefault="00D97364" w:rsidP="00D97364">
      <w:pPr>
        <w:pStyle w:val="author"/>
        <w:spacing w:before="0" w:line="480" w:lineRule="auto"/>
        <w:jc w:val="center"/>
        <w:rPr>
          <w:lang w:eastAsia="en-US"/>
        </w:rPr>
      </w:pPr>
      <w:r w:rsidRPr="00DA3AEF">
        <w:rPr>
          <w:rFonts w:asciiTheme="minorHAnsi" w:eastAsiaTheme="minorEastAsia" w:hAnsiTheme="minorHAnsi" w:cstheme="minorBidi"/>
          <w:b/>
          <w:sz w:val="36"/>
          <w:szCs w:val="36"/>
          <w:lang w:eastAsia="en-US"/>
        </w:rPr>
        <w:t>Modulation of Multidrug Resistance Protein 1-mediated transport processes by the antiviral drug ritonavir</w:t>
      </w:r>
    </w:p>
    <w:p w14:paraId="30A377B1" w14:textId="714739EF" w:rsidR="00D97364" w:rsidRDefault="00D97364" w:rsidP="00D97364">
      <w:pPr>
        <w:pStyle w:val="author"/>
        <w:spacing w:before="0" w:line="480" w:lineRule="auto"/>
        <w:jc w:val="center"/>
        <w:rPr>
          <w:b/>
        </w:rPr>
      </w:pPr>
      <w:r>
        <w:rPr>
          <w:b/>
        </w:rPr>
        <w:t xml:space="preserve">Christian </w:t>
      </w:r>
      <w:proofErr w:type="spellStart"/>
      <w:r>
        <w:rPr>
          <w:b/>
        </w:rPr>
        <w:t>Arend</w:t>
      </w:r>
      <w:proofErr w:type="spellEnd"/>
      <w:r>
        <w:rPr>
          <w:b/>
        </w:rPr>
        <w:t xml:space="preserve">, Isabell L. </w:t>
      </w:r>
      <w:proofErr w:type="spellStart"/>
      <w:r w:rsidRPr="0004685F">
        <w:rPr>
          <w:b/>
        </w:rPr>
        <w:t>Grothaus</w:t>
      </w:r>
      <w:proofErr w:type="spellEnd"/>
      <w:r>
        <w:rPr>
          <w:b/>
        </w:rPr>
        <w:t xml:space="preserve">, Mario </w:t>
      </w:r>
      <w:proofErr w:type="spellStart"/>
      <w:r>
        <w:rPr>
          <w:b/>
        </w:rPr>
        <w:t>Waespy</w:t>
      </w:r>
      <w:proofErr w:type="spellEnd"/>
      <w:r>
        <w:rPr>
          <w:b/>
        </w:rPr>
        <w:t xml:space="preserve">, Lucio </w:t>
      </w:r>
      <w:proofErr w:type="spellStart"/>
      <w:r>
        <w:rPr>
          <w:b/>
        </w:rPr>
        <w:t>Colombi</w:t>
      </w:r>
      <w:proofErr w:type="spellEnd"/>
      <w:r>
        <w:rPr>
          <w:b/>
        </w:rPr>
        <w:t xml:space="preserve"> </w:t>
      </w:r>
      <w:proofErr w:type="spellStart"/>
      <w:r>
        <w:rPr>
          <w:b/>
        </w:rPr>
        <w:t>Ciacchi</w:t>
      </w:r>
      <w:proofErr w:type="spellEnd"/>
      <w:r>
        <w:rPr>
          <w:b/>
        </w:rPr>
        <w:t xml:space="preserve"> a</w:t>
      </w:r>
      <w:r w:rsidRPr="00C40655">
        <w:rPr>
          <w:b/>
        </w:rPr>
        <w:t xml:space="preserve">nd Ralf </w:t>
      </w:r>
      <w:proofErr w:type="spellStart"/>
      <w:r w:rsidRPr="00C40655">
        <w:rPr>
          <w:b/>
        </w:rPr>
        <w:t>Dringen</w:t>
      </w:r>
      <w:proofErr w:type="spellEnd"/>
    </w:p>
    <w:p w14:paraId="54868AF9" w14:textId="77777777" w:rsidR="00D97364" w:rsidRPr="00D97364" w:rsidRDefault="00D97364" w:rsidP="00D97364">
      <w:pPr>
        <w:rPr>
          <w:lang w:val="en-US"/>
        </w:rPr>
      </w:pPr>
    </w:p>
    <w:p w14:paraId="145B990E" w14:textId="488E43C1" w:rsidR="000C72D4" w:rsidRDefault="000C72D4" w:rsidP="00D97364">
      <w:pPr>
        <w:pStyle w:val="Akademisch"/>
        <w:spacing w:line="480" w:lineRule="auto"/>
        <w:jc w:val="center"/>
        <w:rPr>
          <w:b/>
          <w:bCs/>
          <w:color w:val="000000" w:themeColor="text1"/>
          <w:sz w:val="28"/>
          <w:szCs w:val="28"/>
        </w:rPr>
      </w:pPr>
      <w:r>
        <w:rPr>
          <w:b/>
          <w:bCs/>
          <w:color w:val="000000" w:themeColor="text1"/>
          <w:sz w:val="28"/>
          <w:szCs w:val="28"/>
        </w:rPr>
        <w:t>Supporting Information</w:t>
      </w:r>
    </w:p>
    <w:p w14:paraId="14CA2007" w14:textId="77777777" w:rsidR="00D97364" w:rsidRDefault="00D97364" w:rsidP="00D97364">
      <w:pPr>
        <w:pStyle w:val="Akademisch"/>
        <w:spacing w:line="480" w:lineRule="auto"/>
        <w:jc w:val="center"/>
        <w:rPr>
          <w:b/>
          <w:bCs/>
          <w:color w:val="000000" w:themeColor="text1"/>
          <w:sz w:val="28"/>
          <w:szCs w:val="28"/>
        </w:rPr>
      </w:pPr>
    </w:p>
    <w:p w14:paraId="190B5A8F" w14:textId="77777777" w:rsidR="000C72D4" w:rsidRPr="00B87A6A" w:rsidRDefault="000C72D4" w:rsidP="000C72D4">
      <w:pPr>
        <w:tabs>
          <w:tab w:val="left" w:pos="2760"/>
        </w:tabs>
        <w:rPr>
          <w:noProof/>
          <w:lang w:val="en-US"/>
        </w:rPr>
      </w:pPr>
      <w:r>
        <w:rPr>
          <w:noProof/>
          <w:lang w:val="en-US"/>
        </w:rPr>
        <w:drawing>
          <wp:inline distT="0" distB="0" distL="0" distR="0" wp14:anchorId="1CEFE9F6" wp14:editId="3AEF431B">
            <wp:extent cx="5761355" cy="2220595"/>
            <wp:effectExtent l="0" t="0" r="4445" b="190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6"/>
                    <a:stretch>
                      <a:fillRect/>
                    </a:stretch>
                  </pic:blipFill>
                  <pic:spPr>
                    <a:xfrm>
                      <a:off x="0" y="0"/>
                      <a:ext cx="5761355" cy="2220595"/>
                    </a:xfrm>
                    <a:prstGeom prst="rect">
                      <a:avLst/>
                    </a:prstGeom>
                  </pic:spPr>
                </pic:pic>
              </a:graphicData>
            </a:graphic>
          </wp:inline>
        </w:drawing>
      </w:r>
    </w:p>
    <w:p w14:paraId="639DDF13" w14:textId="77777777" w:rsidR="000C72D4" w:rsidRDefault="000C72D4" w:rsidP="000C72D4">
      <w:pPr>
        <w:rPr>
          <w:noProof/>
          <w:lang w:val="en-GB"/>
        </w:rPr>
      </w:pPr>
    </w:p>
    <w:p w14:paraId="3A83CA29" w14:textId="5B214135" w:rsidR="000C72D4" w:rsidRDefault="000C72D4" w:rsidP="008A75B6">
      <w:pPr>
        <w:pStyle w:val="Akademisch"/>
      </w:pPr>
      <w:r w:rsidRPr="008A75B6">
        <w:rPr>
          <w:b/>
          <w:bCs/>
        </w:rPr>
        <w:t>Figure S1: Extracellular LDH activity for experiments shown in Figure 1.</w:t>
      </w:r>
      <w:r w:rsidRPr="00F3785F">
        <w:t xml:space="preserve"> </w:t>
      </w:r>
      <w:r w:rsidRPr="009B441C">
        <w:t xml:space="preserve">Astrocytes were incubated in the absence (a) or presence of 100 µM menadione (b) or 10 µM </w:t>
      </w:r>
      <w:proofErr w:type="spellStart"/>
      <w:r w:rsidRPr="009B441C">
        <w:t>monochlorobimane</w:t>
      </w:r>
      <w:proofErr w:type="spellEnd"/>
      <w:r w:rsidRPr="009B441C">
        <w:t xml:space="preserve"> (c) for the indicated time-points. The extracellular LDH activity was determined as marker for a potential loss in cell viability.</w:t>
      </w:r>
      <w:r>
        <w:t xml:space="preserve"> </w:t>
      </w:r>
      <w:r w:rsidRPr="002A22F0">
        <w:t>The data shown represent mean</w:t>
      </w:r>
      <w:r>
        <w:t>s</w:t>
      </w:r>
      <w:r w:rsidRPr="002A22F0">
        <w:t xml:space="preserve"> ± </w:t>
      </w:r>
      <w:r>
        <w:t>SD</w:t>
      </w:r>
      <w:r w:rsidRPr="002A22F0">
        <w:t xml:space="preserve"> of values that had been obtained in experiments performed on three independently prepared astrocyte cultures. Statistical analysis of the significan</w:t>
      </w:r>
      <w:r>
        <w:t>ce of</w:t>
      </w:r>
      <w:r w:rsidRPr="002A22F0">
        <w:t xml:space="preserve"> </w:t>
      </w:r>
      <w:r w:rsidRPr="00102657">
        <w:t xml:space="preserve">differences of the data obtained after incubation without (control) and with ritonavir was performed by one-tailed Student’s t-test. The levels of significance are indicated by </w:t>
      </w:r>
      <w:r w:rsidRPr="00102657">
        <w:rPr>
          <w:vertAlign w:val="superscript"/>
        </w:rPr>
        <w:t>#</w:t>
      </w:r>
      <w:r w:rsidRPr="00102657">
        <w:t>p &lt; 0.05.</w:t>
      </w:r>
    </w:p>
    <w:p w14:paraId="6CEF586A" w14:textId="77777777" w:rsidR="000C72D4" w:rsidRPr="00A81829" w:rsidRDefault="000C72D4" w:rsidP="000C72D4">
      <w:pPr>
        <w:spacing w:line="276" w:lineRule="auto"/>
        <w:rPr>
          <w:lang w:val="en-GB"/>
        </w:rPr>
      </w:pPr>
    </w:p>
    <w:p w14:paraId="351FCC53" w14:textId="77777777" w:rsidR="000C72D4" w:rsidRPr="005234B1" w:rsidRDefault="000C72D4" w:rsidP="000C72D4">
      <w:pPr>
        <w:tabs>
          <w:tab w:val="left" w:pos="1226"/>
        </w:tabs>
        <w:jc w:val="both"/>
        <w:rPr>
          <w:rFonts w:asciiTheme="minorHAnsi" w:hAnsiTheme="minorHAnsi" w:cstheme="minorHAnsi"/>
          <w:color w:val="000000" w:themeColor="text1"/>
          <w:sz w:val="22"/>
          <w:szCs w:val="22"/>
          <w:lang w:val="en-GB"/>
        </w:rPr>
      </w:pPr>
    </w:p>
    <w:p w14:paraId="1FEE62B2" w14:textId="77777777" w:rsidR="000C72D4" w:rsidRDefault="000C72D4" w:rsidP="000C72D4">
      <w:pPr>
        <w:tabs>
          <w:tab w:val="left" w:pos="1226"/>
        </w:tabs>
        <w:jc w:val="both"/>
        <w:rPr>
          <w:rFonts w:asciiTheme="minorHAnsi" w:hAnsiTheme="minorHAnsi" w:cstheme="minorHAnsi"/>
          <w:color w:val="000000" w:themeColor="text1"/>
          <w:sz w:val="22"/>
          <w:szCs w:val="22"/>
          <w:lang w:val="en-US"/>
        </w:rPr>
      </w:pPr>
    </w:p>
    <w:p w14:paraId="174D18A3" w14:textId="77777777" w:rsidR="000C72D4" w:rsidRDefault="000C72D4" w:rsidP="000C72D4">
      <w:pPr>
        <w:tabs>
          <w:tab w:val="left" w:pos="1226"/>
        </w:tabs>
        <w:jc w:val="center"/>
        <w:rPr>
          <w:rFonts w:asciiTheme="minorHAnsi" w:hAnsiTheme="minorHAnsi" w:cstheme="minorHAnsi"/>
          <w:color w:val="000000" w:themeColor="text1"/>
          <w:sz w:val="22"/>
          <w:szCs w:val="22"/>
          <w:lang w:val="en-US"/>
        </w:rPr>
      </w:pPr>
      <w:r>
        <w:rPr>
          <w:rFonts w:asciiTheme="minorHAnsi" w:hAnsiTheme="minorHAnsi" w:cstheme="minorHAnsi"/>
          <w:noProof/>
          <w:color w:val="000000" w:themeColor="text1"/>
          <w:sz w:val="22"/>
          <w:szCs w:val="22"/>
          <w:lang w:val="en-US"/>
        </w:rPr>
        <w:lastRenderedPageBreak/>
        <w:drawing>
          <wp:inline distT="0" distB="0" distL="0" distR="0" wp14:anchorId="07EE45C1" wp14:editId="5AF6BE4D">
            <wp:extent cx="4222782" cy="2448151"/>
            <wp:effectExtent l="0" t="0" r="0" b="317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61011" cy="2470314"/>
                    </a:xfrm>
                    <a:prstGeom prst="rect">
                      <a:avLst/>
                    </a:prstGeom>
                  </pic:spPr>
                </pic:pic>
              </a:graphicData>
            </a:graphic>
          </wp:inline>
        </w:drawing>
      </w:r>
    </w:p>
    <w:p w14:paraId="03B6F41E" w14:textId="77777777" w:rsidR="000C72D4" w:rsidRDefault="000C72D4" w:rsidP="000C72D4">
      <w:pPr>
        <w:tabs>
          <w:tab w:val="left" w:pos="1226"/>
        </w:tabs>
        <w:jc w:val="both"/>
        <w:rPr>
          <w:rFonts w:asciiTheme="minorHAnsi" w:hAnsiTheme="minorHAnsi" w:cstheme="minorHAnsi"/>
          <w:color w:val="000000" w:themeColor="text1"/>
          <w:sz w:val="22"/>
          <w:szCs w:val="22"/>
          <w:lang w:val="en-US"/>
        </w:rPr>
      </w:pPr>
    </w:p>
    <w:p w14:paraId="1CBFE0A4" w14:textId="77777777" w:rsidR="000C72D4" w:rsidRDefault="000C72D4" w:rsidP="008A75B6">
      <w:pPr>
        <w:pStyle w:val="Akademisch"/>
      </w:pPr>
      <w:r w:rsidRPr="00F3785F">
        <w:rPr>
          <w:b/>
          <w:bCs/>
        </w:rPr>
        <w:t>Figure S</w:t>
      </w:r>
      <w:r>
        <w:rPr>
          <w:b/>
          <w:bCs/>
        </w:rPr>
        <w:t>2</w:t>
      </w:r>
      <w:r w:rsidRPr="00F3785F">
        <w:rPr>
          <w:b/>
          <w:bCs/>
        </w:rPr>
        <w:t>:</w:t>
      </w:r>
      <w:r w:rsidRPr="00F3785F">
        <w:t xml:space="preserve"> </w:t>
      </w:r>
      <w:r>
        <w:rPr>
          <w:b/>
          <w:bCs/>
        </w:rPr>
        <w:t>Extracellular LDH activity for experiments shown in Figure 2</w:t>
      </w:r>
      <w:r w:rsidRPr="00F3785F">
        <w:rPr>
          <w:b/>
          <w:bCs/>
        </w:rPr>
        <w:t>.</w:t>
      </w:r>
      <w:r w:rsidRPr="00F3785F">
        <w:t xml:space="preserve"> </w:t>
      </w:r>
      <w:r w:rsidRPr="00A32FEB">
        <w:t>The cells were preincubated without (</w:t>
      </w:r>
      <w:r>
        <w:t>control</w:t>
      </w:r>
      <w:r w:rsidRPr="00A32FEB">
        <w:t>) or with 100 µM BSO for up to 24 hours</w:t>
      </w:r>
      <w:r>
        <w:t xml:space="preserve"> (a)</w:t>
      </w:r>
      <w:r w:rsidRPr="00A32FEB">
        <w:t>. Afterwards, the cells</w:t>
      </w:r>
      <w:r>
        <w:t xml:space="preserve"> of the respective preincubation (control or BSO)</w:t>
      </w:r>
      <w:r w:rsidRPr="00A32FEB">
        <w:t xml:space="preserve"> were </w:t>
      </w:r>
      <w:r>
        <w:t xml:space="preserve">further </w:t>
      </w:r>
      <w:r w:rsidRPr="00A32FEB">
        <w:t>incubated in the absence of BSO without or with 10 µM ritonavir for 3h</w:t>
      </w:r>
      <w:r>
        <w:t xml:space="preserve"> (absence of ritonavir) or 1h (presence of ritonavir) (b)</w:t>
      </w:r>
      <w:r w:rsidRPr="00A32FEB">
        <w:t xml:space="preserve">. </w:t>
      </w:r>
      <w:r w:rsidRPr="00D241BE">
        <w:t xml:space="preserve">The extracellular LDH activity was determined as marker for a potential loss in cell viability. The data shown represent means ± SD of values that had been obtained </w:t>
      </w:r>
      <w:r>
        <w:t>from triplicates of</w:t>
      </w:r>
      <w:r w:rsidRPr="00D241BE">
        <w:t xml:space="preserve"> </w:t>
      </w:r>
      <w:r>
        <w:t>one representative experiment</w:t>
      </w:r>
      <w:r w:rsidRPr="00D241BE">
        <w:t>.</w:t>
      </w:r>
    </w:p>
    <w:p w14:paraId="0819C0D5" w14:textId="77777777" w:rsidR="000C72D4" w:rsidRDefault="000C72D4" w:rsidP="000C72D4">
      <w:pPr>
        <w:tabs>
          <w:tab w:val="left" w:pos="1226"/>
        </w:tabs>
        <w:jc w:val="both"/>
        <w:rPr>
          <w:rFonts w:asciiTheme="minorHAnsi" w:hAnsiTheme="minorHAnsi" w:cstheme="minorHAnsi"/>
          <w:color w:val="000000" w:themeColor="text1"/>
          <w:sz w:val="22"/>
          <w:szCs w:val="22"/>
          <w:lang w:val="en-US"/>
        </w:rPr>
      </w:pPr>
    </w:p>
    <w:p w14:paraId="5F076945" w14:textId="77777777" w:rsidR="000C72D4" w:rsidRDefault="000C72D4" w:rsidP="000C72D4">
      <w:pPr>
        <w:tabs>
          <w:tab w:val="left" w:pos="1226"/>
        </w:tabs>
        <w:jc w:val="both"/>
        <w:rPr>
          <w:lang w:val="en-GB"/>
        </w:rPr>
      </w:pPr>
    </w:p>
    <w:p w14:paraId="3A5E5741" w14:textId="77777777" w:rsidR="000C72D4" w:rsidRDefault="000C72D4" w:rsidP="000C72D4">
      <w:pPr>
        <w:tabs>
          <w:tab w:val="left" w:pos="1226"/>
        </w:tabs>
        <w:jc w:val="both"/>
        <w:rPr>
          <w:lang w:val="en-GB"/>
        </w:rPr>
      </w:pPr>
    </w:p>
    <w:p w14:paraId="504634A0" w14:textId="77777777" w:rsidR="000C72D4" w:rsidRDefault="000C72D4" w:rsidP="000C72D4">
      <w:pPr>
        <w:tabs>
          <w:tab w:val="left" w:pos="1226"/>
        </w:tabs>
        <w:jc w:val="both"/>
        <w:rPr>
          <w:lang w:val="en-GB"/>
        </w:rPr>
      </w:pPr>
      <w:r>
        <w:rPr>
          <w:noProof/>
          <w:lang w:val="en-GB"/>
        </w:rPr>
        <w:drawing>
          <wp:inline distT="0" distB="0" distL="0" distR="0" wp14:anchorId="46EF6ADC" wp14:editId="69E3606C">
            <wp:extent cx="5761355" cy="2436495"/>
            <wp:effectExtent l="0" t="0" r="4445" b="190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8"/>
                    <a:stretch>
                      <a:fillRect/>
                    </a:stretch>
                  </pic:blipFill>
                  <pic:spPr>
                    <a:xfrm>
                      <a:off x="0" y="0"/>
                      <a:ext cx="5761355" cy="2436495"/>
                    </a:xfrm>
                    <a:prstGeom prst="rect">
                      <a:avLst/>
                    </a:prstGeom>
                  </pic:spPr>
                </pic:pic>
              </a:graphicData>
            </a:graphic>
          </wp:inline>
        </w:drawing>
      </w:r>
    </w:p>
    <w:p w14:paraId="305DBA10" w14:textId="1DC684DD" w:rsidR="000C72D4" w:rsidRDefault="000C72D4" w:rsidP="008A75B6">
      <w:pPr>
        <w:pStyle w:val="Akademisch"/>
      </w:pPr>
      <w:r w:rsidRPr="00F3785F">
        <w:rPr>
          <w:b/>
          <w:color w:val="000000" w:themeColor="text1"/>
          <w:lang w:val="en-US"/>
        </w:rPr>
        <w:t>Figure S</w:t>
      </w:r>
      <w:r>
        <w:rPr>
          <w:b/>
          <w:color w:val="000000" w:themeColor="text1"/>
          <w:lang w:val="en-US"/>
        </w:rPr>
        <w:t>3</w:t>
      </w:r>
      <w:r w:rsidRPr="00F3785F">
        <w:rPr>
          <w:b/>
          <w:color w:val="000000" w:themeColor="text1"/>
          <w:lang w:val="en-US"/>
        </w:rPr>
        <w:t xml:space="preserve">: </w:t>
      </w:r>
      <w:r>
        <w:rPr>
          <w:b/>
          <w:color w:val="000000" w:themeColor="text1"/>
          <w:lang w:val="en-US"/>
        </w:rPr>
        <w:t>Extracellular LDH activity for experiments shown in Figure 3</w:t>
      </w:r>
      <w:r w:rsidRPr="00F3785F">
        <w:rPr>
          <w:b/>
          <w:color w:val="000000" w:themeColor="text1"/>
          <w:lang w:val="en-US"/>
        </w:rPr>
        <w:t>.</w:t>
      </w:r>
      <w:r w:rsidRPr="00F3785F">
        <w:rPr>
          <w:color w:val="000000" w:themeColor="text1"/>
          <w:lang w:val="en-US"/>
        </w:rPr>
        <w:t xml:space="preserve"> </w:t>
      </w:r>
      <w:r>
        <w:rPr>
          <w:color w:val="000000" w:themeColor="text1"/>
          <w:lang w:val="en-US"/>
        </w:rPr>
        <w:t xml:space="preserve">Astrocyte primary cultures </w:t>
      </w:r>
      <w:r w:rsidRPr="00FC2460">
        <w:t>were incubated for 30 min without or with 50 µM MK571, 30 µM ritonavir or 100 µM ritonavir in the absence (a) or the presence of 100 µM menadione (</w:t>
      </w:r>
      <w:r>
        <w:t>b</w:t>
      </w:r>
      <w:r w:rsidRPr="00FC2460">
        <w:t>) or 10 µM MCB (</w:t>
      </w:r>
      <w:r>
        <w:t>c</w:t>
      </w:r>
      <w:r w:rsidRPr="00FC2460">
        <w:t>).</w:t>
      </w:r>
      <w:r>
        <w:t xml:space="preserve"> </w:t>
      </w:r>
      <w:r w:rsidRPr="00AA3159">
        <w:t>The extracellular LDH activity was determined as marker for a potential loss in cell viability.</w:t>
      </w:r>
      <w:r w:rsidRPr="00FC2460">
        <w:t xml:space="preserve"> The data shown represent mean ± SD of values that had been obtained in experiments </w:t>
      </w:r>
      <w:r w:rsidRPr="00FC2460">
        <w:lastRenderedPageBreak/>
        <w:t xml:space="preserve">performed on three independently prepared astrocyte cultures. Significant differences of the data obtained after incubation without (control) compared to incubation with ritonavir or MK571 were analysed with ANOVA followed by the Bonferroni </w:t>
      </w:r>
      <w:r w:rsidRPr="00FC2460">
        <w:rPr>
          <w:i/>
        </w:rPr>
        <w:t>post hoc</w:t>
      </w:r>
      <w:r w:rsidRPr="00FC2460">
        <w:t xml:space="preserve">-test. The levels of significance are indicated by </w:t>
      </w:r>
      <w:r w:rsidRPr="00FC2460">
        <w:rPr>
          <w:vertAlign w:val="superscript"/>
        </w:rPr>
        <w:t>*</w:t>
      </w:r>
      <w:r w:rsidRPr="00FC2460">
        <w:t xml:space="preserve">p &lt; 0.05. </w:t>
      </w:r>
    </w:p>
    <w:p w14:paraId="16B7CCC9" w14:textId="77777777" w:rsidR="000C72D4" w:rsidRPr="00AA04DC" w:rsidRDefault="000C72D4" w:rsidP="008A75B6">
      <w:pPr>
        <w:pStyle w:val="Akademisch"/>
      </w:pPr>
    </w:p>
    <w:p w14:paraId="2437EDBF" w14:textId="77777777" w:rsidR="000C72D4" w:rsidRDefault="000C72D4" w:rsidP="000C72D4">
      <w:pPr>
        <w:pStyle w:val="Akademisch"/>
        <w:spacing w:line="480" w:lineRule="auto"/>
        <w:rPr>
          <w:color w:val="000000" w:themeColor="text1"/>
          <w:szCs w:val="24"/>
        </w:rPr>
      </w:pPr>
      <w:r>
        <w:rPr>
          <w:noProof/>
          <w:color w:val="000000" w:themeColor="text1"/>
          <w:szCs w:val="24"/>
        </w:rPr>
        <w:drawing>
          <wp:inline distT="0" distB="0" distL="0" distR="0" wp14:anchorId="52F6FBA8" wp14:editId="68212F80">
            <wp:extent cx="5761355" cy="4595495"/>
            <wp:effectExtent l="0" t="0" r="4445" b="190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pic:cNvPicPr/>
                  </pic:nvPicPr>
                  <pic:blipFill>
                    <a:blip r:embed="rId9"/>
                    <a:stretch>
                      <a:fillRect/>
                    </a:stretch>
                  </pic:blipFill>
                  <pic:spPr>
                    <a:xfrm>
                      <a:off x="0" y="0"/>
                      <a:ext cx="5761355" cy="4595495"/>
                    </a:xfrm>
                    <a:prstGeom prst="rect">
                      <a:avLst/>
                    </a:prstGeom>
                  </pic:spPr>
                </pic:pic>
              </a:graphicData>
            </a:graphic>
          </wp:inline>
        </w:drawing>
      </w:r>
    </w:p>
    <w:p w14:paraId="10A8911B" w14:textId="77777777" w:rsidR="000C72D4" w:rsidRPr="00EB23E5" w:rsidRDefault="000C72D4" w:rsidP="008A75B6">
      <w:pPr>
        <w:pStyle w:val="Akademisch"/>
      </w:pPr>
      <w:r w:rsidRPr="00F3785F">
        <w:rPr>
          <w:b/>
          <w:bCs/>
        </w:rPr>
        <w:t xml:space="preserve">Figure </w:t>
      </w:r>
      <w:r>
        <w:rPr>
          <w:b/>
          <w:bCs/>
        </w:rPr>
        <w:t>S4</w:t>
      </w:r>
      <w:r w:rsidRPr="00F3785F">
        <w:rPr>
          <w:b/>
          <w:bCs/>
        </w:rPr>
        <w:t>: Homology model generation for rat Mrp1 and its comparison with bovine Mrp1.</w:t>
      </w:r>
      <w:r w:rsidRPr="00F3785F">
        <w:t xml:space="preserve"> The </w:t>
      </w:r>
      <w:proofErr w:type="spellStart"/>
      <w:r w:rsidRPr="00F3785F">
        <w:t>i-Tasser</w:t>
      </w:r>
      <w:proofErr w:type="spellEnd"/>
      <w:r w:rsidRPr="00F3785F">
        <w:t xml:space="preserve"> algorithm based the model construction on template structures from bovine Mrp1 (</w:t>
      </w:r>
      <w:proofErr w:type="spellStart"/>
      <w:r w:rsidRPr="00F3785F">
        <w:t>pdb</w:t>
      </w:r>
      <w:proofErr w:type="spellEnd"/>
      <w:r w:rsidRPr="00F3785F">
        <w:t xml:space="preserve"> entry: 5UJ9 and 6BHU), cystic fibrosis transmembrane conductance regulator from zebrafish (</w:t>
      </w:r>
      <w:proofErr w:type="spellStart"/>
      <w:r w:rsidRPr="00F3785F">
        <w:t>pdb</w:t>
      </w:r>
      <w:proofErr w:type="spellEnd"/>
      <w:r w:rsidRPr="00F3785F">
        <w:t xml:space="preserve"> entry: 5UAR) and a potassium channel from rat (</w:t>
      </w:r>
      <w:proofErr w:type="spellStart"/>
      <w:r w:rsidRPr="00F3785F">
        <w:t>pdb</w:t>
      </w:r>
      <w:proofErr w:type="spellEnd"/>
      <w:r w:rsidRPr="00F3785F">
        <w:t xml:space="preserve"> entry: 5TWV) (a)</w:t>
      </w:r>
      <w:r w:rsidRPr="00EB23E5">
        <w:rPr>
          <w:rStyle w:val="Kommentarzeichen"/>
          <w:rFonts w:asciiTheme="minorHAnsi" w:hAnsiTheme="minorHAnsi" w:cstheme="minorHAnsi"/>
          <w:color w:val="000000" w:themeColor="text1"/>
          <w:sz w:val="22"/>
          <w:szCs w:val="22"/>
          <w:lang w:val="en-US"/>
        </w:rPr>
        <w:t xml:space="preserve">. </w:t>
      </w:r>
      <w:r>
        <w:rPr>
          <w:rStyle w:val="Kommentarzeichen"/>
          <w:rFonts w:asciiTheme="minorHAnsi" w:hAnsiTheme="minorHAnsi" w:cstheme="minorHAnsi"/>
          <w:color w:val="000000" w:themeColor="text1"/>
          <w:sz w:val="22"/>
          <w:szCs w:val="22"/>
          <w:lang w:val="en-US"/>
        </w:rPr>
        <w:t xml:space="preserve">The sequence similarity is described as coverage in % and the normalized Z-score evaluates the quality of alignment (z-score &gt; 1 indicates good alignment) </w:t>
      </w:r>
      <w:r>
        <w:rPr>
          <w:rStyle w:val="Kommentarzeichen"/>
          <w:rFonts w:asciiTheme="minorHAnsi" w:hAnsiTheme="minorHAnsi" w:cstheme="minorHAnsi"/>
          <w:color w:val="000000" w:themeColor="text1"/>
          <w:sz w:val="22"/>
          <w:szCs w:val="22"/>
          <w:lang w:val="en-US"/>
        </w:rPr>
        <w:fldChar w:fldCharType="begin"/>
      </w:r>
      <w:r>
        <w:rPr>
          <w:rStyle w:val="Kommentarzeichen"/>
          <w:rFonts w:asciiTheme="minorHAnsi" w:hAnsiTheme="minorHAnsi" w:cstheme="minorHAnsi"/>
          <w:color w:val="000000" w:themeColor="text1"/>
          <w:sz w:val="22"/>
          <w:szCs w:val="22"/>
          <w:lang w:val="en-US"/>
        </w:rPr>
        <w:instrText xml:space="preserve"> ADDIN EN.CITE &lt;EndNote&gt;&lt;Cite&gt;&lt;Author&gt;Yang&lt;/Author&gt;&lt;Year&gt;2015&lt;/Year&gt;&lt;RecNum&gt;1028&lt;/RecNum&gt;&lt;DisplayText&gt;(Yang and Zhang, 2015)&lt;/DisplayText&gt;&lt;record&gt;&lt;rec-number&gt;1028&lt;/rec-number&gt;&lt;foreign-keys&gt;&lt;key app="EN" db-id="dezs0ps2uwx097e2zsoppdvc9v9050rvrzvw" timestamp="1652276309"&gt;1028&lt;/key&gt;&lt;/foreign-keys&gt;&lt;ref-type name="Journal Article"&gt;17&lt;/ref-type&gt;&lt;contributors&gt;&lt;authors&gt;&lt;author&gt;Yang, Jianyi&lt;/author&gt;&lt;author&gt;Zhang, Yang&lt;/author&gt;&lt;/authors&gt;&lt;/contributors&gt;&lt;titles&gt;&lt;title&gt;I-TASSER server: new development for protein structure and function predictions&lt;/title&gt;&lt;secondary-title&gt;Nucleic acids research&lt;/secondary-title&gt;&lt;/titles&gt;&lt;periodical&gt;&lt;full-title&gt;Nucleic Acids Research&lt;/full-title&gt;&lt;abbr-1&gt;Nucleic Acids Res.&lt;/abbr-1&gt;&lt;abbr-2&gt;Nucleic Acids Res&lt;/abbr-2&gt;&lt;/periodical&gt;&lt;pages&gt;W174-W181&lt;/pages&gt;&lt;volume&gt;43&lt;/volume&gt;&lt;number&gt;W1&lt;/number&gt;&lt;dates&gt;&lt;year&gt;2015&lt;/year&gt;&lt;/dates&gt;&lt;isbn&gt;1362-4962&lt;/isbn&gt;&lt;urls&gt;&lt;/urls&gt;&lt;/record&gt;&lt;/Cite&gt;&lt;/EndNote&gt;</w:instrText>
      </w:r>
      <w:r>
        <w:rPr>
          <w:rStyle w:val="Kommentarzeichen"/>
          <w:rFonts w:asciiTheme="minorHAnsi" w:hAnsiTheme="minorHAnsi" w:cstheme="minorHAnsi"/>
          <w:color w:val="000000" w:themeColor="text1"/>
          <w:sz w:val="22"/>
          <w:szCs w:val="22"/>
          <w:lang w:val="en-US"/>
        </w:rPr>
        <w:fldChar w:fldCharType="separate"/>
      </w:r>
      <w:r>
        <w:rPr>
          <w:rStyle w:val="Kommentarzeichen"/>
          <w:rFonts w:asciiTheme="minorHAnsi" w:hAnsiTheme="minorHAnsi" w:cstheme="minorHAnsi"/>
          <w:noProof/>
          <w:color w:val="000000" w:themeColor="text1"/>
          <w:sz w:val="22"/>
          <w:szCs w:val="22"/>
          <w:lang w:val="en-US"/>
        </w:rPr>
        <w:t>(Yang and Zhang, 2015)</w:t>
      </w:r>
      <w:r>
        <w:rPr>
          <w:rStyle w:val="Kommentarzeichen"/>
          <w:rFonts w:asciiTheme="minorHAnsi" w:hAnsiTheme="minorHAnsi" w:cstheme="minorHAnsi"/>
          <w:color w:val="000000" w:themeColor="text1"/>
          <w:sz w:val="22"/>
          <w:szCs w:val="22"/>
          <w:lang w:val="en-US"/>
        </w:rPr>
        <w:fldChar w:fldCharType="end"/>
      </w:r>
      <w:r w:rsidRPr="00EB23E5">
        <w:rPr>
          <w:rStyle w:val="Kommentarzeichen"/>
          <w:rFonts w:asciiTheme="minorHAnsi" w:hAnsiTheme="minorHAnsi" w:cstheme="minorHAnsi"/>
          <w:color w:val="000000" w:themeColor="text1"/>
          <w:sz w:val="22"/>
          <w:szCs w:val="22"/>
          <w:lang w:val="en-US"/>
        </w:rPr>
        <w:t xml:space="preserve">. </w:t>
      </w:r>
      <w:r w:rsidRPr="00EB23E5">
        <w:t>Structural alignment of  rat and bovine (</w:t>
      </w:r>
      <w:proofErr w:type="spellStart"/>
      <w:r w:rsidRPr="00EB23E5">
        <w:t>pdb</w:t>
      </w:r>
      <w:proofErr w:type="spellEnd"/>
      <w:r w:rsidRPr="00EB23E5">
        <w:t xml:space="preserve"> entry: 5uj9) Mrp1, where structures are </w:t>
      </w:r>
      <w:proofErr w:type="spellStart"/>
      <w:r w:rsidRPr="00EB23E5">
        <w:t>coloured</w:t>
      </w:r>
      <w:proofErr w:type="spellEnd"/>
      <w:r w:rsidRPr="00EB23E5">
        <w:t xml:space="preserve"> by the Q</w:t>
      </w:r>
      <w:r w:rsidRPr="00EB23E5">
        <w:rPr>
          <w:vertAlign w:val="subscript"/>
        </w:rPr>
        <w:t>H</w:t>
      </w:r>
      <w:r w:rsidRPr="00EB23E5">
        <w:t xml:space="preserve"> value, a metric for structural homology/conservation, calculated with</w:t>
      </w:r>
      <w:r>
        <w:t xml:space="preserve"> the</w:t>
      </w:r>
      <w:r w:rsidRPr="00EB23E5">
        <w:t xml:space="preserve"> VMD</w:t>
      </w:r>
      <w:r>
        <w:t xml:space="preserve"> plugin </w:t>
      </w:r>
      <w:proofErr w:type="spellStart"/>
      <w:r>
        <w:t>MultiSeq</w:t>
      </w:r>
      <w:proofErr w:type="spellEnd"/>
      <w:r>
        <w:t xml:space="preserve"> </w:t>
      </w:r>
      <w:r>
        <w:fldChar w:fldCharType="begin"/>
      </w:r>
      <w:r>
        <w:instrText xml:space="preserve"> ADDIN EN.CITE &lt;EndNote&gt;&lt;Cite&gt;&lt;Author&gt;Roberts&lt;/Author&gt;&lt;Year&gt;2006&lt;/Year&gt;&lt;RecNum&gt;1031&lt;/RecNum&gt;&lt;DisplayText&gt;(Roberts&lt;style face="italic"&gt; et al.&lt;/style&gt;, 2006)&lt;/DisplayText&gt;&lt;record&gt;&lt;rec-number&gt;1031&lt;/rec-number&gt;&lt;foreign-keys&gt;&lt;key app="EN" db-id="dezs0ps2uwx097e2zsoppdvc9v9050rvrzvw" timestamp="1654083413"&gt;1031&lt;/key&gt;&lt;/foreign-keys&gt;&lt;ref-type name="Journal Article"&gt;17&lt;/ref-type&gt;&lt;contributors&gt;&lt;authors&gt;&lt;author&gt;Roberts, Elijah&lt;/author&gt;&lt;author&gt;Eargle, John&lt;/author&gt;&lt;author&gt;Wright, Dan&lt;/author&gt;&lt;author&gt;Luthey-Schulten, Zaida&lt;/author&gt;&lt;/authors&gt;&lt;/contributors&gt;&lt;titles&gt;&lt;title&gt;MultiSeq: unifying sequence and structure data for evolutionary analysis&lt;/title&gt;&lt;secondary-title&gt;BMC bioinformatics&lt;/secondary-title&gt;&lt;/titles&gt;&lt;periodical&gt;&lt;full-title&gt;BMC Bioinformatics&lt;/full-title&gt;&lt;abbr-1&gt;BMC Bioinformatics&lt;/abbr-1&gt;&lt;abbr-2&gt;BMC Bioinformatics&lt;/abbr-2&gt;&lt;/periodical&gt;&lt;pages&gt;1-11&lt;/pages&gt;&lt;volume&gt;7&lt;/volume&gt;&lt;number&gt;1&lt;/number&gt;&lt;dates&gt;&lt;year&gt;2006&lt;/year&gt;&lt;/dates&gt;&lt;isbn&gt;1471-2105&lt;/isbn&gt;&lt;urls&gt;&lt;/urls&gt;&lt;/record&gt;&lt;/Cite&gt;&lt;/EndNote&gt;</w:instrText>
      </w:r>
      <w:r>
        <w:fldChar w:fldCharType="separate"/>
      </w:r>
      <w:r>
        <w:rPr>
          <w:noProof/>
        </w:rPr>
        <w:t>(Roberts</w:t>
      </w:r>
      <w:r w:rsidRPr="00AA28F2">
        <w:rPr>
          <w:i/>
          <w:noProof/>
        </w:rPr>
        <w:t xml:space="preserve"> et al.</w:t>
      </w:r>
      <w:r>
        <w:rPr>
          <w:noProof/>
        </w:rPr>
        <w:t>, 2006)</w:t>
      </w:r>
      <w:r>
        <w:fldChar w:fldCharType="end"/>
      </w:r>
      <w:r w:rsidRPr="00EB23E5">
        <w:t xml:space="preserve"> (b). </w:t>
      </w:r>
      <w:r>
        <w:rPr>
          <w:rStyle w:val="apple-converted-space"/>
          <w:rFonts w:asciiTheme="minorHAnsi" w:eastAsiaTheme="majorEastAsia" w:hAnsiTheme="minorHAnsi" w:cstheme="minorHAnsi"/>
          <w:color w:val="000000"/>
          <w:sz w:val="22"/>
          <w:lang w:val="en-US"/>
        </w:rPr>
        <w:t xml:space="preserve">A </w:t>
      </w:r>
      <w:r w:rsidRPr="00EB23E5">
        <w:rPr>
          <w:color w:val="000000"/>
        </w:rPr>
        <w:t>Q</w:t>
      </w:r>
      <w:r w:rsidRPr="00E14846">
        <w:rPr>
          <w:vertAlign w:val="subscript"/>
        </w:rPr>
        <w:t>H</w:t>
      </w:r>
      <w:r>
        <w:rPr>
          <w:color w:val="000000"/>
        </w:rPr>
        <w:t xml:space="preserve"> va</w:t>
      </w:r>
      <w:r>
        <w:rPr>
          <w:color w:val="000000"/>
        </w:rPr>
        <w:softHyphen/>
      </w:r>
      <w:r>
        <w:rPr>
          <w:color w:val="000000"/>
        </w:rPr>
        <w:softHyphen/>
        <w:t>lue of 1</w:t>
      </w:r>
      <w:r w:rsidRPr="00EB23E5">
        <w:rPr>
          <w:color w:val="000000"/>
        </w:rPr>
        <w:t xml:space="preserve"> implies that structures are identical</w:t>
      </w:r>
      <w:r>
        <w:rPr>
          <w:color w:val="000000"/>
        </w:rPr>
        <w:t>, whereas</w:t>
      </w:r>
      <w:r w:rsidRPr="00EB23E5">
        <w:rPr>
          <w:color w:val="000000"/>
        </w:rPr>
        <w:t xml:space="preserve"> low score</w:t>
      </w:r>
      <w:r>
        <w:rPr>
          <w:color w:val="000000"/>
        </w:rPr>
        <w:t>s</w:t>
      </w:r>
      <w:r w:rsidRPr="00EB23E5">
        <w:rPr>
          <w:color w:val="000000"/>
        </w:rPr>
        <w:t xml:space="preserve"> (0.1-0.3), </w:t>
      </w:r>
      <w:r>
        <w:rPr>
          <w:color w:val="000000"/>
        </w:rPr>
        <w:t xml:space="preserve">represent a poor alignment. </w:t>
      </w:r>
      <w:r w:rsidRPr="00EB23E5">
        <w:t xml:space="preserve">Amino acids predicted to be involved in binding are conserved </w:t>
      </w:r>
      <w:r w:rsidRPr="001B69FC">
        <w:lastRenderedPageBreak/>
        <w:t>sequence- (c) and structure-wise</w:t>
      </w:r>
      <w:r w:rsidRPr="00EB23E5">
        <w:t xml:space="preserve"> (</w:t>
      </w:r>
      <w:r>
        <w:t>d</w:t>
      </w:r>
      <w:r w:rsidRPr="00EB23E5">
        <w:t xml:space="preserve">) between rat and bovine Mrp1 and can be separated into a positively charged cavity (P-pocket, green) and a hydrophobic part (H-pocket, blue). </w:t>
      </w:r>
      <w:r>
        <w:t>A</w:t>
      </w:r>
      <w:r w:rsidRPr="00E14846">
        <w:t xml:space="preserve">mino acids in licorice </w:t>
      </w:r>
      <w:r>
        <w:t xml:space="preserve">(rat) or CPK (bovine) </w:t>
      </w:r>
      <w:r w:rsidRPr="00E14846">
        <w:t>style</w:t>
      </w:r>
      <w:r>
        <w:t>,</w:t>
      </w:r>
      <w:r w:rsidRPr="00E14846">
        <w:t xml:space="preserve"> a</w:t>
      </w:r>
      <w:r>
        <w:t>ll</w:t>
      </w:r>
      <w:r w:rsidRPr="00E14846">
        <w:t xml:space="preserve"> color-labelled by their atom composition with carbon = cyan, nitrogen = blue, oxygen = red, hydrogen = white.</w:t>
      </w:r>
    </w:p>
    <w:p w14:paraId="2DD36EAF" w14:textId="77777777" w:rsidR="000C72D4" w:rsidRPr="00EB23E5" w:rsidRDefault="000C72D4" w:rsidP="000C72D4">
      <w:pPr>
        <w:pStyle w:val="Akademisch"/>
        <w:spacing w:line="240" w:lineRule="auto"/>
        <w:rPr>
          <w:rFonts w:asciiTheme="minorHAnsi" w:hAnsiTheme="minorHAnsi" w:cstheme="minorHAnsi"/>
          <w:color w:val="000000" w:themeColor="text1"/>
          <w:sz w:val="22"/>
        </w:rPr>
      </w:pPr>
      <w:r w:rsidRPr="00EB23E5">
        <w:rPr>
          <w:rFonts w:asciiTheme="minorHAnsi" w:hAnsiTheme="minorHAnsi" w:cstheme="minorHAnsi"/>
          <w:color w:val="000000" w:themeColor="text1"/>
          <w:sz w:val="22"/>
        </w:rPr>
        <w:t xml:space="preserve"> </w:t>
      </w:r>
    </w:p>
    <w:p w14:paraId="2349FA0E" w14:textId="77777777" w:rsidR="000C72D4" w:rsidRPr="00997672" w:rsidRDefault="000C72D4" w:rsidP="000C72D4">
      <w:pPr>
        <w:pStyle w:val="Akademisch"/>
        <w:spacing w:line="480" w:lineRule="auto"/>
        <w:rPr>
          <w:b/>
          <w:bCs/>
          <w:color w:val="000000" w:themeColor="text1"/>
          <w:szCs w:val="24"/>
        </w:rPr>
      </w:pPr>
      <w:r>
        <w:rPr>
          <w:b/>
          <w:bCs/>
          <w:color w:val="000000" w:themeColor="text1"/>
          <w:szCs w:val="24"/>
        </w:rPr>
        <w:t>Prediction of ligand binding positions</w:t>
      </w:r>
    </w:p>
    <w:p w14:paraId="680AB3B0" w14:textId="77777777" w:rsidR="000C72D4" w:rsidRDefault="000C72D4" w:rsidP="000C72D4">
      <w:pPr>
        <w:pStyle w:val="Akademisch"/>
        <w:rPr>
          <w:color w:val="000000" w:themeColor="text1"/>
          <w:szCs w:val="24"/>
        </w:rPr>
      </w:pPr>
      <w:r>
        <w:rPr>
          <w:color w:val="000000" w:themeColor="text1"/>
          <w:szCs w:val="24"/>
        </w:rPr>
        <w:t xml:space="preserve">Initial protein-ligand complexes were generated used the docking software </w:t>
      </w:r>
      <w:proofErr w:type="spellStart"/>
      <w:r>
        <w:rPr>
          <w:color w:val="000000" w:themeColor="text1"/>
          <w:szCs w:val="24"/>
        </w:rPr>
        <w:t>AutoDock</w:t>
      </w:r>
      <w:proofErr w:type="spellEnd"/>
      <w:r>
        <w:rPr>
          <w:color w:val="000000" w:themeColor="text1"/>
          <w:szCs w:val="24"/>
        </w:rPr>
        <w:t xml:space="preserve"> 4, describing here the most relevant findings. Docking parameters are given in the material and methods section of the manuscript. </w:t>
      </w:r>
      <w:r w:rsidRPr="00DF7570">
        <w:rPr>
          <w:color w:val="000000" w:themeColor="text1"/>
          <w:szCs w:val="24"/>
        </w:rPr>
        <w:t>Estimated binding free energies indicated that GSH preferentially binds into the hydrophobic part of the binding pocket</w:t>
      </w:r>
      <w:r>
        <w:rPr>
          <w:color w:val="000000" w:themeColor="text1"/>
          <w:szCs w:val="24"/>
        </w:rPr>
        <w:t xml:space="preserve"> (H-pocket)</w:t>
      </w:r>
      <w:r w:rsidRPr="00DF7570">
        <w:rPr>
          <w:color w:val="000000" w:themeColor="text1"/>
          <w:szCs w:val="24"/>
        </w:rPr>
        <w:t xml:space="preserve">, </w:t>
      </w:r>
      <w:r>
        <w:rPr>
          <w:color w:val="000000" w:themeColor="text1"/>
          <w:szCs w:val="24"/>
        </w:rPr>
        <w:t>although</w:t>
      </w:r>
      <w:r w:rsidRPr="00DF7570">
        <w:rPr>
          <w:color w:val="000000" w:themeColor="text1"/>
          <w:szCs w:val="24"/>
        </w:rPr>
        <w:t xml:space="preserve"> the hydrophilic pocket </w:t>
      </w:r>
      <w:r>
        <w:rPr>
          <w:color w:val="000000" w:themeColor="text1"/>
          <w:szCs w:val="24"/>
        </w:rPr>
        <w:t xml:space="preserve">(P-pocket) </w:t>
      </w:r>
      <w:r w:rsidRPr="00DF7570">
        <w:rPr>
          <w:color w:val="000000" w:themeColor="text1"/>
          <w:szCs w:val="24"/>
        </w:rPr>
        <w:t>only ha</w:t>
      </w:r>
      <w:r>
        <w:rPr>
          <w:color w:val="000000" w:themeColor="text1"/>
          <w:szCs w:val="24"/>
        </w:rPr>
        <w:t>d</w:t>
      </w:r>
      <w:r w:rsidRPr="00DF7570">
        <w:rPr>
          <w:color w:val="000000" w:themeColor="text1"/>
          <w:szCs w:val="24"/>
        </w:rPr>
        <w:t xml:space="preserve"> a 0.8 </w:t>
      </w:r>
      <w:r>
        <w:rPr>
          <w:color w:val="000000" w:themeColor="text1"/>
          <w:szCs w:val="24"/>
        </w:rPr>
        <w:t xml:space="preserve">kcal/mol </w:t>
      </w:r>
      <w:r w:rsidRPr="00DF7570">
        <w:rPr>
          <w:color w:val="000000" w:themeColor="text1"/>
          <w:szCs w:val="24"/>
        </w:rPr>
        <w:t xml:space="preserve">lower </w:t>
      </w:r>
      <w:r>
        <w:rPr>
          <w:color w:val="000000" w:themeColor="text1"/>
          <w:szCs w:val="24"/>
        </w:rPr>
        <w:t xml:space="preserve">binding free </w:t>
      </w:r>
      <w:r w:rsidRPr="00DF7570">
        <w:rPr>
          <w:color w:val="000000" w:themeColor="text1"/>
          <w:szCs w:val="24"/>
        </w:rPr>
        <w:t xml:space="preserve">energy (Fig. </w:t>
      </w:r>
      <w:r>
        <w:rPr>
          <w:color w:val="000000" w:themeColor="text1"/>
          <w:szCs w:val="24"/>
        </w:rPr>
        <w:t>S5</w:t>
      </w:r>
      <w:proofErr w:type="gramStart"/>
      <w:r>
        <w:rPr>
          <w:color w:val="000000" w:themeColor="text1"/>
          <w:szCs w:val="24"/>
        </w:rPr>
        <w:t>a,b</w:t>
      </w:r>
      <w:proofErr w:type="gramEnd"/>
      <w:r w:rsidRPr="00DF7570">
        <w:rPr>
          <w:color w:val="000000" w:themeColor="text1"/>
          <w:szCs w:val="24"/>
        </w:rPr>
        <w:t xml:space="preserve">). In contrast, GSSG </w:t>
      </w:r>
      <w:r w:rsidRPr="00466CA5">
        <w:rPr>
          <w:color w:val="000000" w:themeColor="text1"/>
          <w:szCs w:val="24"/>
        </w:rPr>
        <w:t>was 44 times out of 50 iterations docked to the P-pocket with the lowest binding free energy o</w:t>
      </w:r>
      <w:r w:rsidRPr="00DF7570">
        <w:rPr>
          <w:color w:val="000000" w:themeColor="text1"/>
          <w:szCs w:val="24"/>
        </w:rPr>
        <w:t xml:space="preserve">f -0.7 kcal/mol, whereas the </w:t>
      </w:r>
      <w:r>
        <w:rPr>
          <w:color w:val="000000" w:themeColor="text1"/>
          <w:szCs w:val="24"/>
        </w:rPr>
        <w:t>H-pocket</w:t>
      </w:r>
      <w:r w:rsidRPr="00DF7570">
        <w:rPr>
          <w:color w:val="000000" w:themeColor="text1"/>
          <w:szCs w:val="24"/>
        </w:rPr>
        <w:t xml:space="preserve"> </w:t>
      </w:r>
      <w:r>
        <w:rPr>
          <w:color w:val="000000" w:themeColor="text1"/>
          <w:szCs w:val="24"/>
        </w:rPr>
        <w:t>was predicted having</w:t>
      </w:r>
      <w:r w:rsidRPr="00DF7570">
        <w:rPr>
          <w:color w:val="000000" w:themeColor="text1"/>
          <w:szCs w:val="24"/>
        </w:rPr>
        <w:t xml:space="preserve"> a positive binding free energy (Fig. </w:t>
      </w:r>
      <w:r>
        <w:rPr>
          <w:color w:val="000000" w:themeColor="text1"/>
          <w:szCs w:val="24"/>
        </w:rPr>
        <w:t>S5</w:t>
      </w:r>
      <w:proofErr w:type="gramStart"/>
      <w:r>
        <w:rPr>
          <w:color w:val="000000" w:themeColor="text1"/>
          <w:szCs w:val="24"/>
        </w:rPr>
        <w:t>a,c</w:t>
      </w:r>
      <w:proofErr w:type="gramEnd"/>
      <w:r w:rsidRPr="00DF7570">
        <w:rPr>
          <w:color w:val="000000" w:themeColor="text1"/>
          <w:szCs w:val="24"/>
        </w:rPr>
        <w:t xml:space="preserve">). Docking analysis for ritonavir revealed </w:t>
      </w:r>
      <w:r>
        <w:rPr>
          <w:color w:val="000000" w:themeColor="text1"/>
          <w:szCs w:val="24"/>
        </w:rPr>
        <w:t>its preference,</w:t>
      </w:r>
      <w:r w:rsidRPr="00DF7570">
        <w:rPr>
          <w:color w:val="000000" w:themeColor="text1"/>
          <w:szCs w:val="24"/>
        </w:rPr>
        <w:t xml:space="preserve"> bind</w:t>
      </w:r>
      <w:r>
        <w:rPr>
          <w:color w:val="000000" w:themeColor="text1"/>
          <w:szCs w:val="24"/>
        </w:rPr>
        <w:t>ing</w:t>
      </w:r>
      <w:r w:rsidRPr="00DF7570">
        <w:rPr>
          <w:color w:val="000000" w:themeColor="text1"/>
          <w:szCs w:val="24"/>
        </w:rPr>
        <w:t xml:space="preserve"> </w:t>
      </w:r>
      <w:r>
        <w:rPr>
          <w:color w:val="000000" w:themeColor="text1"/>
          <w:szCs w:val="24"/>
        </w:rPr>
        <w:t>to</w:t>
      </w:r>
      <w:r w:rsidRPr="00DF7570">
        <w:rPr>
          <w:color w:val="000000" w:themeColor="text1"/>
          <w:szCs w:val="24"/>
        </w:rPr>
        <w:t xml:space="preserve"> the </w:t>
      </w:r>
      <w:r>
        <w:rPr>
          <w:color w:val="000000" w:themeColor="text1"/>
          <w:szCs w:val="24"/>
        </w:rPr>
        <w:t xml:space="preserve">P-pocket </w:t>
      </w:r>
      <w:r w:rsidRPr="00DF7570">
        <w:rPr>
          <w:color w:val="000000" w:themeColor="text1"/>
          <w:szCs w:val="24"/>
        </w:rPr>
        <w:t>of rat Mrp1</w:t>
      </w:r>
      <w:r>
        <w:rPr>
          <w:color w:val="000000" w:themeColor="text1"/>
          <w:szCs w:val="24"/>
        </w:rPr>
        <w:t xml:space="preserve"> with a higher affinity as reported for GSSG </w:t>
      </w:r>
      <w:r w:rsidRPr="00DF7570">
        <w:rPr>
          <w:color w:val="000000" w:themeColor="text1"/>
          <w:szCs w:val="24"/>
        </w:rPr>
        <w:t xml:space="preserve">(Fig. </w:t>
      </w:r>
      <w:r>
        <w:rPr>
          <w:color w:val="000000" w:themeColor="text1"/>
          <w:szCs w:val="24"/>
        </w:rPr>
        <w:t>S5</w:t>
      </w:r>
      <w:proofErr w:type="gramStart"/>
      <w:r>
        <w:rPr>
          <w:color w:val="000000" w:themeColor="text1"/>
          <w:szCs w:val="24"/>
        </w:rPr>
        <w:t>a,d</w:t>
      </w:r>
      <w:proofErr w:type="gramEnd"/>
      <w:r w:rsidRPr="00DF7570">
        <w:rPr>
          <w:color w:val="000000" w:themeColor="text1"/>
          <w:szCs w:val="24"/>
        </w:rPr>
        <w:t>).</w:t>
      </w:r>
      <w:r>
        <w:rPr>
          <w:color w:val="000000" w:themeColor="text1"/>
          <w:szCs w:val="24"/>
        </w:rPr>
        <w:t xml:space="preserve"> Binding affinities reported for ritonavir binding to the H-pocket can be ignored, as no proper binding of ritonavir into the binding site was observed, but rather binding to underneath the H-pocket facing the cytosolic side.</w:t>
      </w:r>
      <w:r w:rsidRPr="00DF7570">
        <w:rPr>
          <w:color w:val="000000" w:themeColor="text1"/>
          <w:szCs w:val="24"/>
        </w:rPr>
        <w:t xml:space="preserve"> </w:t>
      </w:r>
      <w:r>
        <w:rPr>
          <w:color w:val="000000" w:themeColor="text1"/>
          <w:szCs w:val="24"/>
        </w:rPr>
        <w:t>It needs to be noted that</w:t>
      </w:r>
      <w:r w:rsidRPr="00DF7570">
        <w:rPr>
          <w:color w:val="000000" w:themeColor="text1"/>
          <w:szCs w:val="24"/>
        </w:rPr>
        <w:t xml:space="preserve"> the standard error of the </w:t>
      </w:r>
      <w:proofErr w:type="spellStart"/>
      <w:r w:rsidRPr="00DF7570">
        <w:rPr>
          <w:color w:val="000000" w:themeColor="text1"/>
          <w:szCs w:val="24"/>
        </w:rPr>
        <w:t>Autodock</w:t>
      </w:r>
      <w:proofErr w:type="spellEnd"/>
      <w:r w:rsidRPr="00DF7570">
        <w:rPr>
          <w:color w:val="000000" w:themeColor="text1"/>
          <w:szCs w:val="24"/>
        </w:rPr>
        <w:t xml:space="preserve"> </w:t>
      </w:r>
      <w:r>
        <w:rPr>
          <w:color w:val="000000" w:themeColor="text1"/>
          <w:szCs w:val="24"/>
        </w:rPr>
        <w:t>algorithm</w:t>
      </w:r>
      <w:r w:rsidRPr="00DF7570">
        <w:rPr>
          <w:color w:val="000000" w:themeColor="text1"/>
          <w:szCs w:val="24"/>
        </w:rPr>
        <w:t xml:space="preserve"> is known to be </w:t>
      </w:r>
      <w:r>
        <w:rPr>
          <w:color w:val="000000" w:themeColor="text1"/>
          <w:szCs w:val="24"/>
        </w:rPr>
        <w:t xml:space="preserve">around </w:t>
      </w:r>
      <w:r w:rsidRPr="00DF7570">
        <w:rPr>
          <w:color w:val="000000" w:themeColor="text1"/>
          <w:szCs w:val="24"/>
        </w:rPr>
        <w:t>±</w:t>
      </w:r>
      <w:r>
        <w:rPr>
          <w:color w:val="000000" w:themeColor="text1"/>
          <w:szCs w:val="24"/>
        </w:rPr>
        <w:t xml:space="preserve"> 2-3 kcal/mol </w:t>
      </w:r>
      <w:r>
        <w:rPr>
          <w:color w:val="000000" w:themeColor="text1"/>
          <w:szCs w:val="24"/>
        </w:rPr>
        <w:fldChar w:fldCharType="begin"/>
      </w:r>
      <w:r>
        <w:rPr>
          <w:color w:val="000000" w:themeColor="text1"/>
          <w:szCs w:val="24"/>
        </w:rPr>
        <w:instrText xml:space="preserve"> ADDIN EN.CITE &lt;EndNote&gt;&lt;Cite&gt;&lt;Author&gt;Forli&lt;/Author&gt;&lt;Year&gt;2016&lt;/Year&gt;&lt;RecNum&gt;986&lt;/RecNum&gt;&lt;DisplayText&gt;(Forli&lt;style face="italic"&gt; et al.&lt;/style&gt;, 2016)&lt;/DisplayText&gt;&lt;record&gt;&lt;rec-number&gt;986&lt;/rec-number&gt;&lt;foreign-keys&gt;&lt;key app="EN" db-id="dezs0ps2uwx097e2zsoppdvc9v9050rvrzvw" timestamp="1636374941"&gt;986&lt;/key&gt;&lt;/foreign-keys&gt;&lt;ref-type name="Journal Article"&gt;17&lt;/ref-type&gt;&lt;contributors&gt;&lt;authors&gt;&lt;author&gt;Forli, Stefano&lt;/author&gt;&lt;author&gt;Huey, Ruth&lt;/author&gt;&lt;author&gt;Pique, Michael E.&lt;/author&gt;&lt;author&gt;Sanner, Michel F.&lt;/author&gt;&lt;author&gt;Goodsell, David S.&lt;/author&gt;&lt;author&gt;Olson, Arthur J.&lt;/author&gt;&lt;/authors&gt;&lt;/contributors&gt;&lt;titles&gt;&lt;title&gt;Computational protein-ligand docking and virtual drug screening with the AutoDock suite.&lt;/title&gt;&lt;secondary-title&gt;Nature protocols&lt;/secondary-title&gt;&lt;/titles&gt;&lt;periodical&gt;&lt;full-title&gt;Nature protocols&lt;/full-title&gt;&lt;/periodical&gt;&lt;pages&gt;905--19&lt;/pages&gt;&lt;volume&gt;11&lt;/volume&gt;&lt;number&gt;5&lt;/number&gt;&lt;dates&gt;&lt;year&gt;2016&lt;/year&gt;&lt;/dates&gt;&lt;isbn&gt;1754-2189&lt;/isbn&gt;&lt;accession-num&gt;10.1038/nprot.2016.051&lt;/accession-num&gt;&lt;urls&gt;&lt;/urls&gt;&lt;electronic-resource-num&gt;10.1038/nprot.2016.051&lt;/electronic-resource-num&gt;&lt;/record&gt;&lt;/Cite&gt;&lt;/EndNote&gt;</w:instrText>
      </w:r>
      <w:r>
        <w:rPr>
          <w:color w:val="000000" w:themeColor="text1"/>
          <w:szCs w:val="24"/>
        </w:rPr>
        <w:fldChar w:fldCharType="separate"/>
      </w:r>
      <w:r>
        <w:rPr>
          <w:noProof/>
          <w:color w:val="000000" w:themeColor="text1"/>
          <w:szCs w:val="24"/>
        </w:rPr>
        <w:t>(Forli</w:t>
      </w:r>
      <w:r w:rsidRPr="00331C5C">
        <w:rPr>
          <w:i/>
          <w:noProof/>
          <w:color w:val="000000" w:themeColor="text1"/>
          <w:szCs w:val="24"/>
        </w:rPr>
        <w:t xml:space="preserve"> et al.</w:t>
      </w:r>
      <w:r>
        <w:rPr>
          <w:noProof/>
          <w:color w:val="000000" w:themeColor="text1"/>
          <w:szCs w:val="24"/>
        </w:rPr>
        <w:t>, 2016)</w:t>
      </w:r>
      <w:r>
        <w:rPr>
          <w:color w:val="000000" w:themeColor="text1"/>
          <w:szCs w:val="24"/>
        </w:rPr>
        <w:fldChar w:fldCharType="end"/>
      </w:r>
      <w:r>
        <w:rPr>
          <w:color w:val="000000" w:themeColor="text1"/>
          <w:szCs w:val="24"/>
        </w:rPr>
        <w:t xml:space="preserve">. Therefore, </w:t>
      </w:r>
      <w:r w:rsidRPr="00141944">
        <w:rPr>
          <w:color w:val="000000" w:themeColor="text1"/>
          <w:szCs w:val="24"/>
        </w:rPr>
        <w:t xml:space="preserve">here reported values (Fig. </w:t>
      </w:r>
      <w:r>
        <w:rPr>
          <w:color w:val="000000" w:themeColor="text1"/>
          <w:szCs w:val="24"/>
        </w:rPr>
        <w:t>S5a</w:t>
      </w:r>
      <w:r w:rsidRPr="00141944">
        <w:rPr>
          <w:color w:val="000000" w:themeColor="text1"/>
          <w:szCs w:val="24"/>
        </w:rPr>
        <w:t>)</w:t>
      </w:r>
      <w:r>
        <w:rPr>
          <w:color w:val="000000" w:themeColor="text1"/>
          <w:szCs w:val="24"/>
        </w:rPr>
        <w:t xml:space="preserve"> should be considered with caution and rather be interpreted as tendencies representing more probable binding modes. </w:t>
      </w:r>
    </w:p>
    <w:p w14:paraId="7D9C6783" w14:textId="77777777" w:rsidR="000C72D4" w:rsidRDefault="000C72D4" w:rsidP="000C72D4">
      <w:pPr>
        <w:pStyle w:val="Akademisch"/>
        <w:spacing w:line="480" w:lineRule="auto"/>
        <w:rPr>
          <w:color w:val="000000" w:themeColor="text1"/>
          <w:szCs w:val="24"/>
        </w:rPr>
      </w:pPr>
      <w:r>
        <w:rPr>
          <w:noProof/>
          <w:color w:val="000000" w:themeColor="text1"/>
          <w:szCs w:val="24"/>
        </w:rPr>
        <w:drawing>
          <wp:inline distT="0" distB="0" distL="0" distR="0" wp14:anchorId="5C2828AD" wp14:editId="0BAD5343">
            <wp:extent cx="5761355" cy="2639060"/>
            <wp:effectExtent l="0" t="0" r="4445" b="254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0"/>
                    <a:stretch>
                      <a:fillRect/>
                    </a:stretch>
                  </pic:blipFill>
                  <pic:spPr>
                    <a:xfrm>
                      <a:off x="0" y="0"/>
                      <a:ext cx="5761355" cy="2639060"/>
                    </a:xfrm>
                    <a:prstGeom prst="rect">
                      <a:avLst/>
                    </a:prstGeom>
                  </pic:spPr>
                </pic:pic>
              </a:graphicData>
            </a:graphic>
          </wp:inline>
        </w:drawing>
      </w:r>
    </w:p>
    <w:p w14:paraId="743C011A" w14:textId="160CFD16" w:rsidR="000C72D4" w:rsidRPr="00A902D2" w:rsidRDefault="000C72D4" w:rsidP="008A75B6">
      <w:pPr>
        <w:pStyle w:val="Akademisch"/>
      </w:pPr>
      <w:r w:rsidRPr="00A902D2">
        <w:rPr>
          <w:b/>
          <w:bCs/>
          <w:color w:val="000000" w:themeColor="text1"/>
        </w:rPr>
        <w:lastRenderedPageBreak/>
        <w:t xml:space="preserve">Figure </w:t>
      </w:r>
      <w:r>
        <w:rPr>
          <w:b/>
          <w:bCs/>
          <w:color w:val="000000" w:themeColor="text1"/>
        </w:rPr>
        <w:t>S5</w:t>
      </w:r>
      <w:r w:rsidRPr="00A902D2">
        <w:rPr>
          <w:b/>
          <w:bCs/>
          <w:color w:val="000000" w:themeColor="text1"/>
        </w:rPr>
        <w:t xml:space="preserve">: </w:t>
      </w:r>
      <w:r>
        <w:rPr>
          <w:b/>
          <w:bCs/>
          <w:color w:val="000000" w:themeColor="text1"/>
        </w:rPr>
        <w:t>D</w:t>
      </w:r>
      <w:r w:rsidRPr="00A902D2">
        <w:rPr>
          <w:b/>
          <w:bCs/>
          <w:color w:val="000000" w:themeColor="text1"/>
        </w:rPr>
        <w:t xml:space="preserve">ocking results </w:t>
      </w:r>
      <w:r>
        <w:rPr>
          <w:b/>
          <w:bCs/>
          <w:color w:val="000000" w:themeColor="text1"/>
        </w:rPr>
        <w:t xml:space="preserve">of GSH, GSSG or ritonavir </w:t>
      </w:r>
      <w:r w:rsidRPr="00A902D2">
        <w:rPr>
          <w:b/>
          <w:bCs/>
          <w:color w:val="000000" w:themeColor="text1"/>
        </w:rPr>
        <w:t>to rat Mrp1.</w:t>
      </w:r>
      <w:r w:rsidRPr="00A902D2">
        <w:t xml:space="preserve"> Lowest binding free energies [kcal/mol] measured for GSH, GSSG </w:t>
      </w:r>
      <w:r>
        <w:t>or</w:t>
      </w:r>
      <w:r w:rsidRPr="00A902D2">
        <w:t xml:space="preserve"> ritonavir during docking analysis to the P- and H</w:t>
      </w:r>
      <w:r w:rsidR="003E652F">
        <w:t>-</w:t>
      </w:r>
      <w:r w:rsidRPr="00A902D2">
        <w:t>pocket of rat Mrp1 (</w:t>
      </w:r>
      <w:r>
        <w:t>a</w:t>
      </w:r>
      <w:r w:rsidRPr="00A902D2">
        <w:t>).</w:t>
      </w:r>
      <w:r>
        <w:t xml:space="preserve"> Binding positions of GSH (b), GSSG (c) or ritonavir (d) to the P-pocket of rat Mrp1, captured after minimization and equilibration of docked </w:t>
      </w:r>
      <w:r w:rsidRPr="00DB596D">
        <w:t xml:space="preserve">complexes. </w:t>
      </w:r>
      <w:r w:rsidRPr="00A902D2">
        <w:t xml:space="preserve">Volume surface of the </w:t>
      </w:r>
      <w:r>
        <w:t>P</w:t>
      </w:r>
      <w:r w:rsidRPr="00A902D2">
        <w:t xml:space="preserve">-pocket is represented in a transparent </w:t>
      </w:r>
      <w:r>
        <w:t>blue</w:t>
      </w:r>
      <w:r w:rsidRPr="00A902D2">
        <w:t>. GSH</w:t>
      </w:r>
      <w:r>
        <w:t>, GSSG and ritonavir</w:t>
      </w:r>
      <w:r w:rsidRPr="00A902D2">
        <w:t xml:space="preserve"> in VDW style and amino acids in licorice style</w:t>
      </w:r>
      <w:r>
        <w:t>,</w:t>
      </w:r>
      <w:r w:rsidRPr="00A902D2">
        <w:t xml:space="preserve"> a</w:t>
      </w:r>
      <w:r>
        <w:t>ll</w:t>
      </w:r>
      <w:r w:rsidRPr="00A902D2">
        <w:t xml:space="preserve"> color-labelled by their atom composition with carbon = cyan, nitrogen = blue, oxygen = red, hydrogen = white.</w:t>
      </w:r>
    </w:p>
    <w:p w14:paraId="5E700067" w14:textId="77777777" w:rsidR="008532AD" w:rsidRDefault="008532AD" w:rsidP="000C72D4">
      <w:pPr>
        <w:pStyle w:val="Akademisch"/>
        <w:spacing w:line="480" w:lineRule="auto"/>
        <w:rPr>
          <w:color w:val="000000" w:themeColor="text1"/>
          <w:szCs w:val="24"/>
          <w:lang w:val="en-US"/>
        </w:rPr>
      </w:pPr>
    </w:p>
    <w:p w14:paraId="022540F9" w14:textId="3AB0312D" w:rsidR="008532AD" w:rsidRDefault="00840E41" w:rsidP="000C72D4">
      <w:pPr>
        <w:pStyle w:val="Akademisch"/>
        <w:spacing w:line="480" w:lineRule="auto"/>
        <w:rPr>
          <w:color w:val="000000" w:themeColor="text1"/>
          <w:szCs w:val="24"/>
          <w:lang w:val="en-US"/>
        </w:rPr>
      </w:pPr>
      <w:r>
        <w:rPr>
          <w:noProof/>
          <w:color w:val="000000" w:themeColor="text1"/>
          <w:szCs w:val="24"/>
          <w:lang w:val="en-US"/>
        </w:rPr>
        <w:drawing>
          <wp:inline distT="0" distB="0" distL="0" distR="0" wp14:anchorId="145B5AED" wp14:editId="3694F955">
            <wp:extent cx="5761355" cy="3970655"/>
            <wp:effectExtent l="0" t="0" r="4445" b="444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1355" cy="3970655"/>
                    </a:xfrm>
                    <a:prstGeom prst="rect">
                      <a:avLst/>
                    </a:prstGeom>
                  </pic:spPr>
                </pic:pic>
              </a:graphicData>
            </a:graphic>
          </wp:inline>
        </w:drawing>
      </w:r>
    </w:p>
    <w:p w14:paraId="2F62F7FB" w14:textId="16DFA779" w:rsidR="00C37648" w:rsidRPr="00096446" w:rsidRDefault="008532AD" w:rsidP="008A75B6">
      <w:pPr>
        <w:pStyle w:val="Akademisch"/>
        <w:rPr>
          <w:b/>
        </w:rPr>
      </w:pPr>
      <w:r w:rsidRPr="008A75B6">
        <w:rPr>
          <w:b/>
          <w:bCs/>
          <w:color w:val="000000" w:themeColor="text1"/>
        </w:rPr>
        <w:t xml:space="preserve">Figure S6: </w:t>
      </w:r>
      <w:r w:rsidR="00C37648" w:rsidRPr="008A75B6">
        <w:rPr>
          <w:b/>
          <w:bCs/>
        </w:rPr>
        <w:t>Representative ligand binding poses of GS</w:t>
      </w:r>
      <w:r w:rsidR="00177368" w:rsidRPr="008A75B6">
        <w:rPr>
          <w:b/>
          <w:bCs/>
        </w:rPr>
        <w:t>SG</w:t>
      </w:r>
      <w:r w:rsidR="00C37648" w:rsidRPr="008A75B6">
        <w:rPr>
          <w:b/>
          <w:bCs/>
        </w:rPr>
        <w:t>, ritonavir</w:t>
      </w:r>
      <w:r w:rsidR="00177368" w:rsidRPr="008A75B6">
        <w:rPr>
          <w:b/>
          <w:bCs/>
        </w:rPr>
        <w:t xml:space="preserve"> and GSSG plus ritonavir</w:t>
      </w:r>
      <w:r w:rsidR="00C37648" w:rsidRPr="008A75B6">
        <w:rPr>
          <w:b/>
          <w:bCs/>
        </w:rPr>
        <w:t xml:space="preserve"> within the binding pocket of rat Mrp1 observed in MD simulations of 1 µs.</w:t>
      </w:r>
      <w:r w:rsidR="00C37648" w:rsidRPr="00096446">
        <w:t xml:space="preserve"> The initial frame, an intermediate frame with key interactions and the final frame of each simulation is shown. Binding of GSSG was only observed to the P-pocket, however forming the same interaction as a single GSH molecule with amino acids of the binding site (K333, Y441, R1198, R1250). Ritonavir was stably binding to the P-pocket of rat Mrp1 for 700 ns before diffusing below the H-pocket facing the cytosol. </w:t>
      </w:r>
      <w:r w:rsidR="00177368">
        <w:t>S</w:t>
      </w:r>
      <w:r w:rsidR="00C37648" w:rsidRPr="00096446">
        <w:t xml:space="preserve">imultaneous binding of GSSG and ritonavir (red) could not be observed, as both compounds did not fit together into the binding site. Volume surfaces of the P-pocket and H-pocket are represented in a transparent blue and green, respectively. </w:t>
      </w:r>
      <w:r w:rsidR="00177368">
        <w:lastRenderedPageBreak/>
        <w:t>A</w:t>
      </w:r>
      <w:r w:rsidR="00C37648" w:rsidRPr="00096446">
        <w:t xml:space="preserve">mino acids are </w:t>
      </w:r>
      <w:proofErr w:type="spellStart"/>
      <w:r w:rsidR="00C37648" w:rsidRPr="00096446">
        <w:t>colour</w:t>
      </w:r>
      <w:proofErr w:type="spellEnd"/>
      <w:r w:rsidR="00C37648" w:rsidRPr="00096446">
        <w:t>-labelled by their atom composition with carbon = cyan, nitrogen = blue, oxygen = red, hydrogen = white. Ritonavir molecules in combination with GSSG are labelled in red. Only amino acids close to the ligand where explicitly shown. Lowest binding free energy structures were selected as starting formations from the ligand docking experiments. Movies of the trajectory progression can also be found under https://doi.org/10.5281/zenodo.6592231 for all systems.</w:t>
      </w:r>
    </w:p>
    <w:p w14:paraId="00B13B9F" w14:textId="02D01A0D" w:rsidR="008532AD" w:rsidRPr="00C37648" w:rsidRDefault="008532AD" w:rsidP="008532AD">
      <w:pPr>
        <w:tabs>
          <w:tab w:val="left" w:pos="2760"/>
        </w:tabs>
        <w:ind w:left="567" w:right="568"/>
        <w:jc w:val="both"/>
        <w:rPr>
          <w:rFonts w:asciiTheme="minorHAnsi" w:hAnsiTheme="minorHAnsi" w:cstheme="minorHAnsi"/>
          <w:sz w:val="22"/>
          <w:szCs w:val="22"/>
          <w:lang w:val="en-GB"/>
        </w:rPr>
      </w:pPr>
    </w:p>
    <w:p w14:paraId="337DEB1B" w14:textId="75B7C6DD" w:rsidR="008532AD" w:rsidRDefault="002C202B" w:rsidP="000C72D4">
      <w:pPr>
        <w:pStyle w:val="Akademisch"/>
        <w:spacing w:line="480" w:lineRule="auto"/>
        <w:rPr>
          <w:color w:val="000000" w:themeColor="text1"/>
          <w:szCs w:val="24"/>
          <w:lang w:val="en-US"/>
        </w:rPr>
      </w:pPr>
      <w:r>
        <w:rPr>
          <w:noProof/>
          <w:color w:val="000000" w:themeColor="text1"/>
          <w:szCs w:val="24"/>
          <w:lang w:val="en-US"/>
        </w:rPr>
        <w:drawing>
          <wp:inline distT="0" distB="0" distL="0" distR="0" wp14:anchorId="2654F077" wp14:editId="7E3B77F2">
            <wp:extent cx="5761355" cy="1822450"/>
            <wp:effectExtent l="0" t="0" r="4445" b="635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1355" cy="1822450"/>
                    </a:xfrm>
                    <a:prstGeom prst="rect">
                      <a:avLst/>
                    </a:prstGeom>
                  </pic:spPr>
                </pic:pic>
              </a:graphicData>
            </a:graphic>
          </wp:inline>
        </w:drawing>
      </w:r>
    </w:p>
    <w:p w14:paraId="154D59AC" w14:textId="6A99E183" w:rsidR="002C202B" w:rsidRPr="001E5D25" w:rsidRDefault="002C202B" w:rsidP="008A75B6">
      <w:pPr>
        <w:pStyle w:val="Akademisch"/>
        <w:rPr>
          <w:b/>
          <w:lang w:val="en-US"/>
        </w:rPr>
      </w:pPr>
      <w:r w:rsidRPr="008A75B6">
        <w:rPr>
          <w:b/>
          <w:bCs/>
        </w:rPr>
        <w:t>Figure S7: Occurrence of hydrogen bonds between GSH and the binding site of Mrp1.</w:t>
      </w:r>
      <w:r>
        <w:t xml:space="preserve"> Number of hydrogen bonds between GSH and residues W554, R594, Y1244, R1250 measured during the simulation of GSH + ritonavir binding to rat Mrp1, respectively</w:t>
      </w:r>
      <w:r w:rsidR="001E5D25" w:rsidRPr="001E5D25">
        <w:rPr>
          <w:lang w:val="en-US"/>
        </w:rPr>
        <w:t>, as</w:t>
      </w:r>
      <w:r w:rsidR="001E5D25">
        <w:rPr>
          <w:lang w:val="en-US"/>
        </w:rPr>
        <w:t xml:space="preserve"> supporting information for Figure 6 </w:t>
      </w:r>
      <w:r w:rsidR="00E761BB">
        <w:rPr>
          <w:lang w:val="en-US"/>
        </w:rPr>
        <w:t>showing the s</w:t>
      </w:r>
      <w:r w:rsidR="001E5D25" w:rsidRPr="001E5D25">
        <w:rPr>
          <w:lang w:val="en-US"/>
        </w:rPr>
        <w:t>tabilizing effect of ritonavir on the binding of GSH to rat Mrp1</w:t>
      </w:r>
      <w:r w:rsidR="00E761BB">
        <w:rPr>
          <w:lang w:val="en-US"/>
        </w:rPr>
        <w:t>.</w:t>
      </w:r>
    </w:p>
    <w:p w14:paraId="225659DE" w14:textId="77777777" w:rsidR="00555382" w:rsidRPr="00555382" w:rsidRDefault="00555382" w:rsidP="00555382">
      <w:pPr>
        <w:rPr>
          <w:lang w:val="en-GB" w:eastAsia="en-US"/>
        </w:rPr>
      </w:pPr>
    </w:p>
    <w:p w14:paraId="3DFBD043" w14:textId="77777777" w:rsidR="000C72D4" w:rsidRDefault="000C72D4" w:rsidP="000C72D4">
      <w:pPr>
        <w:pStyle w:val="Akademisch"/>
        <w:jc w:val="center"/>
      </w:pPr>
      <w:r>
        <w:rPr>
          <w:noProof/>
        </w:rPr>
        <w:drawing>
          <wp:inline distT="0" distB="0" distL="0" distR="0" wp14:anchorId="135FDFB9" wp14:editId="60168064">
            <wp:extent cx="5394960" cy="2544445"/>
            <wp:effectExtent l="0" t="0" r="0" b="825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94960" cy="2544445"/>
                    </a:xfrm>
                    <a:prstGeom prst="rect">
                      <a:avLst/>
                    </a:prstGeom>
                    <a:noFill/>
                    <a:ln>
                      <a:noFill/>
                    </a:ln>
                  </pic:spPr>
                </pic:pic>
              </a:graphicData>
            </a:graphic>
          </wp:inline>
        </w:drawing>
      </w:r>
    </w:p>
    <w:p w14:paraId="00717DB3" w14:textId="1B633F38" w:rsidR="000C72D4" w:rsidRPr="00AA04DC" w:rsidRDefault="000C72D4" w:rsidP="008A75B6">
      <w:pPr>
        <w:pStyle w:val="Akademisch"/>
        <w:rPr>
          <w:b/>
        </w:rPr>
      </w:pPr>
      <w:r w:rsidRPr="008A75B6">
        <w:rPr>
          <w:b/>
          <w:bCs/>
          <w:lang w:val="en-US"/>
        </w:rPr>
        <w:t>Figure S</w:t>
      </w:r>
      <w:r w:rsidR="002C202B" w:rsidRPr="008A75B6">
        <w:rPr>
          <w:b/>
          <w:bCs/>
          <w:lang w:val="en-US"/>
        </w:rPr>
        <w:t>8</w:t>
      </w:r>
      <w:r w:rsidRPr="008A75B6">
        <w:rPr>
          <w:b/>
          <w:bCs/>
          <w:lang w:val="en-US"/>
        </w:rPr>
        <w:t xml:space="preserve">: </w:t>
      </w:r>
      <w:r w:rsidRPr="008A75B6">
        <w:rPr>
          <w:b/>
          <w:bCs/>
        </w:rPr>
        <w:t>Expression of Mrp1 in astrocyte cultures.</w:t>
      </w:r>
      <w:r>
        <w:t xml:space="preserve"> </w:t>
      </w:r>
      <w:r w:rsidRPr="00655C84">
        <w:t xml:space="preserve">Immunocytochemical detection of Mrp1 (red) was performed after the cells were incubated in absence (a) or presence of 10 µM ritonavir (b) for 3 h. Additionally, the nuclei were stained with DAPI (blue). The scale bar in </w:t>
      </w:r>
      <w:r w:rsidRPr="00655C84">
        <w:lastRenderedPageBreak/>
        <w:t>panel a applies to both panels</w:t>
      </w:r>
      <w:r w:rsidRPr="00A963E3">
        <w:t xml:space="preserve">. </w:t>
      </w:r>
      <w:r w:rsidRPr="00A963E3">
        <w:rPr>
          <w:lang w:val="en-US"/>
        </w:rPr>
        <w:t>The primary rat anti-MRPr1 antibody was obtained from Enzo (</w:t>
      </w:r>
      <w:proofErr w:type="spellStart"/>
      <w:r w:rsidRPr="00A963E3">
        <w:rPr>
          <w:lang w:val="en-US"/>
        </w:rPr>
        <w:t>Lörrach</w:t>
      </w:r>
      <w:proofErr w:type="spellEnd"/>
      <w:r w:rsidRPr="00A963E3">
        <w:rPr>
          <w:lang w:val="en-US"/>
        </w:rPr>
        <w:t xml:space="preserve">, Germany) and the Cy3-coupled secondary donkey anti-rat immunoglobulin G (IgG) antibody was obtained from </w:t>
      </w:r>
      <w:proofErr w:type="spellStart"/>
      <w:r w:rsidRPr="00A963E3">
        <w:rPr>
          <w:lang w:val="en-US"/>
        </w:rPr>
        <w:t>Dianova</w:t>
      </w:r>
      <w:proofErr w:type="spellEnd"/>
      <w:r w:rsidRPr="00A963E3">
        <w:rPr>
          <w:lang w:val="en-US"/>
        </w:rPr>
        <w:t xml:space="preserve"> (Hamburg, Germany).</w:t>
      </w:r>
    </w:p>
    <w:p w14:paraId="007A5D67" w14:textId="77777777" w:rsidR="0086696D" w:rsidRPr="000C72D4" w:rsidRDefault="0086696D">
      <w:pPr>
        <w:rPr>
          <w:lang w:val="en-GB"/>
        </w:rPr>
      </w:pPr>
    </w:p>
    <w:sectPr w:rsidR="0086696D" w:rsidRPr="000C72D4" w:rsidSect="000D792D">
      <w:footerReference w:type="even" r:id="rId14"/>
      <w:footerReference w:type="default" r:id="rId15"/>
      <w:pgSz w:w="11907" w:h="16840"/>
      <w:pgMar w:top="1417" w:right="1417" w:bottom="1134" w:left="1417"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2DF0F" w14:textId="77777777" w:rsidR="00C22C09" w:rsidRDefault="00C22C09" w:rsidP="00D97364">
      <w:r>
        <w:separator/>
      </w:r>
    </w:p>
  </w:endnote>
  <w:endnote w:type="continuationSeparator" w:id="0">
    <w:p w14:paraId="6DEF38D2" w14:textId="77777777" w:rsidR="00C22C09" w:rsidRDefault="00C22C09" w:rsidP="00D97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865022893"/>
      <w:docPartObj>
        <w:docPartGallery w:val="Page Numbers (Bottom of Page)"/>
        <w:docPartUnique/>
      </w:docPartObj>
    </w:sdtPr>
    <w:sdtContent>
      <w:p w14:paraId="5A486168" w14:textId="77777777" w:rsidR="008F24FD" w:rsidRDefault="00E8667D" w:rsidP="002564CB">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25CDADE5" w14:textId="77777777" w:rsidR="008F24FD" w:rsidRDefault="0000000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722948589"/>
      <w:docPartObj>
        <w:docPartGallery w:val="Page Numbers (Bottom of Page)"/>
        <w:docPartUnique/>
      </w:docPartObj>
    </w:sdtPr>
    <w:sdtContent>
      <w:p w14:paraId="151080DC" w14:textId="4232D8EB" w:rsidR="008F24FD" w:rsidRDefault="00D97364" w:rsidP="002564CB">
        <w:pPr>
          <w:pStyle w:val="Fuzeile"/>
          <w:framePr w:wrap="none" w:vAnchor="text" w:hAnchor="margin" w:xAlign="center" w:y="1"/>
          <w:rPr>
            <w:rStyle w:val="Seitenzahl"/>
          </w:rPr>
        </w:pPr>
        <w:r>
          <w:rPr>
            <w:rStyle w:val="Seitenzahl"/>
          </w:rPr>
          <w:t>S-</w:t>
        </w: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352C2627" w14:textId="77777777" w:rsidR="008F24FD" w:rsidRDefault="0000000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7B9B7" w14:textId="77777777" w:rsidR="00C22C09" w:rsidRDefault="00C22C09" w:rsidP="00D97364">
      <w:r>
        <w:separator/>
      </w:r>
    </w:p>
  </w:footnote>
  <w:footnote w:type="continuationSeparator" w:id="0">
    <w:p w14:paraId="59FF968F" w14:textId="77777777" w:rsidR="00C22C09" w:rsidRDefault="00C22C09" w:rsidP="00D973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2D4"/>
    <w:rsid w:val="00007A76"/>
    <w:rsid w:val="00016711"/>
    <w:rsid w:val="00051C90"/>
    <w:rsid w:val="00081DA9"/>
    <w:rsid w:val="00096968"/>
    <w:rsid w:val="00097BC2"/>
    <w:rsid w:val="000A250D"/>
    <w:rsid w:val="000B21EA"/>
    <w:rsid w:val="000B37A8"/>
    <w:rsid w:val="000B6826"/>
    <w:rsid w:val="000C2CD4"/>
    <w:rsid w:val="000C72D4"/>
    <w:rsid w:val="000D3678"/>
    <w:rsid w:val="000D4AD0"/>
    <w:rsid w:val="000D4D3E"/>
    <w:rsid w:val="000E0536"/>
    <w:rsid w:val="000E157E"/>
    <w:rsid w:val="000E3035"/>
    <w:rsid w:val="000F474B"/>
    <w:rsid w:val="000F495C"/>
    <w:rsid w:val="00100EF0"/>
    <w:rsid w:val="001040B2"/>
    <w:rsid w:val="001123A9"/>
    <w:rsid w:val="00112A5C"/>
    <w:rsid w:val="00124F83"/>
    <w:rsid w:val="00132C35"/>
    <w:rsid w:val="00137FAB"/>
    <w:rsid w:val="001415F4"/>
    <w:rsid w:val="00146063"/>
    <w:rsid w:val="001613BD"/>
    <w:rsid w:val="0017472B"/>
    <w:rsid w:val="00176125"/>
    <w:rsid w:val="00177368"/>
    <w:rsid w:val="001819E7"/>
    <w:rsid w:val="001870E7"/>
    <w:rsid w:val="001A3090"/>
    <w:rsid w:val="001A68AD"/>
    <w:rsid w:val="001D1837"/>
    <w:rsid w:val="001E5D25"/>
    <w:rsid w:val="001F3BFB"/>
    <w:rsid w:val="0020057A"/>
    <w:rsid w:val="00200CAF"/>
    <w:rsid w:val="0020118C"/>
    <w:rsid w:val="00207778"/>
    <w:rsid w:val="00214A34"/>
    <w:rsid w:val="002230A5"/>
    <w:rsid w:val="00243D38"/>
    <w:rsid w:val="00271810"/>
    <w:rsid w:val="00276E82"/>
    <w:rsid w:val="0028061A"/>
    <w:rsid w:val="00282514"/>
    <w:rsid w:val="00284470"/>
    <w:rsid w:val="002930C6"/>
    <w:rsid w:val="002A1892"/>
    <w:rsid w:val="002C202B"/>
    <w:rsid w:val="002D2AEA"/>
    <w:rsid w:val="002E0880"/>
    <w:rsid w:val="002E28BC"/>
    <w:rsid w:val="002E472E"/>
    <w:rsid w:val="002F32F6"/>
    <w:rsid w:val="002F70D0"/>
    <w:rsid w:val="002F7966"/>
    <w:rsid w:val="00300182"/>
    <w:rsid w:val="00304F19"/>
    <w:rsid w:val="00314721"/>
    <w:rsid w:val="00316BD2"/>
    <w:rsid w:val="00321953"/>
    <w:rsid w:val="0032541B"/>
    <w:rsid w:val="00333211"/>
    <w:rsid w:val="00342994"/>
    <w:rsid w:val="0034714A"/>
    <w:rsid w:val="00350E31"/>
    <w:rsid w:val="00360EE6"/>
    <w:rsid w:val="00361981"/>
    <w:rsid w:val="00375878"/>
    <w:rsid w:val="00380AA5"/>
    <w:rsid w:val="00386C20"/>
    <w:rsid w:val="00394D86"/>
    <w:rsid w:val="003B1059"/>
    <w:rsid w:val="003C3704"/>
    <w:rsid w:val="003C605C"/>
    <w:rsid w:val="003C7240"/>
    <w:rsid w:val="003D3C1C"/>
    <w:rsid w:val="003E652F"/>
    <w:rsid w:val="003F4693"/>
    <w:rsid w:val="004009E3"/>
    <w:rsid w:val="004039F9"/>
    <w:rsid w:val="0040540B"/>
    <w:rsid w:val="00415F34"/>
    <w:rsid w:val="00426130"/>
    <w:rsid w:val="00427004"/>
    <w:rsid w:val="00427460"/>
    <w:rsid w:val="004373D4"/>
    <w:rsid w:val="0045226E"/>
    <w:rsid w:val="0047323D"/>
    <w:rsid w:val="0047434C"/>
    <w:rsid w:val="004949EB"/>
    <w:rsid w:val="004A4101"/>
    <w:rsid w:val="004B2175"/>
    <w:rsid w:val="004B4336"/>
    <w:rsid w:val="004C6A1D"/>
    <w:rsid w:val="004D3B27"/>
    <w:rsid w:val="004F1911"/>
    <w:rsid w:val="004F4735"/>
    <w:rsid w:val="00500429"/>
    <w:rsid w:val="005101CB"/>
    <w:rsid w:val="005143A2"/>
    <w:rsid w:val="00517000"/>
    <w:rsid w:val="005326C5"/>
    <w:rsid w:val="0053466E"/>
    <w:rsid w:val="00540127"/>
    <w:rsid w:val="00543520"/>
    <w:rsid w:val="00546871"/>
    <w:rsid w:val="0055406F"/>
    <w:rsid w:val="00555382"/>
    <w:rsid w:val="005563E0"/>
    <w:rsid w:val="00561BDD"/>
    <w:rsid w:val="00563B9B"/>
    <w:rsid w:val="00572B26"/>
    <w:rsid w:val="005825A1"/>
    <w:rsid w:val="00592730"/>
    <w:rsid w:val="005A199A"/>
    <w:rsid w:val="005A76A2"/>
    <w:rsid w:val="005B01B6"/>
    <w:rsid w:val="005C47E5"/>
    <w:rsid w:val="005C5767"/>
    <w:rsid w:val="005C64D5"/>
    <w:rsid w:val="005D0F0F"/>
    <w:rsid w:val="005D16C8"/>
    <w:rsid w:val="005E101A"/>
    <w:rsid w:val="005E7550"/>
    <w:rsid w:val="006066FB"/>
    <w:rsid w:val="0060794F"/>
    <w:rsid w:val="0061292D"/>
    <w:rsid w:val="00617CEA"/>
    <w:rsid w:val="00620258"/>
    <w:rsid w:val="00620968"/>
    <w:rsid w:val="00635BED"/>
    <w:rsid w:val="00637A19"/>
    <w:rsid w:val="00644EAB"/>
    <w:rsid w:val="006458BE"/>
    <w:rsid w:val="0064629F"/>
    <w:rsid w:val="0065295E"/>
    <w:rsid w:val="0065791D"/>
    <w:rsid w:val="00665720"/>
    <w:rsid w:val="00665B77"/>
    <w:rsid w:val="00666489"/>
    <w:rsid w:val="00672E53"/>
    <w:rsid w:val="00676F1B"/>
    <w:rsid w:val="00683D94"/>
    <w:rsid w:val="0069130A"/>
    <w:rsid w:val="006A6519"/>
    <w:rsid w:val="006A7DDE"/>
    <w:rsid w:val="006B2F2A"/>
    <w:rsid w:val="006B75D4"/>
    <w:rsid w:val="006C7E14"/>
    <w:rsid w:val="006D5B9A"/>
    <w:rsid w:val="006E77B7"/>
    <w:rsid w:val="006F1BB7"/>
    <w:rsid w:val="006F4A86"/>
    <w:rsid w:val="007069DB"/>
    <w:rsid w:val="00707F55"/>
    <w:rsid w:val="007130F2"/>
    <w:rsid w:val="00737C25"/>
    <w:rsid w:val="00744172"/>
    <w:rsid w:val="00755448"/>
    <w:rsid w:val="00755744"/>
    <w:rsid w:val="00765103"/>
    <w:rsid w:val="007654A3"/>
    <w:rsid w:val="007777D5"/>
    <w:rsid w:val="00786FB1"/>
    <w:rsid w:val="0079518E"/>
    <w:rsid w:val="007A7DE5"/>
    <w:rsid w:val="007C185D"/>
    <w:rsid w:val="007F4A76"/>
    <w:rsid w:val="008165F7"/>
    <w:rsid w:val="00823D0E"/>
    <w:rsid w:val="0083119C"/>
    <w:rsid w:val="0083566F"/>
    <w:rsid w:val="00835EDA"/>
    <w:rsid w:val="00840E41"/>
    <w:rsid w:val="008453C1"/>
    <w:rsid w:val="008532AD"/>
    <w:rsid w:val="0086696D"/>
    <w:rsid w:val="008669C8"/>
    <w:rsid w:val="0088063B"/>
    <w:rsid w:val="0089318B"/>
    <w:rsid w:val="00895CA1"/>
    <w:rsid w:val="008A07C3"/>
    <w:rsid w:val="008A75B6"/>
    <w:rsid w:val="008C1644"/>
    <w:rsid w:val="008C6156"/>
    <w:rsid w:val="008F295D"/>
    <w:rsid w:val="00900DAC"/>
    <w:rsid w:val="00917CEB"/>
    <w:rsid w:val="00922500"/>
    <w:rsid w:val="00926257"/>
    <w:rsid w:val="00936AB5"/>
    <w:rsid w:val="0094578C"/>
    <w:rsid w:val="009742B1"/>
    <w:rsid w:val="009817E3"/>
    <w:rsid w:val="00982F87"/>
    <w:rsid w:val="0099245E"/>
    <w:rsid w:val="009C358D"/>
    <w:rsid w:val="009C6096"/>
    <w:rsid w:val="009C6A0F"/>
    <w:rsid w:val="009D5959"/>
    <w:rsid w:val="009D68A7"/>
    <w:rsid w:val="009D6C76"/>
    <w:rsid w:val="009D7265"/>
    <w:rsid w:val="009D7336"/>
    <w:rsid w:val="009E37B2"/>
    <w:rsid w:val="009E38CC"/>
    <w:rsid w:val="009E39B5"/>
    <w:rsid w:val="009F69F1"/>
    <w:rsid w:val="00A02E85"/>
    <w:rsid w:val="00A06706"/>
    <w:rsid w:val="00A1121B"/>
    <w:rsid w:val="00A1341B"/>
    <w:rsid w:val="00A140F9"/>
    <w:rsid w:val="00A22153"/>
    <w:rsid w:val="00A22C43"/>
    <w:rsid w:val="00A31460"/>
    <w:rsid w:val="00A32922"/>
    <w:rsid w:val="00A418EB"/>
    <w:rsid w:val="00A70535"/>
    <w:rsid w:val="00AA3276"/>
    <w:rsid w:val="00AD3858"/>
    <w:rsid w:val="00AE62FC"/>
    <w:rsid w:val="00AF5F1D"/>
    <w:rsid w:val="00B0257B"/>
    <w:rsid w:val="00B23389"/>
    <w:rsid w:val="00B26CF1"/>
    <w:rsid w:val="00B377AC"/>
    <w:rsid w:val="00B443B1"/>
    <w:rsid w:val="00B47CFB"/>
    <w:rsid w:val="00B53F58"/>
    <w:rsid w:val="00B66192"/>
    <w:rsid w:val="00B759C7"/>
    <w:rsid w:val="00BA7690"/>
    <w:rsid w:val="00BA7D6F"/>
    <w:rsid w:val="00BB4D05"/>
    <w:rsid w:val="00BC7840"/>
    <w:rsid w:val="00BF3ABD"/>
    <w:rsid w:val="00BF5D27"/>
    <w:rsid w:val="00C055F2"/>
    <w:rsid w:val="00C14EA3"/>
    <w:rsid w:val="00C15896"/>
    <w:rsid w:val="00C17D1A"/>
    <w:rsid w:val="00C227A7"/>
    <w:rsid w:val="00C22C09"/>
    <w:rsid w:val="00C31060"/>
    <w:rsid w:val="00C37003"/>
    <w:rsid w:val="00C37648"/>
    <w:rsid w:val="00C44F38"/>
    <w:rsid w:val="00C4617B"/>
    <w:rsid w:val="00C539F3"/>
    <w:rsid w:val="00C55869"/>
    <w:rsid w:val="00C613CC"/>
    <w:rsid w:val="00C90EA2"/>
    <w:rsid w:val="00C92573"/>
    <w:rsid w:val="00CB24B5"/>
    <w:rsid w:val="00CB45F3"/>
    <w:rsid w:val="00CD3000"/>
    <w:rsid w:val="00CE0A7D"/>
    <w:rsid w:val="00D00672"/>
    <w:rsid w:val="00D028C4"/>
    <w:rsid w:val="00D068C8"/>
    <w:rsid w:val="00D17624"/>
    <w:rsid w:val="00D277CB"/>
    <w:rsid w:val="00D50B6B"/>
    <w:rsid w:val="00D61B41"/>
    <w:rsid w:val="00D67C1F"/>
    <w:rsid w:val="00D743B2"/>
    <w:rsid w:val="00D7604F"/>
    <w:rsid w:val="00D82DEC"/>
    <w:rsid w:val="00D8686E"/>
    <w:rsid w:val="00D96DE2"/>
    <w:rsid w:val="00D97364"/>
    <w:rsid w:val="00DB08CD"/>
    <w:rsid w:val="00DB336C"/>
    <w:rsid w:val="00DD30EC"/>
    <w:rsid w:val="00DE0996"/>
    <w:rsid w:val="00DE1597"/>
    <w:rsid w:val="00DF69F6"/>
    <w:rsid w:val="00E2476D"/>
    <w:rsid w:val="00E3572A"/>
    <w:rsid w:val="00E43AC4"/>
    <w:rsid w:val="00E45595"/>
    <w:rsid w:val="00E6017A"/>
    <w:rsid w:val="00E60F2E"/>
    <w:rsid w:val="00E65EE7"/>
    <w:rsid w:val="00E707C5"/>
    <w:rsid w:val="00E721D1"/>
    <w:rsid w:val="00E761BB"/>
    <w:rsid w:val="00E8667D"/>
    <w:rsid w:val="00EA7124"/>
    <w:rsid w:val="00EB64B9"/>
    <w:rsid w:val="00EC7600"/>
    <w:rsid w:val="00ED3DA0"/>
    <w:rsid w:val="00EE21A3"/>
    <w:rsid w:val="00EF39B8"/>
    <w:rsid w:val="00EF489C"/>
    <w:rsid w:val="00F017A9"/>
    <w:rsid w:val="00F0329D"/>
    <w:rsid w:val="00F24A26"/>
    <w:rsid w:val="00F41DD7"/>
    <w:rsid w:val="00F529CD"/>
    <w:rsid w:val="00F601DE"/>
    <w:rsid w:val="00F722DE"/>
    <w:rsid w:val="00F73ED3"/>
    <w:rsid w:val="00F803DF"/>
    <w:rsid w:val="00F8311A"/>
    <w:rsid w:val="00F901DB"/>
    <w:rsid w:val="00F93E88"/>
    <w:rsid w:val="00F96B7E"/>
    <w:rsid w:val="00FB5B2C"/>
    <w:rsid w:val="00FC68B3"/>
    <w:rsid w:val="00FC68F0"/>
    <w:rsid w:val="00FD1F6A"/>
    <w:rsid w:val="00FD424B"/>
    <w:rsid w:val="00FD5CB2"/>
    <w:rsid w:val="00FD6FED"/>
    <w:rsid w:val="00FD74D8"/>
    <w:rsid w:val="00FE3702"/>
    <w:rsid w:val="00FF38DE"/>
    <w:rsid w:val="00FF60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E63C0"/>
  <w15:chartTrackingRefBased/>
  <w15:docId w15:val="{12BC8F60-7899-C944-83AF-77CFF188A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C72D4"/>
    <w:rPr>
      <w:rFonts w:ascii="Times New Roman" w:eastAsia="Times New Roman" w:hAnsi="Times New Roman"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kademisch">
    <w:name w:val="Akademisch"/>
    <w:basedOn w:val="Standard"/>
    <w:link w:val="AkademischZchn"/>
    <w:qFormat/>
    <w:rsid w:val="000C72D4"/>
    <w:pPr>
      <w:spacing w:before="120" w:after="120" w:line="360" w:lineRule="auto"/>
      <w:jc w:val="both"/>
    </w:pPr>
    <w:rPr>
      <w:rFonts w:eastAsiaTheme="minorHAnsi"/>
      <w:szCs w:val="22"/>
      <w:lang w:val="en-GB" w:eastAsia="en-US"/>
    </w:rPr>
  </w:style>
  <w:style w:type="character" w:customStyle="1" w:styleId="AkademischZchn">
    <w:name w:val="Akademisch Zchn"/>
    <w:basedOn w:val="Absatz-Standardschriftart"/>
    <w:link w:val="Akademisch"/>
    <w:rsid w:val="000C72D4"/>
    <w:rPr>
      <w:rFonts w:ascii="Times New Roman" w:hAnsi="Times New Roman" w:cs="Times New Roman"/>
      <w:szCs w:val="22"/>
      <w:lang w:val="en-GB"/>
    </w:rPr>
  </w:style>
  <w:style w:type="paragraph" w:styleId="Beschriftung">
    <w:name w:val="caption"/>
    <w:basedOn w:val="Standard"/>
    <w:next w:val="Standard"/>
    <w:link w:val="BeschriftungZchn"/>
    <w:uiPriority w:val="35"/>
    <w:unhideWhenUsed/>
    <w:qFormat/>
    <w:rsid w:val="000C72D4"/>
    <w:pPr>
      <w:spacing w:after="200"/>
      <w:ind w:left="567" w:right="567"/>
      <w:jc w:val="both"/>
    </w:pPr>
    <w:rPr>
      <w:rFonts w:asciiTheme="minorHAnsi" w:eastAsiaTheme="minorEastAsia" w:hAnsiTheme="minorHAnsi" w:cstheme="minorHAnsi"/>
      <w:b/>
      <w:iCs/>
      <w:sz w:val="22"/>
      <w:szCs w:val="22"/>
      <w:lang w:val="en-GB" w:eastAsia="en-US"/>
    </w:rPr>
  </w:style>
  <w:style w:type="character" w:customStyle="1" w:styleId="BeschriftungZchn">
    <w:name w:val="Beschriftung Zchn"/>
    <w:basedOn w:val="Absatz-Standardschriftart"/>
    <w:link w:val="Beschriftung"/>
    <w:uiPriority w:val="35"/>
    <w:rsid w:val="000C72D4"/>
    <w:rPr>
      <w:rFonts w:eastAsiaTheme="minorEastAsia" w:cstheme="minorHAnsi"/>
      <w:b/>
      <w:iCs/>
      <w:sz w:val="22"/>
      <w:szCs w:val="22"/>
      <w:lang w:val="en-GB"/>
    </w:rPr>
  </w:style>
  <w:style w:type="paragraph" w:styleId="Fuzeile">
    <w:name w:val="footer"/>
    <w:basedOn w:val="Standard"/>
    <w:link w:val="FuzeileZchn"/>
    <w:uiPriority w:val="99"/>
    <w:unhideWhenUsed/>
    <w:rsid w:val="000C72D4"/>
    <w:pPr>
      <w:tabs>
        <w:tab w:val="center" w:pos="4536"/>
        <w:tab w:val="right" w:pos="9072"/>
      </w:tabs>
    </w:pPr>
    <w:rPr>
      <w:rFonts w:asciiTheme="minorHAnsi" w:eastAsiaTheme="minorEastAsia" w:hAnsiTheme="minorHAnsi" w:cstheme="minorBidi"/>
      <w:sz w:val="22"/>
      <w:szCs w:val="22"/>
      <w:lang w:val="en-GB" w:eastAsia="en-US"/>
    </w:rPr>
  </w:style>
  <w:style w:type="character" w:customStyle="1" w:styleId="FuzeileZchn">
    <w:name w:val="Fußzeile Zchn"/>
    <w:basedOn w:val="Absatz-Standardschriftart"/>
    <w:link w:val="Fuzeile"/>
    <w:uiPriority w:val="99"/>
    <w:rsid w:val="000C72D4"/>
    <w:rPr>
      <w:rFonts w:eastAsiaTheme="minorEastAsia"/>
      <w:sz w:val="22"/>
      <w:szCs w:val="22"/>
      <w:lang w:val="en-GB"/>
    </w:rPr>
  </w:style>
  <w:style w:type="character" w:styleId="Kommentarzeichen">
    <w:name w:val="annotation reference"/>
    <w:basedOn w:val="Absatz-Standardschriftart"/>
    <w:uiPriority w:val="99"/>
    <w:semiHidden/>
    <w:unhideWhenUsed/>
    <w:rsid w:val="000C72D4"/>
    <w:rPr>
      <w:sz w:val="16"/>
      <w:szCs w:val="16"/>
    </w:rPr>
  </w:style>
  <w:style w:type="character" w:customStyle="1" w:styleId="apple-converted-space">
    <w:name w:val="apple-converted-space"/>
    <w:basedOn w:val="Absatz-Standardschriftart"/>
    <w:rsid w:val="000C72D4"/>
  </w:style>
  <w:style w:type="character" w:styleId="Seitenzahl">
    <w:name w:val="page number"/>
    <w:basedOn w:val="Absatz-Standardschriftart"/>
    <w:uiPriority w:val="99"/>
    <w:semiHidden/>
    <w:unhideWhenUsed/>
    <w:rsid w:val="000C72D4"/>
  </w:style>
  <w:style w:type="paragraph" w:customStyle="1" w:styleId="author">
    <w:name w:val="author"/>
    <w:basedOn w:val="Standard"/>
    <w:next w:val="Standard"/>
    <w:rsid w:val="00D97364"/>
    <w:pPr>
      <w:spacing w:before="120"/>
    </w:pPr>
    <w:rPr>
      <w:lang w:val="en-US"/>
    </w:rPr>
  </w:style>
  <w:style w:type="paragraph" w:styleId="Kopfzeile">
    <w:name w:val="header"/>
    <w:basedOn w:val="Standard"/>
    <w:link w:val="KopfzeileZchn"/>
    <w:uiPriority w:val="99"/>
    <w:unhideWhenUsed/>
    <w:rsid w:val="00D97364"/>
    <w:pPr>
      <w:tabs>
        <w:tab w:val="center" w:pos="4536"/>
        <w:tab w:val="right" w:pos="9072"/>
      </w:tabs>
    </w:pPr>
  </w:style>
  <w:style w:type="character" w:customStyle="1" w:styleId="KopfzeileZchn">
    <w:name w:val="Kopfzeile Zchn"/>
    <w:basedOn w:val="Absatz-Standardschriftart"/>
    <w:link w:val="Kopfzeile"/>
    <w:uiPriority w:val="99"/>
    <w:rsid w:val="00D97364"/>
    <w:rPr>
      <w:rFonts w:ascii="Times New Roman" w:eastAsia="Times New Roman" w:hAnsi="Times New Roman" w:cs="Times New Roman"/>
      <w:lang w:eastAsia="de-DE"/>
    </w:rPr>
  </w:style>
  <w:style w:type="paragraph" w:styleId="berarbeitung">
    <w:name w:val="Revision"/>
    <w:hidden/>
    <w:uiPriority w:val="99"/>
    <w:semiHidden/>
    <w:rsid w:val="00051C90"/>
    <w:rPr>
      <w:rFonts w:ascii="Times New Roman" w:eastAsia="Times New Roman" w:hAnsi="Times New Roman" w:cs="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TIF"/><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1473</Words>
  <Characters>9287</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Arend</dc:creator>
  <cp:keywords/>
  <dc:description/>
  <cp:lastModifiedBy>Christian Arend</cp:lastModifiedBy>
  <cp:revision>17</cp:revision>
  <dcterms:created xsi:type="dcterms:W3CDTF">2022-08-12T13:32:00Z</dcterms:created>
  <dcterms:modified xsi:type="dcterms:W3CDTF">2023-05-25T07:55:00Z</dcterms:modified>
</cp:coreProperties>
</file>