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EA9A" w14:textId="77777777" w:rsidR="00E33E54" w:rsidRDefault="00E33E54" w:rsidP="00E33E54">
      <w:pPr>
        <w:autoSpaceDE w:val="0"/>
        <w:autoSpaceDN w:val="0"/>
        <w:adjustRightInd w:val="0"/>
        <w:spacing w:line="480" w:lineRule="auto"/>
        <w:jc w:val="both"/>
        <w:rPr>
          <w:b/>
          <w:bCs/>
          <w:color w:val="000000" w:themeColor="text1"/>
          <w:lang w:val="en-US"/>
        </w:rPr>
      </w:pPr>
      <w:bookmarkStart w:id="0" w:name="_GoBack"/>
      <w:bookmarkEnd w:id="0"/>
      <w:r>
        <w:rPr>
          <w:b/>
          <w:bCs/>
          <w:color w:val="000000" w:themeColor="text1"/>
          <w:lang w:val="en-US"/>
        </w:rPr>
        <w:t>Online Resource 3</w:t>
      </w:r>
    </w:p>
    <w:p w14:paraId="612BFEDB" w14:textId="6C890F40" w:rsidR="00E33E54" w:rsidRPr="00246E1F" w:rsidRDefault="00E33E54" w:rsidP="00E33E54">
      <w:pPr>
        <w:autoSpaceDE w:val="0"/>
        <w:autoSpaceDN w:val="0"/>
        <w:adjustRightInd w:val="0"/>
        <w:spacing w:line="480" w:lineRule="auto"/>
        <w:jc w:val="both"/>
        <w:rPr>
          <w:b/>
          <w:bCs/>
          <w:color w:val="000000" w:themeColor="text1"/>
          <w:lang w:val="en-US"/>
        </w:rPr>
      </w:pPr>
      <w:r w:rsidRPr="00E33E54">
        <w:rPr>
          <w:b/>
          <w:bCs/>
          <w:color w:val="000000" w:themeColor="text1"/>
          <w:lang w:val="en-US"/>
        </w:rPr>
        <w:t xml:space="preserve">Adapted version of the </w:t>
      </w:r>
      <w:r w:rsidRPr="00E33E54">
        <w:rPr>
          <w:b/>
          <w:bCs/>
          <w:lang w:val="en-US"/>
        </w:rPr>
        <w:t>Joanna Briggs Institute (JBI) Critical Appraisal Checklist for studies Reporting Prevalence Data</w:t>
      </w:r>
      <w:r w:rsidRPr="00E33E54">
        <w:rPr>
          <w:b/>
          <w:bCs/>
          <w:color w:val="000000" w:themeColor="text1"/>
          <w:lang w:val="en-US"/>
        </w:rPr>
        <w:t xml:space="preserve"> to rate Study Quality</w:t>
      </w:r>
    </w:p>
    <w:p w14:paraId="6FDCF37E" w14:textId="77777777" w:rsidR="00E33E54" w:rsidRPr="00362EC7" w:rsidRDefault="00E33E54" w:rsidP="00E33E54">
      <w:pPr>
        <w:pStyle w:val="Lijstalinea"/>
        <w:numPr>
          <w:ilvl w:val="0"/>
          <w:numId w:val="1"/>
        </w:numPr>
        <w:ind w:left="0"/>
        <w:jc w:val="both"/>
        <w:rPr>
          <w:rFonts w:ascii="Times New Roman" w:hAnsi="Times New Roman" w:cs="Times New Roman"/>
          <w:b/>
          <w:bCs/>
          <w:lang w:val="en-US"/>
        </w:rPr>
      </w:pPr>
      <w:r w:rsidRPr="00362EC7">
        <w:rPr>
          <w:rFonts w:ascii="Times New Roman" w:hAnsi="Times New Roman" w:cs="Times New Roman"/>
          <w:b/>
          <w:bCs/>
          <w:lang w:val="en-US"/>
        </w:rPr>
        <w:t>Was the sample frame appropriate to address the target population?</w:t>
      </w:r>
    </w:p>
    <w:p w14:paraId="0A76241C" w14:textId="77777777" w:rsidR="00E33E54" w:rsidRPr="00362EC7" w:rsidRDefault="00E33E54" w:rsidP="00E33E54">
      <w:pPr>
        <w:pStyle w:val="Lijstalinea"/>
        <w:ind w:left="0"/>
        <w:jc w:val="both"/>
        <w:rPr>
          <w:rFonts w:ascii="Times New Roman" w:hAnsi="Times New Roman" w:cs="Times New Roman"/>
          <w:lang w:val="en-US"/>
        </w:rPr>
      </w:pPr>
      <w:r w:rsidRPr="00362EC7">
        <w:rPr>
          <w:rFonts w:ascii="Times New Roman" w:hAnsi="Times New Roman" w:cs="Times New Roman"/>
          <w:lang w:val="en-US"/>
        </w:rPr>
        <w:t xml:space="preserve">The in- and exclusion criteria ensured that the sample frame was appropriate to address the target population (i.e., patients seen for routine care in a clinical context). </w:t>
      </w:r>
      <w:r>
        <w:rPr>
          <w:rFonts w:ascii="Times New Roman" w:hAnsi="Times New Roman" w:cs="Times New Roman"/>
          <w:lang w:val="en-US"/>
        </w:rPr>
        <w:t>In case</w:t>
      </w:r>
      <w:r w:rsidRPr="00362EC7">
        <w:rPr>
          <w:rFonts w:ascii="Times New Roman" w:hAnsi="Times New Roman" w:cs="Times New Roman"/>
          <w:lang w:val="en-US"/>
        </w:rPr>
        <w:t xml:space="preserve"> additional diagnostic (sub) groups were examined, </w:t>
      </w:r>
      <w:r>
        <w:rPr>
          <w:rFonts w:ascii="Times New Roman" w:hAnsi="Times New Roman" w:cs="Times New Roman"/>
          <w:lang w:val="en-US"/>
        </w:rPr>
        <w:t xml:space="preserve">the following </w:t>
      </w:r>
      <w:r w:rsidRPr="00362EC7">
        <w:rPr>
          <w:rFonts w:ascii="Times New Roman" w:hAnsi="Times New Roman" w:cs="Times New Roman"/>
          <w:lang w:val="en-US"/>
        </w:rPr>
        <w:t xml:space="preserve">diagnostic criteria were </w:t>
      </w:r>
      <w:r>
        <w:rPr>
          <w:rFonts w:ascii="Times New Roman" w:hAnsi="Times New Roman" w:cs="Times New Roman"/>
          <w:lang w:val="en-US"/>
        </w:rPr>
        <w:t xml:space="preserve">used </w:t>
      </w:r>
      <w:r w:rsidRPr="00362EC7">
        <w:rPr>
          <w:rFonts w:ascii="Times New Roman" w:hAnsi="Times New Roman" w:cs="Times New Roman"/>
          <w:lang w:val="en-US"/>
        </w:rPr>
        <w:t xml:space="preserve">to </w:t>
      </w:r>
      <w:r>
        <w:rPr>
          <w:rFonts w:ascii="Times New Roman" w:hAnsi="Times New Roman" w:cs="Times New Roman"/>
          <w:lang w:val="en-US"/>
        </w:rPr>
        <w:t xml:space="preserve">examine </w:t>
      </w:r>
      <w:r w:rsidRPr="00362EC7">
        <w:rPr>
          <w:rFonts w:ascii="Times New Roman" w:hAnsi="Times New Roman" w:cs="Times New Roman"/>
          <w:lang w:val="en-US"/>
        </w:rPr>
        <w:t xml:space="preserve">adequate diagnostic (sub)group allocation. </w:t>
      </w:r>
    </w:p>
    <w:p w14:paraId="7153F90C" w14:textId="77777777" w:rsidR="00E33E54" w:rsidRPr="00362EC7" w:rsidRDefault="00E33E54" w:rsidP="00E33E54">
      <w:pPr>
        <w:pStyle w:val="Lijstalinea"/>
        <w:ind w:left="0"/>
        <w:jc w:val="both"/>
        <w:rPr>
          <w:rFonts w:ascii="Times New Roman" w:hAnsi="Times New Roman" w:cs="Times New Roman"/>
          <w:lang w:val="en-US"/>
        </w:rPr>
      </w:pPr>
    </w:p>
    <w:p w14:paraId="3D862803" w14:textId="77777777" w:rsidR="00E33E54" w:rsidRPr="00362EC7" w:rsidRDefault="00E33E54" w:rsidP="00E33E54">
      <w:pPr>
        <w:pStyle w:val="Lijstalinea"/>
        <w:ind w:left="0"/>
        <w:jc w:val="both"/>
        <w:rPr>
          <w:rFonts w:ascii="Times New Roman" w:hAnsi="Times New Roman" w:cs="Times New Roman"/>
          <w:color w:val="000000"/>
          <w:lang w:val="en-US"/>
        </w:rPr>
      </w:pPr>
      <w:r w:rsidRPr="00362EC7">
        <w:rPr>
          <w:rFonts w:ascii="Times New Roman" w:hAnsi="Times New Roman" w:cs="Times New Roman"/>
          <w:lang w:val="en-US"/>
        </w:rPr>
        <w:t xml:space="preserve">For MCI, we used the diagnostic criteria from </w:t>
      </w:r>
      <w:r w:rsidRPr="00362EC7">
        <w:rPr>
          <w:rFonts w:ascii="Times New Roman" w:hAnsi="Times New Roman" w:cs="Times New Roman"/>
          <w:color w:val="000000"/>
          <w:lang w:val="en-US"/>
        </w:rPr>
        <w:t xml:space="preserve">Petersen, R. C., Smith, G. E., Waring, S. C., </w:t>
      </w:r>
      <w:proofErr w:type="spellStart"/>
      <w:r w:rsidRPr="00362EC7">
        <w:rPr>
          <w:rFonts w:ascii="Times New Roman" w:hAnsi="Times New Roman" w:cs="Times New Roman"/>
          <w:color w:val="000000"/>
          <w:lang w:val="en-US"/>
        </w:rPr>
        <w:t>Ivnik</w:t>
      </w:r>
      <w:proofErr w:type="spellEnd"/>
      <w:r w:rsidRPr="00362EC7">
        <w:rPr>
          <w:rFonts w:ascii="Times New Roman" w:hAnsi="Times New Roman" w:cs="Times New Roman"/>
          <w:color w:val="000000"/>
          <w:lang w:val="en-US"/>
        </w:rPr>
        <w:t xml:space="preserve">, R. J., </w:t>
      </w:r>
      <w:proofErr w:type="spellStart"/>
      <w:r w:rsidRPr="00362EC7">
        <w:rPr>
          <w:rFonts w:ascii="Times New Roman" w:hAnsi="Times New Roman" w:cs="Times New Roman"/>
          <w:color w:val="000000"/>
          <w:lang w:val="en-US"/>
        </w:rPr>
        <w:t>Tangalos</w:t>
      </w:r>
      <w:proofErr w:type="spellEnd"/>
      <w:r w:rsidRPr="00362EC7">
        <w:rPr>
          <w:rFonts w:ascii="Times New Roman" w:hAnsi="Times New Roman" w:cs="Times New Roman"/>
          <w:color w:val="000000"/>
          <w:lang w:val="en-US"/>
        </w:rPr>
        <w:t xml:space="preserve">, E. G., &amp; </w:t>
      </w:r>
      <w:proofErr w:type="spellStart"/>
      <w:r w:rsidRPr="00362EC7">
        <w:rPr>
          <w:rFonts w:ascii="Times New Roman" w:hAnsi="Times New Roman" w:cs="Times New Roman"/>
          <w:color w:val="000000"/>
          <w:lang w:val="en-US"/>
        </w:rPr>
        <w:t>Kokmen</w:t>
      </w:r>
      <w:proofErr w:type="spellEnd"/>
      <w:r w:rsidRPr="00362EC7">
        <w:rPr>
          <w:rFonts w:ascii="Times New Roman" w:hAnsi="Times New Roman" w:cs="Times New Roman"/>
          <w:color w:val="000000"/>
          <w:lang w:val="en-US"/>
        </w:rPr>
        <w:t xml:space="preserve">, E. (1999). Mild cognitive impairment: Clinical characterization and outcome. </w:t>
      </w:r>
      <w:r w:rsidRPr="00362EC7">
        <w:rPr>
          <w:rFonts w:ascii="Times New Roman" w:hAnsi="Times New Roman" w:cs="Times New Roman"/>
          <w:i/>
          <w:iCs/>
          <w:color w:val="000000"/>
          <w:lang w:val="en-US"/>
        </w:rPr>
        <w:t>Archives of Neurology, 56</w:t>
      </w:r>
      <w:r w:rsidRPr="00362EC7">
        <w:rPr>
          <w:rFonts w:ascii="Times New Roman" w:hAnsi="Times New Roman" w:cs="Times New Roman"/>
          <w:color w:val="000000"/>
          <w:lang w:val="en-US"/>
        </w:rPr>
        <w:t xml:space="preserve">, 303–308. </w:t>
      </w:r>
    </w:p>
    <w:p w14:paraId="5EB9CF3C" w14:textId="77777777" w:rsidR="00E33E54" w:rsidRPr="00362EC7" w:rsidRDefault="00E33E54" w:rsidP="00E33E54">
      <w:pPr>
        <w:pStyle w:val="Lijstalinea"/>
        <w:ind w:left="0"/>
        <w:jc w:val="both"/>
        <w:rPr>
          <w:rFonts w:ascii="Times New Roman" w:hAnsi="Times New Roman" w:cs="Times New Roman"/>
          <w:color w:val="000000"/>
          <w:lang w:val="en-US"/>
        </w:rPr>
      </w:pPr>
    </w:p>
    <w:p w14:paraId="195009F7" w14:textId="77777777" w:rsidR="00E33E54" w:rsidRPr="00362EC7" w:rsidRDefault="00E33E54" w:rsidP="00E33E54">
      <w:pPr>
        <w:pStyle w:val="Lijstalinea"/>
        <w:ind w:left="0"/>
        <w:jc w:val="both"/>
        <w:rPr>
          <w:rFonts w:ascii="Times New Roman" w:hAnsi="Times New Roman" w:cs="Times New Roman"/>
          <w:i/>
          <w:iCs/>
          <w:lang w:val="en-US"/>
        </w:rPr>
      </w:pPr>
      <w:r w:rsidRPr="00362EC7">
        <w:rPr>
          <w:rFonts w:ascii="Times New Roman" w:hAnsi="Times New Roman" w:cs="Times New Roman"/>
          <w:lang w:val="en-US"/>
        </w:rPr>
        <w:t>For (m)TBI, we used presence of one or more of the following DSM-V criteria: (1) loss of consciousness, (2) posttraumatic amnesia (PTA), (3) disorientation and confusion, and (4) neurological signs (e.g., visual field cuts, or new onset of seizures) (</w:t>
      </w:r>
      <w:r w:rsidRPr="00362EC7">
        <w:rPr>
          <w:rFonts w:ascii="Times New Roman" w:eastAsia="Times New Roman" w:hAnsi="Times New Roman" w:cs="Times New Roman"/>
          <w:color w:val="333333"/>
          <w:shd w:val="clear" w:color="auto" w:fill="FFFFFF"/>
          <w:lang w:val="en-US"/>
        </w:rPr>
        <w:t>American Psychiatric Association. (2013). Neurocognitive disorders. In </w:t>
      </w:r>
      <w:r w:rsidRPr="00362EC7">
        <w:rPr>
          <w:rFonts w:ascii="Times New Roman" w:eastAsia="Times New Roman" w:hAnsi="Times New Roman" w:cs="Times New Roman"/>
          <w:i/>
          <w:iCs/>
          <w:color w:val="333333"/>
          <w:lang w:val="en-US"/>
        </w:rPr>
        <w:t>Diagnostic and statistical manual of mental disorders</w:t>
      </w:r>
      <w:r w:rsidRPr="00362EC7">
        <w:rPr>
          <w:rFonts w:ascii="Times New Roman" w:eastAsia="Times New Roman" w:hAnsi="Times New Roman" w:cs="Times New Roman"/>
          <w:color w:val="333333"/>
          <w:shd w:val="clear" w:color="auto" w:fill="FFFFFF"/>
          <w:lang w:val="en-US"/>
        </w:rPr>
        <w:t> (5th ed.)</w:t>
      </w:r>
    </w:p>
    <w:p w14:paraId="2E9B020D" w14:textId="77777777" w:rsidR="00E33E54" w:rsidRPr="00362EC7" w:rsidRDefault="00E33E54" w:rsidP="00E33E54">
      <w:pPr>
        <w:jc w:val="both"/>
        <w:rPr>
          <w:lang w:val="en-US"/>
        </w:rPr>
      </w:pPr>
    </w:p>
    <w:p w14:paraId="0BAA84D8" w14:textId="77777777" w:rsidR="00E33E54" w:rsidRPr="00362EC7" w:rsidRDefault="00E33E54" w:rsidP="00E33E54">
      <w:pPr>
        <w:pStyle w:val="Lijstalinea"/>
        <w:ind w:left="0"/>
        <w:jc w:val="both"/>
        <w:rPr>
          <w:rFonts w:ascii="Times New Roman" w:hAnsi="Times New Roman" w:cs="Times New Roman"/>
          <w:lang w:val="en-US"/>
        </w:rPr>
      </w:pPr>
      <w:r w:rsidRPr="00362EC7">
        <w:rPr>
          <w:rFonts w:ascii="Times New Roman" w:hAnsi="Times New Roman" w:cs="Times New Roman"/>
          <w:lang w:val="en-US"/>
        </w:rPr>
        <w:t xml:space="preserve">For epilepsy diagnosis, seizures needed to be confirmed by EEG. </w:t>
      </w:r>
    </w:p>
    <w:p w14:paraId="27B6F6F6" w14:textId="77777777" w:rsidR="00E33E54" w:rsidRPr="00362EC7" w:rsidRDefault="00E33E54" w:rsidP="00E33E54">
      <w:pPr>
        <w:pStyle w:val="Lijstalinea"/>
        <w:ind w:left="0"/>
        <w:jc w:val="both"/>
        <w:rPr>
          <w:rFonts w:ascii="Times New Roman" w:hAnsi="Times New Roman" w:cs="Times New Roman"/>
          <w:lang w:val="en-US"/>
        </w:rPr>
      </w:pPr>
    </w:p>
    <w:p w14:paraId="312D0074" w14:textId="77777777" w:rsidR="00E33E54" w:rsidRPr="00362EC7" w:rsidRDefault="00E33E54" w:rsidP="00E33E54">
      <w:pPr>
        <w:pStyle w:val="Lijstalinea"/>
        <w:ind w:left="0"/>
        <w:jc w:val="both"/>
        <w:rPr>
          <w:rFonts w:ascii="Times New Roman" w:hAnsi="Times New Roman" w:cs="Times New Roman"/>
          <w:lang w:val="en-US"/>
        </w:rPr>
      </w:pPr>
      <w:r w:rsidRPr="00362EC7">
        <w:rPr>
          <w:rFonts w:ascii="Times New Roman" w:hAnsi="Times New Roman" w:cs="Times New Roman"/>
          <w:lang w:val="en-US"/>
        </w:rPr>
        <w:t>For PNES, clinical manifestations (e.g., shaking or unresponsiveness) in the absence of EEG abnormalities was used as diagnostic criterion.</w:t>
      </w:r>
    </w:p>
    <w:p w14:paraId="267727C0" w14:textId="77777777" w:rsidR="00E33E54" w:rsidRPr="00362EC7" w:rsidRDefault="00E33E54" w:rsidP="00E33E54">
      <w:pPr>
        <w:pStyle w:val="Lijstalinea"/>
        <w:ind w:left="0"/>
        <w:jc w:val="both"/>
        <w:rPr>
          <w:rFonts w:ascii="Times New Roman" w:hAnsi="Times New Roman" w:cs="Times New Roman"/>
          <w:lang w:val="en-US"/>
        </w:rPr>
      </w:pPr>
    </w:p>
    <w:p w14:paraId="443CC0C6" w14:textId="77777777" w:rsidR="00E33E54" w:rsidRPr="00362EC7" w:rsidRDefault="00E33E54" w:rsidP="00E33E54">
      <w:pPr>
        <w:pStyle w:val="Lijstalinea"/>
        <w:ind w:left="0"/>
        <w:jc w:val="both"/>
        <w:rPr>
          <w:rFonts w:ascii="Times New Roman" w:hAnsi="Times New Roman" w:cs="Times New Roman"/>
          <w:lang w:val="en-US"/>
        </w:rPr>
      </w:pPr>
      <w:r w:rsidRPr="00362EC7">
        <w:rPr>
          <w:rFonts w:ascii="Times New Roman" w:hAnsi="Times New Roman" w:cs="Times New Roman"/>
          <w:lang w:val="en-US"/>
        </w:rPr>
        <w:t xml:space="preserve">For Parkinson’s disease, the Queens Square Brain Bank criteria were used diagnostic criteria (Lees A. J., Hardy, J. &amp; </w:t>
      </w:r>
      <w:proofErr w:type="spellStart"/>
      <w:r w:rsidRPr="00362EC7">
        <w:rPr>
          <w:rFonts w:ascii="Times New Roman" w:hAnsi="Times New Roman" w:cs="Times New Roman"/>
          <w:lang w:val="en-US"/>
        </w:rPr>
        <w:t>Revesz</w:t>
      </w:r>
      <w:proofErr w:type="spellEnd"/>
      <w:r w:rsidRPr="00362EC7">
        <w:rPr>
          <w:rFonts w:ascii="Times New Roman" w:hAnsi="Times New Roman" w:cs="Times New Roman"/>
          <w:lang w:val="en-US"/>
        </w:rPr>
        <w:t xml:space="preserve">, T., (2009). Parkinson’s disease, </w:t>
      </w:r>
      <w:r w:rsidRPr="00362EC7">
        <w:rPr>
          <w:rFonts w:ascii="Times New Roman" w:hAnsi="Times New Roman" w:cs="Times New Roman"/>
          <w:i/>
          <w:iCs/>
          <w:lang w:val="en-US"/>
        </w:rPr>
        <w:t>The Lancet</w:t>
      </w:r>
      <w:r w:rsidRPr="00362EC7">
        <w:rPr>
          <w:rFonts w:ascii="Times New Roman" w:hAnsi="Times New Roman" w:cs="Times New Roman"/>
          <w:lang w:val="en-US"/>
        </w:rPr>
        <w:t>, 373(9680), 2055-2066).</w:t>
      </w:r>
    </w:p>
    <w:p w14:paraId="69BC4577" w14:textId="77777777" w:rsidR="00E33E54" w:rsidRPr="00362EC7" w:rsidRDefault="00E33E54" w:rsidP="00E33E54">
      <w:pPr>
        <w:pStyle w:val="Lijstalinea"/>
        <w:ind w:left="0"/>
        <w:jc w:val="both"/>
        <w:rPr>
          <w:rFonts w:ascii="Times New Roman" w:hAnsi="Times New Roman" w:cs="Times New Roman"/>
          <w:lang w:val="en-US"/>
        </w:rPr>
      </w:pPr>
    </w:p>
    <w:p w14:paraId="76C1E8C1" w14:textId="77777777" w:rsidR="00E33E54" w:rsidRPr="00362EC7" w:rsidRDefault="00E33E54" w:rsidP="00E33E54">
      <w:pPr>
        <w:pStyle w:val="Lijstalinea"/>
        <w:numPr>
          <w:ilvl w:val="0"/>
          <w:numId w:val="1"/>
        </w:numPr>
        <w:ind w:left="0"/>
        <w:jc w:val="both"/>
        <w:rPr>
          <w:rFonts w:ascii="Times New Roman" w:hAnsi="Times New Roman" w:cs="Times New Roman"/>
          <w:b/>
          <w:bCs/>
          <w:lang w:val="en-US"/>
        </w:rPr>
      </w:pPr>
      <w:r w:rsidRPr="00362EC7">
        <w:rPr>
          <w:rFonts w:ascii="Times New Roman" w:hAnsi="Times New Roman" w:cs="Times New Roman"/>
          <w:b/>
          <w:bCs/>
          <w:lang w:val="en-US"/>
        </w:rPr>
        <w:t>Were study participants recruited in an appropriate way?</w:t>
      </w:r>
    </w:p>
    <w:p w14:paraId="080B1DFE" w14:textId="77777777" w:rsidR="00E33E54" w:rsidRPr="00362EC7" w:rsidRDefault="00E33E54" w:rsidP="00E33E54">
      <w:pPr>
        <w:pStyle w:val="Lijstalinea"/>
        <w:ind w:left="0"/>
        <w:jc w:val="both"/>
        <w:rPr>
          <w:rFonts w:ascii="Times New Roman" w:hAnsi="Times New Roman" w:cs="Times New Roman"/>
          <w:lang w:val="en-US"/>
        </w:rPr>
      </w:pPr>
      <w:r w:rsidRPr="00362EC7">
        <w:rPr>
          <w:rFonts w:ascii="Times New Roman" w:hAnsi="Times New Roman" w:cs="Times New Roman"/>
          <w:lang w:val="en-US"/>
        </w:rPr>
        <w:t>Sampling has to be clearly stated. Reporting on all data</w:t>
      </w:r>
      <w:r>
        <w:rPr>
          <w:rFonts w:ascii="Times New Roman" w:hAnsi="Times New Roman" w:cs="Times New Roman"/>
          <w:lang w:val="en-US"/>
        </w:rPr>
        <w:t xml:space="preserve"> (e.g., consecutive referrals)</w:t>
      </w:r>
      <w:r w:rsidRPr="00362EC7">
        <w:rPr>
          <w:rFonts w:ascii="Times New Roman" w:hAnsi="Times New Roman" w:cs="Times New Roman"/>
          <w:lang w:val="en-US"/>
        </w:rPr>
        <w:t xml:space="preserve"> from a good census will identify everybody and is considered appropriate.</w:t>
      </w:r>
    </w:p>
    <w:p w14:paraId="2D8A3FB7" w14:textId="77777777" w:rsidR="00E33E54" w:rsidRPr="00362EC7" w:rsidRDefault="00E33E54" w:rsidP="00E33E54">
      <w:pPr>
        <w:pStyle w:val="Lijstalinea"/>
        <w:ind w:left="0"/>
        <w:jc w:val="both"/>
        <w:rPr>
          <w:rFonts w:ascii="Times New Roman" w:hAnsi="Times New Roman" w:cs="Times New Roman"/>
          <w:lang w:val="en-US"/>
        </w:rPr>
      </w:pPr>
    </w:p>
    <w:p w14:paraId="2BBB09ED" w14:textId="77777777" w:rsidR="00E33E54" w:rsidRPr="00362EC7" w:rsidRDefault="00E33E54" w:rsidP="00E33E54">
      <w:pPr>
        <w:pStyle w:val="Lijstalinea"/>
        <w:numPr>
          <w:ilvl w:val="0"/>
          <w:numId w:val="1"/>
        </w:numPr>
        <w:ind w:left="0"/>
        <w:jc w:val="both"/>
        <w:rPr>
          <w:rFonts w:ascii="Times New Roman" w:hAnsi="Times New Roman" w:cs="Times New Roman"/>
          <w:b/>
          <w:bCs/>
          <w:lang w:val="en-US"/>
        </w:rPr>
      </w:pPr>
      <w:r w:rsidRPr="00362EC7">
        <w:rPr>
          <w:rFonts w:ascii="Times New Roman" w:hAnsi="Times New Roman" w:cs="Times New Roman"/>
          <w:b/>
          <w:bCs/>
          <w:lang w:val="en-US"/>
        </w:rPr>
        <w:t>Was the sample size adequate?</w:t>
      </w:r>
    </w:p>
    <w:p w14:paraId="417896A6" w14:textId="77777777" w:rsidR="00E33E54" w:rsidRPr="00362EC7" w:rsidRDefault="00E33E54" w:rsidP="00E33E54">
      <w:pPr>
        <w:pStyle w:val="Lijstalinea"/>
        <w:ind w:left="0"/>
        <w:jc w:val="both"/>
        <w:rPr>
          <w:rFonts w:ascii="Times New Roman" w:hAnsi="Times New Roman" w:cs="Times New Roman"/>
          <w:lang w:val="en-US"/>
        </w:rPr>
      </w:pPr>
      <w:r w:rsidRPr="00362EC7">
        <w:rPr>
          <w:rFonts w:ascii="Times New Roman" w:hAnsi="Times New Roman" w:cs="Times New Roman"/>
          <w:lang w:val="en-US"/>
        </w:rPr>
        <w:t xml:space="preserve">Sample size was calculated using this formula: </w:t>
      </w:r>
      <w:r w:rsidRPr="00362EC7">
        <w:rPr>
          <w:rFonts w:ascii="Times New Roman" w:hAnsi="Times New Roman" w:cs="Times New Roman"/>
          <w:i/>
          <w:iCs/>
          <w:lang w:val="en-US"/>
        </w:rPr>
        <w:t>n</w:t>
      </w:r>
      <w:r w:rsidRPr="00362EC7">
        <w:rPr>
          <w:rFonts w:ascii="Times New Roman" w:hAnsi="Times New Roman" w:cs="Times New Roman"/>
          <w:lang w:val="en-US"/>
        </w:rPr>
        <w:t xml:space="preserve"> = Z</w:t>
      </w:r>
      <w:r w:rsidRPr="00362EC7">
        <w:rPr>
          <w:rFonts w:ascii="Times New Roman" w:hAnsi="Times New Roman" w:cs="Times New Roman"/>
          <w:vertAlign w:val="superscript"/>
          <w:lang w:val="en-US"/>
        </w:rPr>
        <w:t xml:space="preserve">2 </w:t>
      </w:r>
      <w:r w:rsidRPr="00362EC7">
        <w:rPr>
          <w:rFonts w:ascii="Times New Roman" w:hAnsi="Times New Roman" w:cs="Times New Roman"/>
          <w:i/>
          <w:iCs/>
          <w:lang w:val="en-US"/>
        </w:rPr>
        <w:t>P</w:t>
      </w:r>
      <w:r w:rsidRPr="00362EC7">
        <w:rPr>
          <w:rFonts w:ascii="Times New Roman" w:hAnsi="Times New Roman" w:cs="Times New Roman"/>
          <w:lang w:val="en-US"/>
        </w:rPr>
        <w:t>(1-</w:t>
      </w:r>
      <w:r w:rsidRPr="00362EC7">
        <w:rPr>
          <w:rFonts w:ascii="Times New Roman" w:hAnsi="Times New Roman" w:cs="Times New Roman"/>
          <w:i/>
          <w:iCs/>
          <w:lang w:val="en-US"/>
        </w:rPr>
        <w:t>P</w:t>
      </w:r>
      <w:r w:rsidRPr="00362EC7">
        <w:rPr>
          <w:rFonts w:ascii="Times New Roman" w:hAnsi="Times New Roman" w:cs="Times New Roman"/>
          <w:lang w:val="en-US"/>
        </w:rPr>
        <w:t>)/</w:t>
      </w:r>
      <w:r w:rsidRPr="00362EC7">
        <w:rPr>
          <w:rFonts w:ascii="Times New Roman" w:hAnsi="Times New Roman" w:cs="Times New Roman"/>
          <w:i/>
          <w:iCs/>
          <w:lang w:val="en-US"/>
        </w:rPr>
        <w:t>d</w:t>
      </w:r>
      <w:r w:rsidRPr="00362EC7">
        <w:rPr>
          <w:rFonts w:ascii="Times New Roman" w:hAnsi="Times New Roman" w:cs="Times New Roman"/>
          <w:vertAlign w:val="superscript"/>
          <w:lang w:val="en-US"/>
        </w:rPr>
        <w:t>2</w:t>
      </w:r>
      <w:r w:rsidRPr="00362EC7">
        <w:rPr>
          <w:rFonts w:ascii="Times New Roman" w:hAnsi="Times New Roman" w:cs="Times New Roman"/>
          <w:lang w:val="en-US"/>
        </w:rPr>
        <w:t xml:space="preserve">, where </w:t>
      </w:r>
      <w:r w:rsidRPr="00362EC7">
        <w:rPr>
          <w:rFonts w:ascii="Times New Roman" w:hAnsi="Times New Roman" w:cs="Times New Roman"/>
          <w:i/>
          <w:iCs/>
          <w:lang w:val="en-US"/>
        </w:rPr>
        <w:t>n</w:t>
      </w:r>
      <w:r w:rsidRPr="00362EC7">
        <w:rPr>
          <w:rFonts w:ascii="Times New Roman" w:hAnsi="Times New Roman" w:cs="Times New Roman"/>
          <w:lang w:val="en-US"/>
        </w:rPr>
        <w:t xml:space="preserve"> = sample size, Z = statistic for 95% level of confidence (1.96), </w:t>
      </w:r>
      <w:r w:rsidRPr="00362EC7">
        <w:rPr>
          <w:rFonts w:ascii="Times New Roman" w:hAnsi="Times New Roman" w:cs="Times New Roman"/>
          <w:i/>
          <w:iCs/>
          <w:lang w:val="en-US"/>
        </w:rPr>
        <w:t>P</w:t>
      </w:r>
      <w:r w:rsidRPr="00362EC7">
        <w:rPr>
          <w:rFonts w:ascii="Times New Roman" w:hAnsi="Times New Roman" w:cs="Times New Roman"/>
          <w:lang w:val="en-US"/>
        </w:rPr>
        <w:t xml:space="preserve"> = expectation prevalence of PVT failure (15%, based upon Martin and Schroeder, 2021)), and </w:t>
      </w:r>
      <w:r w:rsidRPr="00362EC7">
        <w:rPr>
          <w:rFonts w:ascii="Times New Roman" w:hAnsi="Times New Roman" w:cs="Times New Roman"/>
          <w:i/>
          <w:iCs/>
          <w:lang w:val="en-US"/>
        </w:rPr>
        <w:t>d</w:t>
      </w:r>
      <w:r w:rsidRPr="00362EC7">
        <w:rPr>
          <w:rFonts w:ascii="Times New Roman" w:hAnsi="Times New Roman" w:cs="Times New Roman"/>
          <w:lang w:val="en-US"/>
        </w:rPr>
        <w:t xml:space="preserve"> = precision (5%). This resulted in a minimal sample size of 196 subjects</w:t>
      </w:r>
      <w:r>
        <w:rPr>
          <w:rFonts w:ascii="Times New Roman" w:hAnsi="Times New Roman" w:cs="Times New Roman"/>
          <w:lang w:val="en-US"/>
        </w:rPr>
        <w:t xml:space="preserve"> that was administered a PVT (per subgroup, in case results are displayed per subgroup).</w:t>
      </w:r>
    </w:p>
    <w:p w14:paraId="4A383812" w14:textId="77777777" w:rsidR="00E33E54" w:rsidRPr="00362EC7" w:rsidRDefault="00E33E54" w:rsidP="00E33E54">
      <w:pPr>
        <w:pStyle w:val="Lijstalinea"/>
        <w:ind w:left="0"/>
        <w:jc w:val="both"/>
        <w:rPr>
          <w:rFonts w:ascii="Times New Roman" w:hAnsi="Times New Roman" w:cs="Times New Roman"/>
          <w:lang w:val="en-US"/>
        </w:rPr>
      </w:pPr>
    </w:p>
    <w:p w14:paraId="69CBD53E" w14:textId="77777777" w:rsidR="00E33E54" w:rsidRPr="0052320C" w:rsidRDefault="00E33E54" w:rsidP="00E33E54">
      <w:pPr>
        <w:pStyle w:val="Default"/>
        <w:jc w:val="both"/>
        <w:rPr>
          <w:rFonts w:ascii="Times New Roman" w:hAnsi="Times New Roman" w:cs="Times New Roman"/>
          <w:lang w:val="en-US"/>
        </w:rPr>
      </w:pPr>
    </w:p>
    <w:p w14:paraId="4BC08909" w14:textId="77777777" w:rsidR="00E33E54" w:rsidRPr="00362EC7" w:rsidRDefault="00E33E54" w:rsidP="00E33E54">
      <w:pPr>
        <w:pStyle w:val="Default"/>
        <w:numPr>
          <w:ilvl w:val="0"/>
          <w:numId w:val="1"/>
        </w:numPr>
        <w:ind w:left="0"/>
        <w:jc w:val="both"/>
        <w:rPr>
          <w:rFonts w:ascii="Times New Roman" w:hAnsi="Times New Roman" w:cs="Times New Roman"/>
          <w:lang w:val="en-US"/>
        </w:rPr>
      </w:pPr>
      <w:r w:rsidRPr="00362EC7">
        <w:rPr>
          <w:rFonts w:ascii="Times New Roman" w:hAnsi="Times New Roman" w:cs="Times New Roman"/>
          <w:b/>
          <w:bCs/>
          <w:lang w:val="en-US"/>
        </w:rPr>
        <w:t xml:space="preserve">Were the study subjects and setting described in detail? </w:t>
      </w:r>
    </w:p>
    <w:p w14:paraId="3455EC1F" w14:textId="77777777" w:rsidR="00E33E54" w:rsidRPr="00362EC7" w:rsidRDefault="00E33E54" w:rsidP="00E33E54">
      <w:pPr>
        <w:pStyle w:val="Lijstalinea"/>
        <w:ind w:left="0"/>
        <w:jc w:val="both"/>
        <w:rPr>
          <w:rFonts w:ascii="Times New Roman" w:hAnsi="Times New Roman" w:cs="Times New Roman"/>
          <w:lang w:val="en-US"/>
        </w:rPr>
      </w:pPr>
      <w:r>
        <w:rPr>
          <w:rFonts w:ascii="Times New Roman" w:hAnsi="Times New Roman" w:cs="Times New Roman"/>
          <w:lang w:val="en-US"/>
        </w:rPr>
        <w:t xml:space="preserve">Since PVT scores are potentially influenced by external gain incentives and language (-proficiency), these clinical variables are considered relevant in </w:t>
      </w:r>
      <w:r w:rsidRPr="00C74405">
        <w:rPr>
          <w:rFonts w:ascii="Times New Roman" w:hAnsi="Times New Roman" w:cs="Times New Roman"/>
          <w:lang w:val="en-US"/>
        </w:rPr>
        <w:t>describing</w:t>
      </w:r>
      <w:r>
        <w:rPr>
          <w:rFonts w:ascii="Times New Roman" w:hAnsi="Times New Roman" w:cs="Times New Roman"/>
          <w:lang w:val="en-US"/>
        </w:rPr>
        <w:t xml:space="preserve"> a target population </w:t>
      </w:r>
      <w:r w:rsidRPr="00362EC7">
        <w:rPr>
          <w:rFonts w:ascii="Times New Roman" w:hAnsi="Times New Roman" w:cs="Times New Roman"/>
          <w:lang w:val="en-US"/>
        </w:rPr>
        <w:t xml:space="preserve"> </w:t>
      </w:r>
    </w:p>
    <w:p w14:paraId="5F503089" w14:textId="77777777" w:rsidR="00E33E54" w:rsidRPr="00362EC7" w:rsidRDefault="00E33E54" w:rsidP="00E33E54">
      <w:pPr>
        <w:autoSpaceDE w:val="0"/>
        <w:autoSpaceDN w:val="0"/>
        <w:adjustRightInd w:val="0"/>
        <w:jc w:val="both"/>
        <w:rPr>
          <w:color w:val="000000"/>
          <w:lang w:val="en-US"/>
        </w:rPr>
      </w:pPr>
    </w:p>
    <w:p w14:paraId="2262D85B" w14:textId="77777777" w:rsidR="00E33E54" w:rsidRPr="009559D1" w:rsidRDefault="00E33E54" w:rsidP="00E33E54">
      <w:pPr>
        <w:pStyle w:val="Lijstalinea"/>
        <w:ind w:left="0"/>
        <w:jc w:val="both"/>
        <w:rPr>
          <w:rFonts w:ascii="Times New Roman" w:hAnsi="Times New Roman" w:cs="Times New Roman"/>
          <w:color w:val="000000"/>
          <w:lang w:val="en-US"/>
        </w:rPr>
      </w:pPr>
    </w:p>
    <w:p w14:paraId="4512D3B4" w14:textId="77777777" w:rsidR="00E33E54" w:rsidRPr="00362EC7" w:rsidRDefault="00E33E54" w:rsidP="00E33E54">
      <w:pPr>
        <w:pStyle w:val="Lijstalinea"/>
        <w:numPr>
          <w:ilvl w:val="0"/>
          <w:numId w:val="1"/>
        </w:numPr>
        <w:autoSpaceDE w:val="0"/>
        <w:autoSpaceDN w:val="0"/>
        <w:adjustRightInd w:val="0"/>
        <w:ind w:left="0"/>
        <w:jc w:val="both"/>
        <w:rPr>
          <w:rFonts w:ascii="Times New Roman" w:hAnsi="Times New Roman" w:cs="Times New Roman"/>
          <w:color w:val="000000"/>
          <w:lang w:val="en-US"/>
        </w:rPr>
      </w:pPr>
      <w:r w:rsidRPr="00362EC7">
        <w:rPr>
          <w:rFonts w:ascii="Times New Roman" w:hAnsi="Times New Roman" w:cs="Times New Roman"/>
          <w:b/>
          <w:bCs/>
          <w:color w:val="000000"/>
          <w:lang w:val="en-US"/>
        </w:rPr>
        <w:t xml:space="preserve">Was there appropriate statistical analysis? </w:t>
      </w:r>
    </w:p>
    <w:p w14:paraId="7E508684" w14:textId="77777777" w:rsidR="00E33E54" w:rsidRDefault="00E33E54" w:rsidP="00E33E54">
      <w:pPr>
        <w:pStyle w:val="Lijstalinea"/>
        <w:ind w:left="0"/>
        <w:jc w:val="both"/>
        <w:rPr>
          <w:rFonts w:ascii="Times New Roman" w:hAnsi="Times New Roman" w:cs="Times New Roman"/>
          <w:color w:val="000000"/>
          <w:lang w:val="en-US"/>
        </w:rPr>
      </w:pPr>
      <w:r w:rsidRPr="00362EC7">
        <w:rPr>
          <w:rFonts w:ascii="Times New Roman" w:hAnsi="Times New Roman" w:cs="Times New Roman"/>
          <w:color w:val="000000"/>
          <w:lang w:val="en-US"/>
        </w:rPr>
        <w:lastRenderedPageBreak/>
        <w:t>The numerator (i.e., number subjects that failed a PVT) and denominator (i.e., total sample size</w:t>
      </w:r>
      <w:r>
        <w:rPr>
          <w:rFonts w:ascii="Times New Roman" w:hAnsi="Times New Roman" w:cs="Times New Roman"/>
          <w:color w:val="000000"/>
          <w:lang w:val="en-US"/>
        </w:rPr>
        <w:t xml:space="preserve"> of subjects provided a PVT</w:t>
      </w:r>
      <w:r w:rsidRPr="00362EC7">
        <w:rPr>
          <w:rFonts w:ascii="Times New Roman" w:hAnsi="Times New Roman" w:cs="Times New Roman"/>
          <w:color w:val="000000"/>
          <w:lang w:val="en-US"/>
        </w:rPr>
        <w:t xml:space="preserve">) should be clearly reported.  </w:t>
      </w:r>
    </w:p>
    <w:p w14:paraId="724565E5" w14:textId="77777777" w:rsidR="00E33E54" w:rsidRPr="003B51DC" w:rsidRDefault="00E33E54" w:rsidP="00E33E54">
      <w:pPr>
        <w:pStyle w:val="Lijstalinea"/>
        <w:ind w:left="0"/>
        <w:jc w:val="both"/>
        <w:rPr>
          <w:rFonts w:ascii="Times New Roman" w:hAnsi="Times New Roman" w:cs="Times New Roman"/>
          <w:i/>
          <w:iCs/>
          <w:color w:val="000000"/>
          <w:lang w:val="en-US"/>
        </w:rPr>
      </w:pPr>
      <w:r w:rsidRPr="003B51DC">
        <w:rPr>
          <w:rFonts w:ascii="Times New Roman" w:hAnsi="Times New Roman" w:cs="Times New Roman"/>
          <w:i/>
          <w:iCs/>
          <w:color w:val="000000"/>
          <w:lang w:val="en-US"/>
        </w:rPr>
        <w:t xml:space="preserve">[Note: This is </w:t>
      </w:r>
      <w:r>
        <w:rPr>
          <w:rFonts w:ascii="Times New Roman" w:hAnsi="Times New Roman" w:cs="Times New Roman"/>
          <w:i/>
          <w:iCs/>
          <w:color w:val="000000"/>
          <w:lang w:val="en-US"/>
        </w:rPr>
        <w:t>i</w:t>
      </w:r>
      <w:r w:rsidRPr="003B51DC">
        <w:rPr>
          <w:rFonts w:ascii="Times New Roman" w:hAnsi="Times New Roman" w:cs="Times New Roman"/>
          <w:i/>
          <w:iCs/>
          <w:color w:val="000000"/>
          <w:lang w:val="en-US"/>
        </w:rPr>
        <w:t>tem 8 of the original format]</w:t>
      </w:r>
    </w:p>
    <w:p w14:paraId="6B62EA6A" w14:textId="77777777" w:rsidR="00E33E54" w:rsidRPr="00362EC7" w:rsidRDefault="00E33E54" w:rsidP="00E33E54">
      <w:pPr>
        <w:pStyle w:val="Lijstalinea"/>
        <w:ind w:left="0"/>
        <w:jc w:val="both"/>
        <w:rPr>
          <w:rFonts w:ascii="Times New Roman" w:hAnsi="Times New Roman" w:cs="Times New Roman"/>
          <w:color w:val="000000"/>
          <w:lang w:val="en-US"/>
        </w:rPr>
      </w:pPr>
    </w:p>
    <w:p w14:paraId="4CC7D7D2" w14:textId="77777777" w:rsidR="00E33E54" w:rsidRPr="00362EC7" w:rsidRDefault="00E33E54" w:rsidP="00E33E54">
      <w:pPr>
        <w:pStyle w:val="Lijstalinea"/>
        <w:numPr>
          <w:ilvl w:val="0"/>
          <w:numId w:val="1"/>
        </w:numPr>
        <w:autoSpaceDE w:val="0"/>
        <w:autoSpaceDN w:val="0"/>
        <w:adjustRightInd w:val="0"/>
        <w:ind w:left="0"/>
        <w:jc w:val="both"/>
        <w:rPr>
          <w:rFonts w:ascii="Times New Roman" w:hAnsi="Times New Roman" w:cs="Times New Roman"/>
          <w:b/>
          <w:bCs/>
          <w:color w:val="000000"/>
          <w:lang w:val="en-US"/>
        </w:rPr>
      </w:pPr>
      <w:r w:rsidRPr="00362EC7">
        <w:rPr>
          <w:rFonts w:ascii="Times New Roman" w:hAnsi="Times New Roman" w:cs="Times New Roman"/>
          <w:b/>
          <w:bCs/>
          <w:color w:val="000000"/>
          <w:lang w:val="en-US"/>
        </w:rPr>
        <w:t>Was the response rate adequate, and if not, was the response rate managed appropriately?</w:t>
      </w:r>
    </w:p>
    <w:p w14:paraId="29AF821C" w14:textId="77777777" w:rsidR="00E33E54" w:rsidRDefault="00E33E54" w:rsidP="00E33E54">
      <w:pPr>
        <w:pStyle w:val="Lijstalinea"/>
        <w:autoSpaceDE w:val="0"/>
        <w:autoSpaceDN w:val="0"/>
        <w:adjustRightInd w:val="0"/>
        <w:ind w:left="0"/>
        <w:jc w:val="both"/>
        <w:rPr>
          <w:rFonts w:ascii="Times New Roman" w:hAnsi="Times New Roman" w:cs="Times New Roman"/>
          <w:color w:val="000000"/>
          <w:lang w:val="en-US"/>
        </w:rPr>
      </w:pPr>
      <w:r>
        <w:rPr>
          <w:rFonts w:ascii="Times New Roman" w:hAnsi="Times New Roman" w:cs="Times New Roman"/>
          <w:color w:val="000000"/>
          <w:lang w:val="en-US"/>
        </w:rPr>
        <w:t>We defined response rate as the number of subjects that were initially described as eligible for inclusion in the study versus the final number of subjects in analyses. In case the initial sample was not fully included in the neuropsychological assessment beyond factors that clearly hamper cognitive functioning (e.g., postictal discharge), the dropouts must be compared with the included sample on relevant variables for PVT moderation (level of education, language-proficiency, and external gain incentives). In case there are no group-differences, the response rate was deemed appropriate.</w:t>
      </w:r>
    </w:p>
    <w:p w14:paraId="4D1F3873" w14:textId="77777777" w:rsidR="00E33E54" w:rsidRPr="003B51DC" w:rsidRDefault="00E33E54" w:rsidP="00E33E54">
      <w:pPr>
        <w:pStyle w:val="Lijstalinea"/>
        <w:autoSpaceDE w:val="0"/>
        <w:autoSpaceDN w:val="0"/>
        <w:adjustRightInd w:val="0"/>
        <w:ind w:left="0"/>
        <w:jc w:val="both"/>
        <w:rPr>
          <w:rFonts w:ascii="Times New Roman" w:hAnsi="Times New Roman" w:cs="Times New Roman"/>
          <w:i/>
          <w:iCs/>
          <w:color w:val="000000"/>
          <w:lang w:val="en-US"/>
        </w:rPr>
      </w:pPr>
      <w:r w:rsidRPr="003B51DC">
        <w:rPr>
          <w:rFonts w:ascii="Times New Roman" w:hAnsi="Times New Roman" w:cs="Times New Roman"/>
          <w:i/>
          <w:iCs/>
          <w:color w:val="000000"/>
          <w:lang w:val="en-US"/>
        </w:rPr>
        <w:t xml:space="preserve">[Note: In this item, items 5 and 9 of the original </w:t>
      </w:r>
      <w:proofErr w:type="gramStart"/>
      <w:r w:rsidRPr="003B51DC">
        <w:rPr>
          <w:rFonts w:ascii="Times New Roman" w:hAnsi="Times New Roman" w:cs="Times New Roman"/>
          <w:i/>
          <w:iCs/>
          <w:color w:val="000000"/>
          <w:lang w:val="en-US"/>
        </w:rPr>
        <w:t>format</w:t>
      </w:r>
      <w:proofErr w:type="gramEnd"/>
      <w:r w:rsidRPr="003B51DC">
        <w:rPr>
          <w:rFonts w:ascii="Times New Roman" w:hAnsi="Times New Roman" w:cs="Times New Roman"/>
          <w:i/>
          <w:iCs/>
          <w:color w:val="000000"/>
          <w:lang w:val="en-US"/>
        </w:rPr>
        <w:t xml:space="preserve"> are combined]</w:t>
      </w:r>
    </w:p>
    <w:p w14:paraId="41C56A2B" w14:textId="77777777" w:rsidR="00E33E54" w:rsidRDefault="00E33E54" w:rsidP="00E33E54">
      <w:pPr>
        <w:autoSpaceDE w:val="0"/>
        <w:autoSpaceDN w:val="0"/>
        <w:adjustRightInd w:val="0"/>
        <w:spacing w:line="480" w:lineRule="auto"/>
        <w:jc w:val="both"/>
        <w:rPr>
          <w:b/>
          <w:bCs/>
          <w:color w:val="000000" w:themeColor="text1"/>
          <w:lang w:val="en-US"/>
        </w:rPr>
      </w:pPr>
    </w:p>
    <w:p w14:paraId="5ABEC015" w14:textId="77777777" w:rsidR="006E4107" w:rsidRPr="00E33E54" w:rsidRDefault="006E4107">
      <w:pPr>
        <w:rPr>
          <w:lang w:val="en-US"/>
        </w:rPr>
      </w:pPr>
    </w:p>
    <w:sectPr w:rsidR="006E4107" w:rsidRPr="00E33E54" w:rsidSect="00DD1EE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C2A27"/>
    <w:multiLevelType w:val="hybridMultilevel"/>
    <w:tmpl w:val="0248E7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064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54"/>
    <w:rsid w:val="0003259B"/>
    <w:rsid w:val="0007578D"/>
    <w:rsid w:val="0022039D"/>
    <w:rsid w:val="00222F39"/>
    <w:rsid w:val="002B4671"/>
    <w:rsid w:val="0031767D"/>
    <w:rsid w:val="00362B05"/>
    <w:rsid w:val="00420ABE"/>
    <w:rsid w:val="00423D1E"/>
    <w:rsid w:val="00432494"/>
    <w:rsid w:val="004616C1"/>
    <w:rsid w:val="0048274E"/>
    <w:rsid w:val="00483A87"/>
    <w:rsid w:val="004E006C"/>
    <w:rsid w:val="00504887"/>
    <w:rsid w:val="005346EC"/>
    <w:rsid w:val="005C4273"/>
    <w:rsid w:val="006E4107"/>
    <w:rsid w:val="00792322"/>
    <w:rsid w:val="00793CED"/>
    <w:rsid w:val="008350F6"/>
    <w:rsid w:val="008B7A78"/>
    <w:rsid w:val="008F4995"/>
    <w:rsid w:val="00AB00F4"/>
    <w:rsid w:val="00B2543D"/>
    <w:rsid w:val="00B30DEE"/>
    <w:rsid w:val="00C12C3F"/>
    <w:rsid w:val="00CB1A37"/>
    <w:rsid w:val="00CC11E5"/>
    <w:rsid w:val="00CC1F41"/>
    <w:rsid w:val="00CF6789"/>
    <w:rsid w:val="00DD1EEA"/>
    <w:rsid w:val="00E308D6"/>
    <w:rsid w:val="00E33E54"/>
    <w:rsid w:val="00E66D0D"/>
    <w:rsid w:val="00E8044D"/>
    <w:rsid w:val="00EB697B"/>
    <w:rsid w:val="00EE665A"/>
    <w:rsid w:val="00EF10B0"/>
    <w:rsid w:val="00F416A5"/>
    <w:rsid w:val="00FF4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6940EF"/>
  <w15:chartTrackingRefBased/>
  <w15:docId w15:val="{29D77857-08DD-5A44-AB5E-8060C41D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3E54"/>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33E54"/>
    <w:pPr>
      <w:ind w:left="720"/>
      <w:contextualSpacing/>
    </w:pPr>
    <w:rPr>
      <w:rFonts w:asciiTheme="minorHAnsi" w:eastAsiaTheme="minorEastAsia" w:hAnsiTheme="minorHAnsi" w:cstheme="minorBidi"/>
    </w:rPr>
  </w:style>
  <w:style w:type="paragraph" w:customStyle="1" w:styleId="Default">
    <w:name w:val="Default"/>
    <w:rsid w:val="00E33E54"/>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2953</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Roor</dc:creator>
  <cp:keywords/>
  <dc:description/>
  <cp:lastModifiedBy>Jeroen Roor</cp:lastModifiedBy>
  <cp:revision>1</cp:revision>
  <dcterms:created xsi:type="dcterms:W3CDTF">2022-07-22T12:28:00Z</dcterms:created>
  <dcterms:modified xsi:type="dcterms:W3CDTF">2022-07-22T12:29:00Z</dcterms:modified>
</cp:coreProperties>
</file>