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7C3A3" w14:textId="6C2199D9" w:rsidR="003D062E" w:rsidRDefault="00D37928">
      <w:r w:rsidRPr="00D37928">
        <w:rPr>
          <w:b/>
          <w:bCs/>
        </w:rPr>
        <w:t xml:space="preserve">Supplementary Table 1 </w:t>
      </w:r>
      <w:r w:rsidRPr="00D37928">
        <w:t xml:space="preserve">NHLBI Quality Assessment </w:t>
      </w:r>
      <w:r>
        <w:t>Tool ratings for included articles</w:t>
      </w:r>
    </w:p>
    <w:p w14:paraId="60180341" w14:textId="1441C456" w:rsidR="00D37928" w:rsidRDefault="00D37928"/>
    <w:tbl>
      <w:tblPr>
        <w:tblStyle w:val="TableGrid"/>
        <w:tblpPr w:leftFromText="180" w:rightFromText="180" w:vertAnchor="page" w:horzAnchor="margin" w:tblpXSpec="center" w:tblpY="1604"/>
        <w:tblW w:w="15510" w:type="dxa"/>
        <w:tblLook w:val="04A0" w:firstRow="1" w:lastRow="0" w:firstColumn="1" w:lastColumn="0" w:noHBand="0" w:noVBand="1"/>
      </w:tblPr>
      <w:tblGrid>
        <w:gridCol w:w="7093"/>
        <w:gridCol w:w="747"/>
        <w:gridCol w:w="747"/>
        <w:gridCol w:w="751"/>
        <w:gridCol w:w="745"/>
        <w:gridCol w:w="751"/>
        <w:gridCol w:w="745"/>
        <w:gridCol w:w="607"/>
        <w:gridCol w:w="607"/>
        <w:gridCol w:w="661"/>
        <w:gridCol w:w="607"/>
        <w:gridCol w:w="607"/>
        <w:gridCol w:w="842"/>
      </w:tblGrid>
      <w:tr w:rsidR="00D37928" w:rsidRPr="00FF63ED" w14:paraId="46E9FE10" w14:textId="77777777" w:rsidTr="004F4A3B">
        <w:trPr>
          <w:cantSplit/>
          <w:trHeight w:val="2614"/>
        </w:trPr>
        <w:tc>
          <w:tcPr>
            <w:tcW w:w="7093" w:type="dxa"/>
            <w:tcBorders>
              <w:top w:val="single" w:sz="4" w:space="0" w:color="auto"/>
            </w:tcBorders>
          </w:tcPr>
          <w:p w14:paraId="7FCC8BF8" w14:textId="77777777" w:rsidR="00D37928" w:rsidRPr="00FC4F93" w:rsidRDefault="00D37928" w:rsidP="004F4A3B">
            <w:pPr>
              <w:rPr>
                <w:b/>
                <w:bCs/>
                <w:sz w:val="16"/>
                <w:szCs w:val="16"/>
              </w:rPr>
            </w:pPr>
          </w:p>
        </w:tc>
        <w:tc>
          <w:tcPr>
            <w:tcW w:w="747" w:type="dxa"/>
            <w:tcBorders>
              <w:top w:val="single" w:sz="4" w:space="0" w:color="auto"/>
            </w:tcBorders>
            <w:textDirection w:val="btLr"/>
            <w:vAlign w:val="bottom"/>
          </w:tcPr>
          <w:p w14:paraId="6522B55C" w14:textId="77777777" w:rsidR="00D37928" w:rsidRPr="00FC4F93" w:rsidRDefault="00D37928" w:rsidP="004F4A3B">
            <w:pPr>
              <w:ind w:left="113" w:right="113"/>
              <w:rPr>
                <w:b/>
                <w:bCs/>
                <w:sz w:val="16"/>
                <w:szCs w:val="16"/>
              </w:rPr>
            </w:pPr>
            <w:r w:rsidRPr="00FC4F93">
              <w:rPr>
                <w:rFonts w:ascii="Calibri" w:hAnsi="Calibri" w:cs="Calibri"/>
                <w:b/>
                <w:bCs/>
                <w:color w:val="000000"/>
                <w:sz w:val="16"/>
                <w:szCs w:val="16"/>
              </w:rPr>
              <w:fldChar w:fldCharType="begin" w:fldLock="1"/>
            </w:r>
            <w:r>
              <w:rPr>
                <w:rFonts w:ascii="Calibri" w:hAnsi="Calibri" w:cs="Calibri"/>
                <w:b/>
                <w:bCs/>
                <w:color w:val="000000"/>
                <w:sz w:val="16"/>
                <w:szCs w:val="16"/>
              </w:rPr>
              <w:instrText>ADDIN CSL_CITATION {"citationItems":[{"id":"ITEM-1","itemData":{"DOI":"10.1192/bjp.175.2.163","ISSN":"00071250","PMID":"10627800","abstract":"Background: The meaning of poststroke depression is controversial. Aims: To investigate the hypothesis that major post-stroke depression (PSD) may be due to organic factors (left frontal lesions) immediately after the stroke, but to psychosocial factors in later stages. Method: We studied 153 consecutive stroke patients, categorised on the basis of time elapsed since stroke, lesion location and presence/absence of major PSD. Fiftyeight were examined in the first two months following the stroke, 52 between two and four months, and 43 after four months or more. The symptom profiles and anatomical-clinical correlates of major PSD were studied in each subgroup. A group of 30 patients affected by a functional form of major depression were also investigated. Results: The symptom profiles and anatomical-clinical correlates of major PSD were not different in the acute and more chronic stages. Clear symptom differences were, however, observed between major PSD and endogenous major depression. Motivated (reactive) symptoms prevailed in the former, whereas unmotivated symptoms prevailed in the latter. Conclusions: Our data are more consistent with a psychological than with a neurological model of post-stroke depression. Declaration of interest: Support received from IRCCS Clinica Santa Lucia, Rome.","author":[{"dropping-particle":"","family":"Gainotti","given":"G.","non-dropping-particle":"","parse-names":false,"suffix":""},{"dropping-particle":"","family":"Azzoni","given":"A.","non-dropping-particle":"","parse-names":false,"suffix":""},{"dropping-particle":"","family":"Marra","given":"C.","non-dropping-particle":"","parse-names":false,"suffix":""}],"container-title":"British Journal of Psychiatry","id":"ITEM-1","issue":"AUG.","issued":{"date-parts":[["1999"]]},"page":"163-167","title":"Frequency, phenomenology and anatomical-clinical correlates of major post-stroke depression","type":"article-journal","volume":"175"},"uris":["http://www.mendeley.com/documents/?uuid=05ebd7d9-c449-4f8a-aa04-5781b5e70200"]}],"mendeley":{"formattedCitation":"(G. Gainotti et al., 1999)","manualFormatting":"Gainotti et al. (1999)","plainTextFormattedCitation":"(G. Gainotti et al., 1999)","previouslyFormattedCitation":"(G. Gainotti et al., 1999)"},"properties":{"noteIndex":0},"schema":"https://github.com/citation-style-language/schema/raw/master/csl-citation.json"}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Gainotti et al. (1999)</w:t>
            </w:r>
            <w:r w:rsidRPr="00FC4F93">
              <w:rPr>
                <w:rFonts w:ascii="Calibri" w:hAnsi="Calibri" w:cs="Calibri"/>
                <w:b/>
                <w:bCs/>
                <w:color w:val="000000"/>
                <w:sz w:val="16"/>
                <w:szCs w:val="16"/>
              </w:rPr>
              <w:fldChar w:fldCharType="end"/>
            </w:r>
          </w:p>
        </w:tc>
        <w:tc>
          <w:tcPr>
            <w:tcW w:w="747" w:type="dxa"/>
            <w:tcBorders>
              <w:top w:val="single" w:sz="4" w:space="0" w:color="auto"/>
            </w:tcBorders>
            <w:textDirection w:val="btLr"/>
            <w:vAlign w:val="bottom"/>
          </w:tcPr>
          <w:p w14:paraId="7F946575" w14:textId="77777777" w:rsidR="00D37928" w:rsidRPr="00FC4F93" w:rsidRDefault="00D37928" w:rsidP="004F4A3B">
            <w:pPr>
              <w:ind w:left="113" w:right="113"/>
              <w:rPr>
                <w:b/>
                <w:bCs/>
                <w:sz w:val="16"/>
                <w:szCs w:val="16"/>
              </w:rPr>
            </w:pPr>
            <w:r w:rsidRPr="00FC4F93">
              <w:rPr>
                <w:b/>
                <w:bCs/>
                <w:sz w:val="16"/>
                <w:szCs w:val="16"/>
              </w:rPr>
              <w:fldChar w:fldCharType="begin" w:fldLock="1"/>
            </w:r>
            <w:r>
              <w:rPr>
                <w:b/>
                <w:bCs/>
                <w:sz w:val="16"/>
                <w:szCs w:val="16"/>
              </w:rPr>
              <w:instrText>ADDIN CSL_CITATION {"citationItems":[{"id":"ITEM-1","itemData":{"DOI":"10.1080/01688639708403863","ISSN":"1380-3395","abstract":"Owing to the lack of instruments specifically constructed to study emotional and affective disorders of stroke patients, the nature of post-stroke depression (PSD) remains controversial. With this in mind, the authors constructed a new scale, the Post-Stroke Depression Scale (PSDS) which takes into account a series of symptoms and problems commonly observed in depressed stroke patients. The PSDS and the Hamilton Depression Rating Scale (HDS) were administered to a group of 124 patients, who had been classified, on the basis of DSM III-R diagnostic criteria, in the following categories: No depression (n = 32); Minor PSD (n = 47); Major PSD (n = 45). Scores obtained by these stroke patients on the PSDS and on the HDS were compared to those obtained on the same scales by 17 psychiatric patients also classified as major depression on the basis of DSM III-R diagnostic criteria. An analysis of the symptomatological profiles clearly showed that: (1) a continuum exists between the so-called \"major\" and \"minor\" forms of PSD; (2) in both groups of depressed stroke patients the depressive symptomatology seems due to the psychological reaction to the devastating consequences of stroke, since the motivated aspects of depression prevailed in depressed stroke patients, whereas the (biologically determined) unmotivated aspects prevailed in patients with a functional form of major depression; and (3) in stroke patients a DSM III-based diagnosis of major PSD could be in part inflated by symptoms (such as apathy and vegetative disorders) that are typical of major depression in a patient free from brain damage, but that could be due to the brain lesion per se in a stroke patient.","author":[{"dropping-particle":"","family":"Gainotti","given":"G","non-dropping-particle":"","parse-names":false,"suffix":""},{"dropping-particle":"","family":"Azzoni","given":"A","non-dropping-particle":"","parse-names":false,"suffix":""},{"dropping-particle":"","family":"Razzano","given":"C","non-dropping-particle":"","parse-names":false,"suffix":""},{"dropping-particle":"","family":"Lanzillotta","given":"M","non-dropping-particle":"","parse-names":false,"suffix":""},{"dropping-particle":"","family":"Marra","given":"C","non-dropping-particle":"","parse-names":false,"suffix":""},{"dropping-particle":"","family":"Gasparini","given":"F","non-dropping-particle":"","parse-names":false,"suffix":""}],"container-title":"Journal of clinical and experimental neuropsychology","id":"ITEM-1","issue":"3","issued":{"date-parts":[["1997","6"]]},"note":"Accession Number: 9268809. Language: English. Date Revised: 20080414. Date Created: 19970601. Date Completed: 19971016. Update Code: 20210623. Publication Type: Clinical Trial, Journal Article. Journal ID: 8502170. Publication Model: Print. Cited Medium: Print. NLM ISO Abbr: J Clin Exp Neuropsychol. Linking ISSN: 13803395. Subset: MEDLINE; Date of Electronic Publication: 19970601. Current Imprints: Publication: 2013- : London : Routledge; Original Imprints: Publication: Lisse : Swets &amp;amp; Zeitlinger, c1985-","page":"340-356","publisher":"Routledge","publisher-place":"Servizio di Neuropsicologia, Universitá Cattolica/Policlinico Gemelli, Roma, Italy.","title":"The Post-Stroke Depression Rating Scale: a test specifically devised to investigate affective disorders of stroke patients.","type":"article-journal","volume":"19"},"uris":["http://www.mendeley.com/documents/?uuid=b79d7a5c-f16e-490e-9762-9fd22b520726"]}],"mendeley":{"formattedCitation":"(G Gainotti et al., 1997)","manualFormatting":" Gainotti et al. (1997)","plainTextFormattedCitation":"(G Gainotti et al., 1997)","previouslyFormattedCitation":"(G Gainotti et al., 1997)"},"properties":{"noteIndex":0},"schema":"https://github.com/citation-style-language/schema/raw/master/csl-citation.json"}</w:instrText>
            </w:r>
            <w:r w:rsidRPr="00FC4F93">
              <w:rPr>
                <w:b/>
                <w:bCs/>
                <w:sz w:val="16"/>
                <w:szCs w:val="16"/>
              </w:rPr>
              <w:fldChar w:fldCharType="separate"/>
            </w:r>
            <w:r w:rsidRPr="00FC4F93">
              <w:rPr>
                <w:b/>
                <w:bCs/>
                <w:noProof/>
                <w:sz w:val="16"/>
                <w:szCs w:val="16"/>
              </w:rPr>
              <w:t xml:space="preserve"> Gainotti et al. (1997)</w:t>
            </w:r>
            <w:r w:rsidRPr="00FC4F93">
              <w:rPr>
                <w:b/>
                <w:bCs/>
                <w:sz w:val="16"/>
                <w:szCs w:val="16"/>
              </w:rPr>
              <w:fldChar w:fldCharType="end"/>
            </w:r>
          </w:p>
        </w:tc>
        <w:tc>
          <w:tcPr>
            <w:tcW w:w="751" w:type="dxa"/>
            <w:tcBorders>
              <w:top w:val="single" w:sz="4" w:space="0" w:color="auto"/>
            </w:tcBorders>
            <w:textDirection w:val="btLr"/>
            <w:vAlign w:val="bottom"/>
          </w:tcPr>
          <w:p w14:paraId="7B052DF0" w14:textId="77777777" w:rsidR="00D37928" w:rsidRPr="00FC4F93" w:rsidRDefault="00D37928" w:rsidP="004F4A3B">
            <w:pPr>
              <w:ind w:left="113" w:right="113"/>
              <w:rPr>
                <w:b/>
                <w:bCs/>
                <w:sz w:val="16"/>
                <w:szCs w:val="16"/>
              </w:rPr>
            </w:pPr>
            <w:r w:rsidRPr="00FC4F93">
              <w:rPr>
                <w:rFonts w:ascii="Calibri" w:hAnsi="Calibri" w:cs="Calibri"/>
                <w:b/>
                <w:bCs/>
                <w:color w:val="000000"/>
                <w:sz w:val="16"/>
                <w:szCs w:val="16"/>
              </w:rPr>
              <w:fldChar w:fldCharType="begin" w:fldLock="1"/>
            </w:r>
            <w:r>
              <w:rPr>
                <w:rFonts w:ascii="Calibri" w:hAnsi="Calibri" w:cs="Calibri"/>
                <w:b/>
                <w:bCs/>
                <w:color w:val="000000"/>
                <w:sz w:val="16"/>
                <w:szCs w:val="16"/>
              </w:rPr>
              <w:instrText>ADDIN CSL_CITATION {"citationItems":[{"id":"ITEM-1","itemData":{"DOI":"10.1192/bjp.158.1.83","ISSN":"0007-1250","abstract":"128 patients (aged 18–96 yrs) were studied over the 12 mo after their 1st stroke and compared with 111 controls (aged 30–86 yrs). Psychiatric status was assessed using the Present State Examination and the Beck Depression Inventory. Symptoms of mood disorder were more common in the stroke patients than in the controls, but the differences were not substantial and had largely disappeared by 12 mo. Psychiatric problems encountered among patients included agoraphobia, social withdrawal, apathy and self-neglect, irritability, and pathological emotionalism. While there was a high cumulative incidence of psychiatric disorder, little of it persisted: only 2 cases of major depression among patients were present for the whole 12 mo. (PsycINFO Database Record (c) 2018 APA, all rights reserved)","author":[{"dropping-particle":"","family":"House","given":"Allan","non-dropping-particle":"","parse-names":false,"suffix":""},{"dropping-particle":"","family":"Dennis","given":"Martin","non-dropping-particle":"","parse-names":false,"suffix":""},{"dropping-particle":"","family":"Mogridge","given":"Liz","non-dropping-particle":"","parse-names":false,"suffix":""},{"dropping-particle":"","family":"Warlow","given":"Charles","non-dropping-particle":"","parse-names":false,"suffix":""},{"dropping-particle":"","family":"Hawton","given":"K","non-dropping-particle":"","parse-names":false,"suffix":""},{"dropping-particle":"","family":"Jones","given":"L","non-dropping-particle":"","parse-names":false,"suffix":""}],"container-title":"The British Journal of Psychiatry","id":"ITEM-1","issued":{"date-parts":[["1991","1"]]},"note":"From Duplicate 1 (Mood disorders in the year after first stroke - House, Allan; Dennis, Martin; Mogridge, Liz; Warlow, Charles; Hawton, K; Jones, L)\n\nAccession Number: 1991-21862-001. PMID: 2015456 Other Journal Title: Journal of Mental Science; The Asylum Journal; The Asylum Journal of Mental Science. Partial author list: First Author &amp;amp; Affiliation: House, Allan; Leeds General Infirmary, Dept of Liaison Psychiatry, England. Other Publishers: Cambridge University Press. Release Date: 19910801. Correction Date: 20180419. Publication Type: Journal (0100), Peer Reviewed Journal (0110). Format Covered: Print. Document Type: Journal Article. Language: EnglishMajor Descriptor: Affective Disorders; Cerebrovascular Accidents; Mental Disorders. Minor Descriptor: Longitudinal Studies. Classification: Cardiovascular Disorders (3295). Population: Human (10). Age Group: Adulthood (18 yrs &amp;amp; older) (300); Aged (65 yrs &amp;amp; older) (380); Very Old (85 yrs &amp;amp; older) (390). Methodology: Empirical Study; Longitudinal Study. Page Count: 10. Issue Publication Date: Jan, 1991.\n\nFrom Duplicate 2 (Mood disorders in the year after first stroke. - House, A; Dennis, M; Mogridge, L; Warlow, C; Hawton, K; Jones, L)\n\nAccession Number: 2015456. Language: English. Date Revised: 20190705. Date Created: 19910101. Date Completed: 19910523. Update Code: 20210623. Publication Type: Journal Article, Research Support, Non-U.S. Gov't. Journal ID: 0342367. Publication Model: Print. Cited Medium: Print. NLM ISO Abbr: Br J Psychiatry. Linking ISSN: 00071250. Subset: MEDLINE; Date of Electronic Publication: 19910101. Current Imprints: Publication: 2019- : [Cambridge] : Cambridge University Press; Original Imprints: Publication: London, Headley Brothers.\n\nFrom Duplicate 3 (Mood disorders in the year after first stroke - House, Allan; Dennis, Martin; Mogridge, Liz; Warlow, Charles; Hawton, K; Jones, L)\n\nFrom Duplicate 1 (Mood disorders in the year after first stroke - House, Allan; Dennis, Martin; Mogridge, Liz; Warlow, Charles; Hawton, K; Jones, L)\n\nAccession Number: 1991-21862-001. PMID: 2015456 Other Journal Title: Journal of Mental Science; The Asylum Journal; The Asylum Journal of Mental Science. Partial author list: First Author &amp;amp; Affiliation: House, Allan; Leeds General Infirmary, Dept of Liaison Psychiatry, England. Other Publishers: Cambridge University Press. Release Date: 19910801. Correction Date: 20180419. Publication Type: Journal (0100), Peer Reviewed Journal (0110). Format Covered: Print. Document Type: Journal Article. Language: EnglishMajor Descriptor: Affective Disorders; Cerebrovascular Accidents; Mental Disorders. Minor Descriptor: Longitudinal Studies. Classification: Cardiovascular Disorders (3295). Population: Human (10). Age Group: Adulthood (18 yrs &amp;amp; older) (300); Aged (65 yrs &amp;amp; older) (380); Very Old (85 yrs &amp;amp; older) (390). Methodology: Empirical Study; Longitudinal Study. Page Count: 10. Issue Publication Date: Jan, 1991.\n\nFrom Duplicate 2 (Mood disorders in the year after first stroke. - House, A; Dennis, M; Mogridge, L; Warlow, C; Hawton, K; Jones, L)\n\nAccession Number: 2015456. Language: English. Date Revised: 20190705. Date Created: 19910101. Date Completed: 19910523. Update Code: 20210623. Publication Type: Journal Article, Research Support, Non-U.S. Gov't. Journal ID: 0342367. Publication Model: Print. Cited Medium: Print. NLM ISO Abbr: Br J Psychiatry. Linking ISSN: 00071250. Subset: MEDLINE; Date of Electronic Publication: 19910101. Current Imprints: Publication: 2019- : [Cambridge] : Cambridge University Press; Original Imprints: Publication: London, Headley Brothers.","page":"83-92","publisher":"Royal College of Psychiatrists","publisher-place":"Department of Liaison Psychiatry, Leeds General Infirmary.","title":"Mood disorders in the year after first stroke","type":"article-journal","volume":"158"},"uris":["http://www.mendeley.com/documents/?uuid=1e4dc6a9-0e56-4a6d-8a59-f823563a93bf"]}],"mendeley":{"formattedCitation":"(Allan House et al., 1991)","manualFormatting":"House et al. (1991)","plainTextFormattedCitation":"(Allan House et al., 1991)","previouslyFormattedCitation":"(Allan House et al., 1991)"},"properties":{"noteIndex":0},"schema":"https://github.com/citation-style-language/schema/raw/master/csl-citation.json"}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House et al. (1991)</w:t>
            </w:r>
            <w:r w:rsidRPr="00FC4F93">
              <w:rPr>
                <w:rFonts w:ascii="Calibri" w:hAnsi="Calibri" w:cs="Calibri"/>
                <w:b/>
                <w:bCs/>
                <w:color w:val="000000"/>
                <w:sz w:val="16"/>
                <w:szCs w:val="16"/>
              </w:rPr>
              <w:fldChar w:fldCharType="end"/>
            </w:r>
          </w:p>
        </w:tc>
        <w:tc>
          <w:tcPr>
            <w:tcW w:w="745" w:type="dxa"/>
            <w:tcBorders>
              <w:top w:val="single" w:sz="4" w:space="0" w:color="auto"/>
            </w:tcBorders>
            <w:textDirection w:val="btLr"/>
            <w:vAlign w:val="bottom"/>
          </w:tcPr>
          <w:p w14:paraId="10C05AE2" w14:textId="77777777" w:rsidR="00D37928" w:rsidRPr="00FC4F93" w:rsidRDefault="00D37928" w:rsidP="004F4A3B">
            <w:pPr>
              <w:ind w:left="113" w:right="113"/>
              <w:rPr>
                <w:b/>
                <w:bCs/>
                <w:sz w:val="16"/>
                <w:szCs w:val="16"/>
              </w:rPr>
            </w:pPr>
            <w:r w:rsidRPr="00FC4F93">
              <w:rPr>
                <w:b/>
                <w:bCs/>
                <w:sz w:val="16"/>
                <w:szCs w:val="16"/>
              </w:rPr>
              <w:fldChar w:fldCharType="begin" w:fldLock="1"/>
            </w:r>
            <w:r w:rsidRPr="00FC4F93">
              <w:rPr>
                <w:b/>
                <w:bCs/>
                <w:sz w:val="16"/>
                <w:szCs w:val="16"/>
              </w:rPr>
              <w:instrText>ADDIN CSL_CITATION {"citationItems":[{"id":"ITEM-1","itemData":{"DOI":"10.1176/AJP.143.4.527","abstract":"The authors used structured clinical interviews to compare depressive symptoms in 43 patients with poststroke major depression and 43 patients with major depression without a known medical cause. The depressive syndrome profiles in the two patient groups were highly similar.","author":[{"dropping-particle":"","family":"Lipsey","given":"J. R.","non-dropping-particle":"","parse-names":false,"suffix":""},{"dropping-particle":"","family":"Spencer","given":"W. C.","non-dropping-particle":"","parse-names":false,"suffix":""},{"dropping-particle":"V.","family":"Rabins","given":"P.","non-dropping-particle":"","parse-names":false,"suffix":""},{"dropping-particle":"","family":"Robinson","given":"R. G.","non-dropping-particle":"","parse-names":false,"suffix":""}],"container-title":"American Journal of Psychiatry","id":"ITEM-1","issue":"4","issued":{"date-parts":[["1986"]]},"page":"527-529","title":"Phenomenological comparison of poststroke depression and functional depression","type":"article-journal","volume":"143"},"uris":["http://www.mendeley.com/documents/?uuid=02406ce5-5492-386a-96b1-fb2e8a3812bf"]}],"mendeley":{"formattedCitation":"(J. R. Lipsey et al., 1986)","manualFormatting":"Lipsey et al. (1986)","plainTextFormattedCitation":"(J. R. Lipsey et al., 1986)","previouslyFormattedCitation":"(J. R. Lipsey et al., 1986)"},"properties":{"noteIndex":0},"schema":"https://github.com/citation-style-language/schema/raw/master/csl-citation.json"}</w:instrText>
            </w:r>
            <w:r w:rsidRPr="00FC4F93">
              <w:rPr>
                <w:b/>
                <w:bCs/>
                <w:sz w:val="16"/>
                <w:szCs w:val="16"/>
              </w:rPr>
              <w:fldChar w:fldCharType="separate"/>
            </w:r>
            <w:r w:rsidRPr="00FC4F93">
              <w:rPr>
                <w:b/>
                <w:bCs/>
                <w:noProof/>
                <w:sz w:val="16"/>
                <w:szCs w:val="16"/>
              </w:rPr>
              <w:t>Lipsey et al. (1986)</w:t>
            </w:r>
            <w:r w:rsidRPr="00FC4F93">
              <w:rPr>
                <w:b/>
                <w:bCs/>
                <w:sz w:val="16"/>
                <w:szCs w:val="16"/>
              </w:rPr>
              <w:fldChar w:fldCharType="end"/>
            </w:r>
          </w:p>
        </w:tc>
        <w:tc>
          <w:tcPr>
            <w:tcW w:w="751" w:type="dxa"/>
            <w:tcBorders>
              <w:top w:val="single" w:sz="4" w:space="0" w:color="auto"/>
            </w:tcBorders>
            <w:textDirection w:val="btLr"/>
            <w:vAlign w:val="bottom"/>
          </w:tcPr>
          <w:p w14:paraId="3E6B4BF8" w14:textId="77777777" w:rsidR="00D37928" w:rsidRPr="00FC4F93" w:rsidRDefault="00D37928" w:rsidP="004F4A3B">
            <w:pPr>
              <w:ind w:left="113" w:right="113"/>
              <w:rPr>
                <w:b/>
                <w:bCs/>
                <w:sz w:val="16"/>
                <w:szCs w:val="16"/>
              </w:rPr>
            </w:pPr>
            <w:r w:rsidRPr="00FC4F93">
              <w:rPr>
                <w:b/>
                <w:bCs/>
                <w:sz w:val="16"/>
                <w:szCs w:val="16"/>
              </w:rPr>
              <w:fldChar w:fldCharType="begin" w:fldLock="1"/>
            </w:r>
            <w:r w:rsidRPr="00FC4F93">
              <w:rPr>
                <w:b/>
                <w:bCs/>
                <w:sz w:val="16"/>
                <w:szCs w:val="16"/>
              </w:rPr>
              <w:instrText>ADDIN CSL_CITATION {"citationItems":[{"id":"ITEM-1","itemData":{"DOI":"10.1111/j.1600-0447.2010.01558.x","ISSN":"0001690X","PMID":"20384602","abstract":"Objective: It remains unclear whether mood depressive disorders after stroke have a distinct phenomenology. We evaluated the symptom profile of poststroke depression (PSD) and assessed whether somatic symptoms were reported disproportionately by stroke patients. Method: The sample was 149 stroke patients at 18 months poststroke and 745 age- and sex-matched general population controls. A comprehensive psychiatric interview was undertaken and depression was diagnosed according to DSM-III-R criteria. Results: Depressed controls reported more 'inability to feel' (P = 0.002) and 'disturbed sleep' (P = 0.008) than depressed stroke patients. Factor analysis of the 10 depressive symptoms identified two main factors, which appeared to represent somatic and psychological symptoms. There was no difference in scores on these two factors between stroke patients and controls. Conclusion: Phenomenology of depression at 18 months poststroke is broadly similar but not the same as that described by controls. Somatic symptoms of depression were not over-reported by stroke patients. © 2010 John Wiley &amp; Sons A/S.","author":[{"dropping-particle":"","family":"Cumming","given":"T. B.","non-dropping-particle":"","parse-names":false,"suffix":""},{"dropping-particle":"","family":"Churilov","given":"L.","non-dropping-particle":"","parse-names":false,"suffix":""},{"dropping-particle":"","family":"Skoog","given":"I.","non-dropping-particle":"","parse-names":false,"suffix":""},{"dropping-particle":"","family":"Blomstrand","given":"C.","non-dropping-particle":"","parse-names":false,"suffix":""},{"dropping-particle":"","family":"Linden","given":"T.","non-dropping-particle":"","parse-names":false,"suffix":""}],"container-title":"Acta Psychiatrica Scandinavica","id":"ITEM-1","issue":"6","issued":{"date-parts":[["2010","6"]]},"note":"From Duplicate 2 (Little evidence for different phenomenology in poststroke depression - Cumming, T B; Churilov, L; Skoog, I; Blomstrand, C; Linden, T)\n\nAccession Number: 2010-09276-004. PMID: 20384602 Partial author list: First Author &amp;amp; Affiliation: Cumming, T. B.; National Stroke Research Institute, Melbourne, VIC, Australia. Other Publishers: Blackwell Publishing. Release Date: 20100802. Correction Date: 20121217. Publication Type: Journal (0100), Peer Reviewed Journal (0110). Format Covered: Electronic. Document Type: Journal Article. Language: EnglishMajor Descriptor: Cerebrovascular Accidents; Major Depression; Phenomenology. Minor Descriptor: Patients. Classification: Psychological &amp;amp; Physical Disorders (3200). Population: Human (10); Male (30); Female (40); Inpatient (50). Location: Sweden. Age Group: Adulthood (18 yrs &amp;amp; older) (300). Tests &amp;amp; Measures: Comprehensive Psychopathological Rating Scale; Montgomery-Asberg Depression Rating Scale DOI: 10.1037/t04111-000. Methodology: Empirical Study; Quantitative Study. References Available: Y. Page Count: 7. Issue Publication Date: Jun, 2010. Publication History: Accepted Date: Feb 26, 2010. Copyright Statement: John Wiley &amp;amp; Sons A/S. 2010.","page":"424-430","publisher":"Wiley-Blackwell Publishing Ltd.","publisher-place":"Linden, T., Centre of Brain Research and Rehabilitation, Institute of Neuroscience and Physiology, Gothenburg University, Guldhedsg 19, 41345, Goteborg, Sweden","title":"Little evidence for different phenomenology in poststroke depression","type":"article-journal","volume":"121"},"uris":["http://www.mendeley.com/documents/?uuid=6119b6c3-bba5-44bd-8f78-4580340f2332"]}],"mendeley":{"formattedCitation":"(Cumming et al., 2010)","manualFormatting":"Cumming et al. (2010)","plainTextFormattedCitation":"(Cumming et al., 2010)","previouslyFormattedCitation":"(Cumming et al., 2010)"},"properties":{"noteIndex":0},"schema":"https://github.com/citation-style-language/schema/raw/master/csl-citation.json"}</w:instrText>
            </w:r>
            <w:r w:rsidRPr="00FC4F93">
              <w:rPr>
                <w:b/>
                <w:bCs/>
                <w:sz w:val="16"/>
                <w:szCs w:val="16"/>
              </w:rPr>
              <w:fldChar w:fldCharType="separate"/>
            </w:r>
            <w:r w:rsidRPr="00FC4F93">
              <w:rPr>
                <w:b/>
                <w:bCs/>
                <w:noProof/>
                <w:sz w:val="16"/>
                <w:szCs w:val="16"/>
              </w:rPr>
              <w:t>Cumming et al. (2010)</w:t>
            </w:r>
            <w:r w:rsidRPr="00FC4F93">
              <w:rPr>
                <w:b/>
                <w:bCs/>
                <w:sz w:val="16"/>
                <w:szCs w:val="16"/>
              </w:rPr>
              <w:fldChar w:fldCharType="end"/>
            </w:r>
          </w:p>
        </w:tc>
        <w:tc>
          <w:tcPr>
            <w:tcW w:w="745" w:type="dxa"/>
            <w:tcBorders>
              <w:top w:val="single" w:sz="4" w:space="0" w:color="auto"/>
            </w:tcBorders>
            <w:textDirection w:val="btLr"/>
            <w:vAlign w:val="bottom"/>
          </w:tcPr>
          <w:p w14:paraId="354E47F4" w14:textId="77777777" w:rsidR="00D37928" w:rsidRPr="00FC4F93" w:rsidRDefault="00D37928" w:rsidP="004F4A3B">
            <w:pPr>
              <w:ind w:left="113" w:right="113"/>
              <w:rPr>
                <w:b/>
                <w:bCs/>
                <w:sz w:val="16"/>
                <w:szCs w:val="16"/>
              </w:rPr>
            </w:pPr>
            <w:r w:rsidRPr="00FC4F93">
              <w:rPr>
                <w:b/>
                <w:bCs/>
                <w:sz w:val="16"/>
                <w:szCs w:val="16"/>
              </w:rPr>
              <w:fldChar w:fldCharType="begin" w:fldLock="1"/>
            </w:r>
            <w:r w:rsidRPr="00FC4F93">
              <w:rPr>
                <w:b/>
                <w:bCs/>
                <w:sz w:val="16"/>
                <w:szCs w:val="16"/>
              </w:rPr>
              <w:instrText>ADDIN CSL_CITATION {"citationItems":[{"id":"ITEM-1","itemData":{"DOI":"10.1371/journal.pone.0144450","ISSN":"1932-6203","abstract":"Background: Despite ample research on depression after stroke, the debate continues regarding whether symptoms such as sleep disturbances, loss of energy, changes in appetite and diminished concentration should be considered to be consequences of stroke or general symptoms of depression. By comparing symptoms in depressed and non-depressed stroke patients with patients in general practice and patients with symptomatic atherosclerotic diseases, we aim to further clarify similarities and distinctions of depression after stroke and depression in other patient populations. Based on this, it is possible to determine if somatic symptoms should be evaluated in stroke patients in diagnosing depression after stroke. Methods: An observational multicenter study is conducted in three hospitals and seven general practices including 382 stroke patients admitted to hospital with a clinical diagnosis of intracerebral hemorrhage or ischemic infarction, 1160 patients in general practice (PREDICT-NL), and 530 patients with symptomatic atherosclerotic diseases (SMART-Medea). Results: The prevalence of major depressive disorder according to DSM-IV criteria was 14.1% (95% CI 11.0%-18.0%) in the stroke cohort, 5.4% (95% CI 3.8%-7.9%) in the symptomatic atherosclerotic diseases cohort and 12.9% (95% CI 11.1%-15.0%) in the general practice cohorts. Comparing depressed patients of the three cohorts demonstrated broadly similar symptom profiles, as well as comparable levels of individual symptom prevalence. However, the stroke patients suffered more severely from these symptoms than patients in the other populations. Conclusions: The findings suggest that depression after stroke is not a different type of depression. This finding indicates that all depressive symptoms should be evaluated in stroke patients, including somatic symptoms. (PsycInfo Database Record (c) 2020 APA, all rights reserved)","author":[{"dropping-particle":"","family":"Man-van Ginkel","given":"Janneke M","non-dropping-particle":"de","parse-names":false,"suffix":""},{"dropping-particle":"","family":"Hafsteinsdóttir","given":"Thóra B","non-dropping-particle":"","parse-names":false,"suffix":""},{"dropping-particle":"","family":"Lindeman","given":"Eline","non-dropping-particle":"","parse-names":false,"suffix":""},{"dropping-particle":"","family":"Geerlings","given":"Mirjam I","non-dropping-particle":"","parse-names":false,"suffix":""},{"dropping-particle":"","family":"Grobbee","given":"Diederick E","non-dropping-particle":"","parse-names":false,"suffix":""},{"dropping-particle":"","family":"Schuurmans","given":"Marieke J","non-dropping-particle":"","parse-names":false,"suffix":""}],"container-title":"PLoS ONE","id":"ITEM-1","issue":"12","issued":{"date-parts":[["2015","12","4"]]},"note":"Accession Number: 2016-00970-001. PMID: 26637178 Partial author list: First Author &amp;amp; Affiliation: de Man-van Ginkel, Janneke M.; Department of Rehabilitation, Nursing Science and Sports, Brain Center Rudolf Magnus, University Medical Center Utrecht, Utrecht, Netherlands. Release Date: 20160303. Correction Date: 20200629. Publication Type: Journal (0100), Peer Reviewed Journal (0110). Format Covered: Electronic. Document Type: Journal Article. Language: EnglishMajor Descriptor: Cerebrovascular Accidents; Major Depression; Symptoms. Minor Descriptor: Appetite; Concentration; Energy Expenditure; Sleep. Classification: Psychological &amp;amp; Physical Disorders (3200). Population: Human (10); Male (30); Female (40). Location: Netherlands. Age Group: Adolescence (13-17 yrs) (200); Adulthood (18 yrs &amp;amp; older) (300); Young Adulthood (18-29 yrs) (320); Thirties (30-39 yrs) (340); Middle Age (40-64 yrs) (360); Aged (65 yrs &amp;amp; older) (380); Very Old (85 yrs &amp;amp; older) (390). Tests &amp;amp; Measures: Frenchay Aphasia Screening Test; Mini Mental State Examination; Composite International Diagnostic Interview DOI: 10.1037/t02121-000; Patient Health Questionnaire-9 DOI: 10.1037/t06165-000. Methodology: Empirical Study; Longitudinal Study; Prospective Study; Interview; Quantitative Study. References Available: Y. ArtID: e0144450. Issue Publication Date: Dec 4, 2015. Publication History: First Posted Date: Dec 4, 2015; Accepted Date: Nov 18, 2015; First Submitted Date: May 28, 2015. Copyright Statement: This is an open access article distributed under the terms of the Creative Commons Attribution License, which permits unrestricted use, distribution, and reproduction in any medium, provided the original author and source are credited. de Man-van Ginkel et al. 2015.","publisher":"Public Library of Science","publisher-place":"de Man-van Ginkel, Janneke M.","title":"Clinical manifestation of depression after stroke: Is it different from depression in other patient populations?","type":"article-journal","volume":"10"},"uris":["http://www.mendeley.com/documents/?uuid=f396911c-b392-4604-8f77-5035b332e8b1"]}],"mendeley":{"formattedCitation":"(de Man-van Ginkel et al., 2015)","manualFormatting":"de Man-van Ginkel et al. (2015)","plainTextFormattedCitation":"(de Man-van Ginkel et al., 2015)","previouslyFormattedCitation":"(de Man-van Ginkel et al., 2015)"},"properties":{"noteIndex":0},"schema":"https://github.com/citation-style-language/schema/raw/master/csl-citation.json"}</w:instrText>
            </w:r>
            <w:r w:rsidRPr="00FC4F93">
              <w:rPr>
                <w:b/>
                <w:bCs/>
                <w:sz w:val="16"/>
                <w:szCs w:val="16"/>
              </w:rPr>
              <w:fldChar w:fldCharType="separate"/>
            </w:r>
            <w:r w:rsidRPr="00FC4F93">
              <w:rPr>
                <w:b/>
                <w:bCs/>
                <w:noProof/>
                <w:sz w:val="16"/>
                <w:szCs w:val="16"/>
              </w:rPr>
              <w:t>de Man-van Ginkel et al. (2015)</w:t>
            </w:r>
            <w:r w:rsidRPr="00FC4F93">
              <w:rPr>
                <w:b/>
                <w:bCs/>
                <w:sz w:val="16"/>
                <w:szCs w:val="16"/>
              </w:rPr>
              <w:fldChar w:fldCharType="end"/>
            </w:r>
          </w:p>
        </w:tc>
        <w:tc>
          <w:tcPr>
            <w:tcW w:w="607" w:type="dxa"/>
            <w:tcBorders>
              <w:top w:val="single" w:sz="4" w:space="0" w:color="auto"/>
            </w:tcBorders>
            <w:textDirection w:val="btLr"/>
            <w:vAlign w:val="bottom"/>
          </w:tcPr>
          <w:p w14:paraId="172B33D6" w14:textId="77777777" w:rsidR="00D37928" w:rsidRPr="00FC4F93" w:rsidRDefault="00D37928" w:rsidP="004F4A3B">
            <w:pPr>
              <w:ind w:left="113" w:right="113"/>
              <w:rPr>
                <w:b/>
                <w:bCs/>
                <w:sz w:val="16"/>
                <w:szCs w:val="16"/>
              </w:rPr>
            </w:pPr>
            <w:r w:rsidRPr="00FC4F93">
              <w:rPr>
                <w:rFonts w:ascii="Calibri" w:hAnsi="Calibri" w:cs="Calibri"/>
                <w:b/>
                <w:bCs/>
                <w:color w:val="000000"/>
                <w:sz w:val="16"/>
                <w:szCs w:val="16"/>
              </w:rPr>
              <w:fldChar w:fldCharType="begin" w:fldLock="1"/>
            </w:r>
            <w:r w:rsidRPr="00FC4F93">
              <w:rPr>
                <w:rFonts w:ascii="Calibri" w:hAnsi="Calibri" w:cs="Calibri"/>
                <w:b/>
                <w:bCs/>
                <w:color w:val="000000"/>
                <w:sz w:val="16"/>
                <w:szCs w:val="16"/>
              </w:rPr>
              <w:instrText>ADDIN CSL_CITATION {"citationItems":[{"id":"ITEM-1","itemData":{"DOI":"10.1348/014466505X58277","ISSN":"01446657","PMID":"17147102","abstract":"Purpose. There are few validated measures to assess mood in stroke patients and even fewer suitable for all stroke patients, including those with communication problems. The aim of this study was to compare the Stroke Aphasic Depression Questionnaire Hospital version (SADQ-H), Signs of Depression Scale (SODS), Visual Analogue Mood Scale (VAMS) and Visual Analogue Self-esteem Scale (VASES) in screening for mood problems after stroke. Methods. Fifty healthy older adults and 100 stroke patients in hospital completed the VAMS and VASES. A nurse completed the SADQ-H and SODS in relation to the stroke patients. A relative/carer completed the SADQ-H and SODS in relation to the healthy older adults. Those without communication problems also completed the Hospital Anxiety and Depression Scale (HADS). Results. The internal consistency of the scales was low in healthy older adults. In stroke patients the internal consistency of the SADQ-H, VAMS, and VASES was high (α = .71-.84) but that of the SODS was low (α = .53). In healthy older adults, correlations between the HADS and the VAMS and VASES were high but low between the HADS and SADQ-H and SODS. In stroke patients, the HADS depression scale correlated significantly with all the scales (0.35-0.55) but only the SADQ-H 10, VAMS, and VASES were significantly correlated with the HADS anxiety scale (0.40-0.52). Appropriate cut-offs were found for the SADQ-H (17/18), SADQ-H 10 (5/6), SODS (1/2), and VAMS 'sad' item (22/23) in comparison to depression on the HADS. No appropriate cut-offs were identified in comparison to anxiety on the HADS. Conclusions. The SADQ-H, SADQ-H10 and SODS were all appropriate for screening for possible depression after stroke but not for screening for possible anxiety. The SADQ-H 10 had greater internal consistency and higher sensitivity and specificity than the SODS and is shorter than the SADQ-H. It was also significantly correlated with both the anxiety and depression scales of the HADS. The SADQ-H 10 was therefore recommended as the most appropriate for screening purposes. The VAMS and VASES provided no clear cut-offs for use in screening but scores were highly correlated with the HADS. They are therefore more suitable for assessing severity of low mood rather than for screening purposes. The cut-offs identified need further validation in an independent sample of stroke patients, including a higher proportion with low mood. © 2006 The British Psychological Society.","author":[{"dropping-particle":"","family":"Bennett","given":"H. E.","non-dropping-particle":"","parse-names":false,"suffix":""},{"dropping-particle":"","family":"Thomas","given":"S. A.","non-dropping-particle":"","parse-names":false,"suffix":""},{"dropping-particle":"","family":"Austen","given":"R.","non-dropping-particle":"","parse-names":false,"suffix":""},{"dropping-particle":"","family":"Morris","given":"A. M.S.","non-dropping-particle":"","parse-names":false,"suffix":""},{"dropping-particle":"","family":"Lincoln","given":"Nadina B.","non-dropping-particle":"","parse-names":false,"suffix":""}],"container-title":"British Journal of Clinical Psychology","id":"ITEM-1","issue":"3","issued":{"date-parts":[["2006"]]},"page":"367-376","title":"Validation of screening measures for assessing mood in stroke patients","type":"article-journal","volume":"45"},"uris":["http://www.mendeley.com/documents/?uuid=27dc94e7-58ca-448e-9219-e0a8fc4c7c28"]}],"mendeley":{"formattedCitation":"(Bennett et al., 2006)","manualFormatting":"Bennett et al. (2006)","plainTextFormattedCitation":"(Bennett et al., 2006)","previouslyFormattedCitation":"(Bennett et al., 2006)"},"properties":{"noteIndex":0},"schema":"https://github.com/citation-style-language/schema/raw/master/csl-citation.json"}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Bennett et al. (2006)</w:t>
            </w:r>
            <w:r w:rsidRPr="00FC4F93">
              <w:rPr>
                <w:rFonts w:ascii="Calibri" w:hAnsi="Calibri" w:cs="Calibri"/>
                <w:b/>
                <w:bCs/>
                <w:color w:val="000000"/>
                <w:sz w:val="16"/>
                <w:szCs w:val="16"/>
              </w:rPr>
              <w:fldChar w:fldCharType="end"/>
            </w:r>
          </w:p>
        </w:tc>
        <w:tc>
          <w:tcPr>
            <w:tcW w:w="607" w:type="dxa"/>
            <w:tcBorders>
              <w:top w:val="single" w:sz="4" w:space="0" w:color="auto"/>
            </w:tcBorders>
            <w:textDirection w:val="btLr"/>
            <w:vAlign w:val="bottom"/>
          </w:tcPr>
          <w:p w14:paraId="6F704433" w14:textId="77777777" w:rsidR="00D37928" w:rsidRPr="00FC4F93" w:rsidRDefault="00D37928" w:rsidP="004F4A3B">
            <w:pPr>
              <w:ind w:left="113" w:right="113"/>
              <w:rPr>
                <w:b/>
                <w:bCs/>
                <w:sz w:val="16"/>
                <w:szCs w:val="16"/>
              </w:rPr>
            </w:pPr>
            <w:r w:rsidRPr="00FC4F93">
              <w:rPr>
                <w:rFonts w:ascii="Calibri" w:hAnsi="Calibri" w:cs="Calibri"/>
                <w:b/>
                <w:bCs/>
                <w:color w:val="000000"/>
                <w:sz w:val="16"/>
                <w:szCs w:val="16"/>
              </w:rPr>
              <w:fldChar w:fldCharType="begin" w:fldLock="1"/>
            </w:r>
            <w:r w:rsidRPr="00FC4F93">
              <w:rPr>
                <w:rFonts w:ascii="Calibri" w:hAnsi="Calibri" w:cs="Calibri"/>
                <w:b/>
                <w:bCs/>
                <w:color w:val="000000"/>
                <w:sz w:val="16"/>
                <w:szCs w:val="16"/>
              </w:rPr>
              <w:instrText>ADDIN CSL_CITATION {"citationItems":[{"id":"ITEM-1","itemData":{"DOI":"10.1177/15459683211029889","ISSN":"1552-6844","abstract":"Background . Stroke survivors commonly complain of difficulty sleeping. Poor sleep is associated with reduced quality of life and more understanding of long-term consequences of stroke on sleep is needed. Objective. The primary aims were to (1) compare sleep measures between chronic stroke survivors and healthy controls and (2) test for a relationship between motor impairment, time since stroke and sleep. Secondary aims were to explore mood and inactivity as potential correlates of sleep and test the correlation between self-reported and objective sleep measures. Methods. Cross-sectional sleep measures were obtained for 69 chronic stroke survivors (mean 65 months post-stroke, 63 years old, 24 female) and 63 healthy controls (mean 61 years old, 27 female). Self-reported sleep was assessed with the sleep condition indicator (SCI) and sleep diary ratings, objective sleep with 7-nights actigraphy and mood with the Hospital Anxiety and Depression Scale. Upper extremity motor impairment was assessed with the Fugl-Meyer assessment. Results. Stroke survivors had significantly poorer SCI score ( P &lt; .001) and higher wake after sleep onset ( P = .005) than controls. Neither motor impairment, nor time since stroke, explained significant variance in sleep measures for the stroke group. For all participants together, greater depression was associated with poorer SCI score ( R         2         adj = .197, P &lt; .001) and higher age with more fragmented sleep ( R         2         adj = .108, P &lt; .001). There were weak correlations between nightly sleep ratings and actigraphy sleep measures ( r                     s          = .15-.24). Conclusions. Sleep disturbance is present long-term after stroke. Depressive symptoms may present a modifiable factor which should be investigated alongside techniques to improve sleep in this population.","author":[{"dropping-particle":"","family":"Fleming","given":"Melanie K","non-dropping-particle":"","parse-names":false,"suffix":""},{"dropping-particle":"","family":"Smejka","given":"Tom","non-dropping-particle":"","parse-names":false,"suffix":""},{"dropping-particle":"","family":"Henderson Slater","given":"David","non-dropping-particle":"","parse-names":false,"suffix":""},{"dropping-particle":"","family":"Chiu","given":"Evangeline Grace","non-dropping-particle":"","parse-names":false,"suffix":""},{"dropping-particle":"","family":"Demeyere","given":"Nele","non-dropping-particle":"","parse-names":false,"suffix":""},{"dropping-particle":"","family":"Johansen-Berg","given":"Heidi","non-dropping-particle":"","parse-names":false,"suffix":""}],"container-title":"Neurorehabilitation and neural repair","id":"ITEM-1","issued":{"date-parts":[["2021","7","1"]]},"note":"Accession Number: 34196598. Language: English. Date Revised: 20210701. Date Created: 20210701. Update Code: 20210701. Publication Type: Journal Article. Journal ID: 100892086. Publication Model: Print-Electronic. Cited Medium: Internet. NLM ISO Abbr: Neurorehabil Neural Repair. Linking ISSN: 15459683. Subset: MEDLINE; Date of Electronic Publication: 2021 Jul 01. Current Imprints: Publication: 2002- : Thousand Oaks, CA : Sage Publications; Original Imprints: Publication: New York, NY : Demos Medical Pub., c1999-","page":"15459683211029889","publisher":"Sage Publications","publisher-place":"Wellcome Centre for Integrative Neuroimaging, FMRIB, Nuffield Department of Clinical Neurosciences, 6396University of Oxford, Oxford, UK.; 552380NIHR Oxford Biomedical Research Centre, UK.; 212787Oxford Centre for Enablement, Oxford University Hospitals N","title":"Self-Reported and Objective Sleep Measures in Stroke Survivors With Incomplete Motor Recovery at the Chronic Stage.","type":"article-journal"},"uris":["http://www.mendeley.com/documents/?uuid=5b3e48c9-80ec-4791-8696-37786b518e78"]}],"mendeley":{"formattedCitation":"(Fleming et al., 2021)","manualFormatting":"Fleming et al. (2021)","plainTextFormattedCitation":"(Fleming et al., 2021)","previouslyFormattedCitation":"(Fleming et al., 2021)"},"properties":{"noteIndex":0},"schema":"https://github.com/citation-style-language/schema/raw/master/csl-citation.json"}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Fleming et al. (2021)</w:t>
            </w:r>
            <w:r w:rsidRPr="00FC4F93">
              <w:rPr>
                <w:rFonts w:ascii="Calibri" w:hAnsi="Calibri" w:cs="Calibri"/>
                <w:b/>
                <w:bCs/>
                <w:color w:val="000000"/>
                <w:sz w:val="16"/>
                <w:szCs w:val="16"/>
              </w:rPr>
              <w:fldChar w:fldCharType="end"/>
            </w:r>
          </w:p>
        </w:tc>
        <w:tc>
          <w:tcPr>
            <w:tcW w:w="661" w:type="dxa"/>
            <w:tcBorders>
              <w:top w:val="single" w:sz="4" w:space="0" w:color="auto"/>
            </w:tcBorders>
            <w:textDirection w:val="btLr"/>
          </w:tcPr>
          <w:p w14:paraId="40F53FDB" w14:textId="77777777" w:rsidR="00D37928" w:rsidRPr="00FC4F93" w:rsidRDefault="00D37928" w:rsidP="004F4A3B">
            <w:pPr>
              <w:ind w:left="113" w:right="113"/>
              <w:rPr>
                <w:rFonts w:ascii="Calibri" w:hAnsi="Calibri" w:cs="Calibri"/>
                <w:b/>
                <w:bCs/>
                <w:color w:val="000000"/>
                <w:sz w:val="16"/>
                <w:szCs w:val="16"/>
              </w:rPr>
            </w:pPr>
            <w:r w:rsidRPr="00FC4F93">
              <w:rPr>
                <w:rFonts w:ascii="Calibri" w:hAnsi="Calibri" w:cs="Calibri"/>
                <w:b/>
                <w:bCs/>
                <w:color w:val="000000"/>
                <w:sz w:val="16"/>
                <w:szCs w:val="16"/>
              </w:rPr>
              <w:fldChar w:fldCharType="begin" w:fldLock="1"/>
            </w:r>
            <w:r w:rsidRPr="00FC4F93">
              <w:rPr>
                <w:rFonts w:ascii="Calibri" w:hAnsi="Calibri" w:cs="Calibri"/>
                <w:b/>
                <w:bCs/>
                <w:color w:val="000000"/>
                <w:sz w:val="16"/>
                <w:szCs w:val="16"/>
              </w:rPr>
              <w:instrText>ADDIN CSL_CITATION {"citationItems":[{"id":"ITEM-1","itemData":{"DOI":"10.1076/jcen.20.5.723.1117","ISSN":"13803395","PMID":"10079047","abstract":"Patients with right and left hemisphere stroke (RH, LH) and a control group (CG) were administered a structured clinical interview (SCID-R) and rating scales for anxiety and depression (Center for Epidemiologic Studies Depression Scale, Beck Anxiety Inventory, and Hamiliton Depression Rating Scale). The three groups did not differ when compared for the mean level of distress on the rating scales or frequency of mood or anxiety disorder diagnosis using the SCID-R. By contrast, participants in the LH group were more likely to be classified as distressed using rating scales cutoff scores and on measures of severity when compared only to the RH group. The rating scales were sensitive to psychiatric disorders, but lacked specificity in all groups. There were significant correlations between scales suggesting the rating scales measure a common factor in the controls, while in the stroke groups associations were weaker and less likely to be significant. Together, these results suggest the need for caution in using rating scales of depression and anxiety in neurologic patients and support the notion that these scales are sensitive to distress rather than specific for identifying depressive and anxiety disorders.","author":[{"dropping-particle":"","family":"Schramke","given":"Carol J.","non-dropping-particle":"","parse-names":false,"suffix":""},{"dropping-particle":"","family":"Stowe","given":"Robert M.","non-dropping-particle":"","parse-names":false,"suffix":""},{"dropping-particle":"","family":"Ratcliff","given":"Graham","non-dropping-particle":"","parse-names":false,"suffix":""},{"dropping-particle":"","family":"Goldstein","given":"Gerald","non-dropping-particle":"","parse-names":false,"suffix":""},{"dropping-particle":"","family":"Condray","given":"Ruth","non-dropping-particle":"","parse-names":false,"suffix":""}],"container-title":"Journal of Clinical and Experimental Neuropsychology","id":"ITEM-1","issue":"5","issued":{"date-parts":[["1998","10"]]},"note":"Accession Number: 4561562; Schramke, Carol C.J. Stowe, Robert R. M. Ratcliff, Graham G. Goldstein, Gerald G. Condray, Ruth R.; Source Info: Oct98, Vol. 20 Issue 5, p723; Subject Term: NEUROPSYCHOLOGICAL tests; Subject Term: ANXIETY testing; Subject Term: DIAGNOSIS of mental depression; Subject Term: CEREBROVASCULAR disease patients; Number of Pages: 15p; Document Type: Article","page":"723-737","publisher":"Taylor &amp; Francis Ltd","title":"Poststroke depression and anxiety: Different assessment methods result in variations in incidence and severity estimates","type":"article-journal","volume":"20"},"uris":["http://www.mendeley.com/documents/?uuid=2eda66b0-c453-47fd-9cd9-7f0328f382d6"]}],"mendeley":{"formattedCitation":"(Schramke et al., 1998)","manualFormatting":"Schramke et al. (1998)","plainTextFormattedCitation":"(Schramke et al., 1998)","previouslyFormattedCitation":"(Schramke et al., 1998)"},"properties":{"noteIndex":0},"schema":"https://github.com/citation-style-language/schema/raw/master/csl-citation.json"}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Schramke et al. (1998)</w:t>
            </w:r>
            <w:r w:rsidRPr="00FC4F93">
              <w:rPr>
                <w:rFonts w:ascii="Calibri" w:hAnsi="Calibri" w:cs="Calibri"/>
                <w:b/>
                <w:bCs/>
                <w:color w:val="000000"/>
                <w:sz w:val="16"/>
                <w:szCs w:val="16"/>
              </w:rPr>
              <w:fldChar w:fldCharType="end"/>
            </w:r>
          </w:p>
        </w:tc>
        <w:tc>
          <w:tcPr>
            <w:tcW w:w="607" w:type="dxa"/>
            <w:tcBorders>
              <w:top w:val="single" w:sz="4" w:space="0" w:color="auto"/>
            </w:tcBorders>
            <w:textDirection w:val="btLr"/>
          </w:tcPr>
          <w:p w14:paraId="1B9F7A9E" w14:textId="77777777" w:rsidR="00D37928" w:rsidRPr="00FC4F93" w:rsidRDefault="00D37928" w:rsidP="004F4A3B">
            <w:pPr>
              <w:ind w:left="113" w:right="113"/>
              <w:rPr>
                <w:rFonts w:ascii="Calibri" w:hAnsi="Calibri" w:cs="Calibri"/>
                <w:b/>
                <w:bCs/>
                <w:color w:val="000000"/>
                <w:sz w:val="16"/>
                <w:szCs w:val="16"/>
              </w:rPr>
            </w:pPr>
            <w:r w:rsidRPr="00FC4F93">
              <w:rPr>
                <w:rFonts w:ascii="Calibri" w:hAnsi="Calibri" w:cs="Calibri"/>
                <w:b/>
                <w:bCs/>
                <w:color w:val="000000"/>
                <w:sz w:val="16"/>
                <w:szCs w:val="16"/>
              </w:rPr>
              <w:fldChar w:fldCharType="begin" w:fldLock="1"/>
            </w:r>
            <w:r w:rsidRPr="00FC4F93">
              <w:rPr>
                <w:rFonts w:ascii="Calibri" w:hAnsi="Calibri" w:cs="Calibri"/>
                <w:b/>
                <w:bCs/>
                <w:color w:val="000000"/>
                <w:sz w:val="16"/>
                <w:szCs w:val="16"/>
              </w:rPr>
              <w:instrText>ADDIN CSL_CITATION {"citationItems":[{"id":"ITEM-1","itemData":{"DOI":"10.3109/14038196.2010.534175","ISSN":"1403-8196","abstract":"There is increasing anecdotal and scientific evidence of the presence of fatigue following stroke. This study examines this fatigue and evaluates the relationship between fatigue and other factors post-stroke, such as physical function, depression and reintegration to normal living. A cross-sectional case--control methodology was used. People with stroke were recruited from two day hospitals, Volunteer Stroke Scheme meetings and active retirement groups. Control subjects were recruited from active retirement groups in the same catchment area. One hundred people with stroke and 100 age- and gender-matched controls completed four standardized outcome measures: the Multidimensional Fatigue Inventory, Geriatric Depression Scale, Barthel Index and Reintegration to Normal Living Index. Demographic details were also recorded. Fatigue levels are significantly higher in people who have had a stroke. No relationship was demonstrated between fatigue and physical function or reintegration to normal living. Fatigue and depression co-existed in many respondents; however, fatigue was also seen to be independent of depression. Depression did not have an effect on fatigue in people with stroke. Fatigue needs to be considered in the rehabilitation process post-stroke. It is independent of depression and may persist up to 3 years post-stroke. [ABSTRACT FROM AUTHOR]","author":[{"dropping-particle":"","family":"Stokes","given":"Emma K","non-dropping-particle":"","parse-names":false,"suffix":""},{"dropping-particle":"","family":"O'Connell","given":"Caroline","non-dropping-particle":"","parse-names":false,"suffix":""},{"dropping-particle":"","family":"Murphy","given":"Brendan","non-dropping-particle":"","parse-names":false,"suffix":""}],"container-title":"Advances in Physiotherapy","id":"ITEM-1","issue":"1","issued":{"date-parts":[["2011","3"]]},"note":"From Duplicate 1 (An investigation into fatigue post-stroke and its multidimensional nature. - Stokes, Emma K; O'Connell, Caroline; Murphy, Brendan)\n\nAccession Number: 58458824; Stokes, Emma K. 1; Email Address: estokes@tcd.ie O'Connell, Caroline 1 Murphy, Brendan 2; Affiliation: 1: Department of Physiotherapy, School of Medicine, Trinity College Dublin, Ireland 2: School of Mathematical Science, University College Dublin Ireland; Source Info: 2011, Vol. 13 Issue 1, p2; Subject Term: ANALYSIS of variance; Subject Term: CEREBROVASCULAR disease; Subject Term: CHI-squared test; Subject Term: COMPUTER software; Subject Term: CONFIDENCE intervals; Subject Term: DEPRESSION in old age; Subject Term: MENTAL depression; Subject Term: FATIGUE; Subject Term: HEALTH status indicators; Subject Term: LIFE skills; Subject Term: PSYCHOLOGICAL tests; Subject Term: STATISTICAL sampling; Subject Term: STATISTICS; Subject Term: U-statistics; Subject Term: DATA analysis; Subject Term: ACTIVITIES of daily living; Subject Term: MULTIPLE regression analysis; Subject Term: CROSS-sectional method; Subject Term: CASE-control method; Subject Term: DISEASE complications; Subject Term: IRELAND; Author-Supplied Keyword: Depression; Author-Supplied Keyword: fatigue; Author-Supplied Keyword: rehabilitation; Author-Supplied Keyword: stroke; NAICS/Industry Codes: 417310 Computer, computer peripheral and pre-packaged software merchant wholesalers; NAICS/Industry Codes: 423430 Computer and Computer Peripheral Equipment and Software Merchant Wholesalers; NAICS/Industry Codes: 443144 Computer and software stores; NAICS/Industry Codes: 511211 Software publishers (except video game publishers); NAICS/Industry Codes: 541910 Marketing Research and Public Opinion Polling; Number of Pages: 9p; Illustrations: 7 Charts; Document Type: Article\n\nFrom Duplicate 2 (An investigation into fatigue post-stroke and its multidimensional nature. - Stokes, Emma K; O'Connell, Caroline; Murphy, Brendan)\n\nAccession Number: 104821907. Language: English. Entry Date: 20110221. Revision Date: 20200708. Publication Type: Journal Article; research; tables/charts. Journal Subset: Allied Health; Continental Europe; Europe; Peer Reviewed. Instrumentation: Geriatric Depression Scale (GDS); Barthel Index; Multidimensional Fatigue Inventory; Reintegration to Normal Living Index.. NLM UID: 100894597.","page":"2-10","publisher":"Taylor &amp; Francis Ltd","publisher-place":"Department of Physiotherapy, School of Medicine, Trinity College Dublin, Ireland","title":"An investigation into fatigue post-stroke and its multidimensional nature.","type":"article-journal","volume":"13"},"uris":["http://www.mendeley.com/documents/?uuid=ea134699-7785-43f0-8e62-fd8880dd5ecd"]}],"mendeley":{"formattedCitation":"(Stokes et al., 2011)","manualFormatting":"Stokes et al. (2011)","plainTextFormattedCitation":"(Stokes et al., 2011)","previouslyFormattedCitation":"(Stokes et al., 2011)"},"properties":{"noteIndex":0},"schema":"https://github.com/citation-style-language/schema/raw/master/csl-citation.json"}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Stokes et al. (2011)</w:t>
            </w:r>
            <w:r w:rsidRPr="00FC4F93">
              <w:rPr>
                <w:rFonts w:ascii="Calibri" w:hAnsi="Calibri" w:cs="Calibri"/>
                <w:b/>
                <w:bCs/>
                <w:color w:val="000000"/>
                <w:sz w:val="16"/>
                <w:szCs w:val="16"/>
              </w:rPr>
              <w:fldChar w:fldCharType="end"/>
            </w:r>
          </w:p>
        </w:tc>
        <w:tc>
          <w:tcPr>
            <w:tcW w:w="607" w:type="dxa"/>
            <w:tcBorders>
              <w:top w:val="single" w:sz="4" w:space="0" w:color="auto"/>
            </w:tcBorders>
            <w:textDirection w:val="btLr"/>
          </w:tcPr>
          <w:p w14:paraId="502FD2DE" w14:textId="77777777" w:rsidR="00D37928" w:rsidRPr="00FC4F93" w:rsidRDefault="00D37928" w:rsidP="004F4A3B">
            <w:pPr>
              <w:ind w:left="113" w:right="113"/>
              <w:rPr>
                <w:rFonts w:ascii="Calibri" w:hAnsi="Calibri" w:cs="Calibri"/>
                <w:b/>
                <w:bCs/>
                <w:color w:val="000000"/>
                <w:sz w:val="16"/>
                <w:szCs w:val="16"/>
              </w:rPr>
            </w:pPr>
            <w:r w:rsidRPr="00FC4F93">
              <w:rPr>
                <w:rFonts w:ascii="Calibri" w:hAnsi="Calibri" w:cs="Calibri"/>
                <w:b/>
                <w:bCs/>
                <w:color w:val="000000"/>
                <w:sz w:val="16"/>
                <w:szCs w:val="16"/>
              </w:rPr>
              <w:fldChar w:fldCharType="begin" w:fldLock="1"/>
            </w:r>
            <w:r>
              <w:rPr>
                <w:rFonts w:ascii="Calibri" w:hAnsi="Calibri" w:cs="Calibri"/>
                <w:b/>
                <w:bCs/>
                <w:color w:val="000000"/>
                <w:sz w:val="16"/>
                <w:szCs w:val="16"/>
              </w:rPr>
              <w:instrText>ADDIN CSL_CITATION {"citationItems":[{"id":"ITEM-1","itemData":{"DOI":"10.1177/0269215507080142","ISSN":"02692155","PMID":"18212038","abstract":"Objective: To compare ratings of self-esteem and depressive mood in a sample of stroke survivors in an acute inpatient rehabilitation setting to those of a matched control group. Design: Stroke survivors (n=8O) were matched on age and education to a group of neurologically intact community-dwelling control participants. Between-group analysis compared mean ratings of self-esteem and depressive measures. Within-group correlational analyses explored the relationship between self-esteem and mood. Between-group comparison of the correlations between self-esteem and mood explored differences in the strength of association between these constructs. Regression analyses explored the relationship of self-esteem measures after controlling for depressive mood. Main measures: Visual Analogue Self-Esteem Scale, Rosenberg Self-Esteem Scale, Geriatric Depression Scale. Results: Stroke survivors rated significantly lower mean levels of self-esteem on the Visual Analogue Self-Esteem Scale (37 versus 41) and the Rosenberg Self-Esteem Scale (21 versus 24) than the control group. Stroke survivors also rated higher mean levels of depressive mood on the Geriatric Depression Scale (9 versus 6). Significantly higher correlations between self-esteem and mood ratings were noted in the stroke group than in the control group. Lower self-esteem ratings do not appear to be a byproduct of depressive mood. Conclusions: Self-esteem is negatively impacted by stroke and is strongly, but independently, associated with depressive mood. Clinicians may better facilitate the emotional adjustment of the survivor by considering this facet of psychological impact and intervening to address self-esteem.","author":[{"dropping-particle":"","family":"Vickery","given":"Chad D","non-dropping-particle":"","parse-names":false,"suffix":""},{"dropping-particle":"","family":"Sepehri","given":"Arash","non-dropping-particle":"","parse-names":false,"suffix":""},{"dropping-particle":"","family":"Evans","given":"Clea C","non-dropping-particle":"","parse-names":false,"suffix":""},{"dropping-particle":"","family":"CD","given":"Vickery","non-dropping-particle":"","parse-names":false,"suffix":""},{"dropping-particle":"","family":"Sepehri","given":"Arash","non-dropping-particle":"","parse-names":false,"suffix":""},{"dropping-particle":"","family":"CC","given":"Evans","non-dropping-particle":"","parse-names":false,"suffix":""},{"dropping-particle":"","family":"Vickery","given":"Chad D","non-dropping-particle":"","parse-names":false,"suffix":""},{"dropping-particle":"","family":"Sepehri","given":"Arash","non-dropping-particle":"","parse-names":false,"suffix":""},{"dropping-particle":"","family":"Evans","given":"Clea C","non-dropping-particle":"","parse-names":false,"suffix":""},{"dropping-particle":"","family":"CD","given":"Vickery","non-dropping-particle":"","parse-names":false,"suffix":""},{"dropping-particle":"","family":"Sepehri","given":"Arash","non-dropping-particle":"","parse-names":false,"suffix":""},{"dropping-particle":"","family":"CC","given":"Evans","non-dropping-particle":"","parse-names":false,"suffix":""}],"container-title":"Clinical Rehabilitation","id":"ITEM-1","issue":"2","issued":{"date-parts":[["2008","1","1"]]},"note":"From Duplicate 1 (Self-esteem in an acute stroke rehabilitation sample: a control group comparison - CD, Vickery; Sepehri, Arash; CC, Evans; Vickery, Chad D; Sepehri, Arash; Evans, Clea C; CD, Vickery; Sepehri, Arash; CC, Evans)\n\nFrom Duplicate 2 (Self-esteem in an acute stroke rehabilitation sample: a control group comparison - Vickery, Chad D; Sepehri, Arash; Evans, Clea C; CD, Vickery; Sepehri, Arash; CC, Evans)\nAnd Duplicate 3 (Self-esteem in an acute stroke rehabilitation sample: a control group comparison - Vickery, Chad D; Sepehri, Arash; Evans, Clea C; CD, Vickery; Sepehri, Arash; CC, Evans)\n\nFrom Duplicate 1 (Self-esteem in an acute stroke rehabilitation sample: a control group comparison - CD, Vickery; Sepehri, A; CC, Evans)\n\nAccession Number: 0108221; Minor Terms: HUMANS, ACUTE DIS, REHABILITATION, PSYCHOLOGY; Language: English\n\nFrom Duplicate 4 (Self-esteem in an acute stroke rehabilitation sample: a control group comparison - CD, Vickery; Sepehri, A; CC, Evans)\n\nAccession Number: 0108221; Minor Terms: HUMANS, ACUTE DIS, REHABILITATION, PSYCHOLOGY; Language: English\n\nFrom Duplicate 2 (Self-esteem in an acute stroke rehabilitation sample: a control group comparison - Vickery, Chad D; Sepehri, Arash; Evans, Clea C; CD, Vickery; Sepehri, Arash; CC, Evans)\n\nFrom Duplicate 1 (Self-esteem in an acute stroke rehabilitation sample: a control group comparison - CD, Vickery; Sepehri, A; CC, Evans)\n\nAccession Number: 0108221; Minor Terms: HUMANS, ACUTE DIS, REHABILITATION, PSYCHOLOGY; Language: English","page":"179-187","title":"Self-esteem in an acute stroke rehabilitation sample: a control group comparison","type":"article-journal","volume":"22"},"uris":["http://www.mendeley.com/documents/?uuid=7b78af7b-a18c-4212-b988-6141067b46d4"]}],"mendeley":{"formattedCitation":"(Vickery, Sepehri, et al., 2008)","manualFormatting":"Vickery et al. (2008)","plainTextFormattedCitation":"(Vickery, Sepehri, et al., 2008)","previouslyFormattedCitation":"(Vickery et al., 2008)"},"properties":{"noteIndex":0},"schema":"https://github.com/citation-style-language/schema/raw/master/csl-citation.json"}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Vickery et al. (2008)</w:t>
            </w:r>
            <w:r w:rsidRPr="00FC4F93">
              <w:rPr>
                <w:rFonts w:ascii="Calibri" w:hAnsi="Calibri" w:cs="Calibri"/>
                <w:b/>
                <w:bCs/>
                <w:color w:val="000000"/>
                <w:sz w:val="16"/>
                <w:szCs w:val="16"/>
              </w:rPr>
              <w:fldChar w:fldCharType="end"/>
            </w:r>
          </w:p>
        </w:tc>
        <w:tc>
          <w:tcPr>
            <w:tcW w:w="842" w:type="dxa"/>
            <w:tcBorders>
              <w:top w:val="single" w:sz="4" w:space="0" w:color="auto"/>
            </w:tcBorders>
            <w:textDirection w:val="btLr"/>
          </w:tcPr>
          <w:p w14:paraId="55B975D3" w14:textId="77777777" w:rsidR="00D37928" w:rsidRPr="00FC4F93" w:rsidRDefault="00D37928" w:rsidP="004F4A3B">
            <w:pPr>
              <w:ind w:left="113" w:right="113"/>
              <w:rPr>
                <w:rFonts w:ascii="Calibri" w:hAnsi="Calibri" w:cs="Calibri"/>
                <w:b/>
                <w:bCs/>
                <w:color w:val="000000"/>
                <w:sz w:val="16"/>
                <w:szCs w:val="16"/>
              </w:rPr>
            </w:pPr>
            <w:r w:rsidRPr="00FC4F93">
              <w:rPr>
                <w:rFonts w:ascii="Calibri" w:hAnsi="Calibri" w:cs="Calibri"/>
                <w:b/>
                <w:bCs/>
                <w:color w:val="000000"/>
                <w:sz w:val="16"/>
                <w:szCs w:val="16"/>
              </w:rPr>
              <w:fldChar w:fldCharType="begin" w:fldLock="1"/>
            </w:r>
            <w:r>
              <w:rPr>
                <w:rFonts w:ascii="Calibri" w:hAnsi="Calibri" w:cs="Calibri"/>
                <w:b/>
                <w:bCs/>
                <w:color w:val="000000"/>
                <w:sz w:val="16"/>
                <w:szCs w:val="16"/>
              </w:rPr>
              <w:instrText>ADDIN CSL_CITATION {"citationItems":[{"id":"ITEM-1","itemData":{"DOI":"10.1111/j.1524-4733.2006.00082.x","ISSN":"10983015","abstract":"Objectives:  Clinical trials and community-based studies often include the Center for Epidemiologic Studies-Depression scale (CES-D) as a measure of depression outcome. We compared responses to symptom-related items on the CES-D by depressed stroke and primary-care patients for several purposes: 1) to illustrate the use of Item Response Theory (IRT)-based (Rasch) models for comparing scale functioning across different patient subgroups; and 2) to inform clinicians and outcome researchers about scale functioning and depressive symptomatology in stroke- compared with primary care-based depression. Methods:  Two data sources were analyzed, including 32 depressed patients who were 3 months poststroke, and 366 depressed primary-care patients. Presence of depression was based on a CES-D score 16 or higher. Rasch models were used to assess item fit and compare item hierarchies between depressed primary-care and stroke patients. Results:  Item hierarchies were similar for poststroke depression and primary care-based depression. Interpersonal disruption items were the most difficult to endorse for both groups. No items misfit the scale in primary-care depression. Items relating to restless sleep, unfriendliness, and crying slightly misfit the scale in stroke patients, that is, may measure a different trait. Differential item functioning (DIF) between the groups was identified for items relating to appetite, restless sleep, crying, and feeling disliked. Conclusions:  Results generally supported the use of the CES-D as measure of depression outcome, particularly in primary care-based depression. DIF may imply that slightly different clusters of depressive symptoms are reported by depressed stroke patients compared with primary care, but this is conjectural given the small stroke sample size and the same items have been previously associated with bias in studies of large nonstroke samples. This study found Rasch models to be useful tools to investigate scale performance for different clinical applications. [ABSTRACT FROM AUTHOR]","author":[{"dropping-particle":"","family":"Pickard","given":"A. Simon","non-dropping-particle":"","parse-names":false,"suffix":""},{"dropping-particle":"","family":"Dalal","given":"Mehul R.","non-dropping-particle":"","parse-names":false,"suffix":""},{"dropping-particle":"","family":"Bushnell","given":"Donald M.","non-dropping-particle":"","parse-names":false,"suffix":""},{"dropping-particle":"","family":"AS","given":"Pickard","non-dropping-particle":"","parse-names":false,"suffix":""},{"dropping-particle":"","family":"MR","given":"Dalal","non-dropping-particle":"","parse-names":false,"suffix":""},{"dropping-particle":"","family":"DM","given":"Bushnell","non-dropping-particle":"","parse-names":false,"suffix":""},{"dropping-particle":"","family":"Pickard","given":"A. Simon","non-dropping-particle":"","parse-names":false,"suffix":""},{"dropping-particle":"","family":"Dalal","given":"Mehul R.","non-dropping-particle":"","parse-names":false,"suffix":""},{"dropping-particle":"","family":"Bushnell","given":"Donald M.","non-dropping-particle":"","parse-names":false,"suffix":""}],"container-title":"Value in Health","id":"ITEM-1","issue":"1","issued":{"date-parts":[["2006","1"]]},"note":"From Duplicate 2 (A comparison of depressive symptoms in stroke and primary care: applying Rasch models to evaluate the center for epidemiologic studies-depression scale. - AS, Pickard; MR, Dalal; DM, Bushnell)\n\nAccession Number: 105943768. Language: English. Entry Date: 20080125. Revision Date: 20200708. Publication Type: Journal Article; research. Journal Subset: Biomedical; Peer Reviewed; USA. NLM UID: 100883818.\n\nFrom Duplicate 3 (A Comparison of Depressive Symptoms in Stroke and Primary Care: Applying Rasch Models to Evaluate the Center for Epidemiologic Studies-Depression Scale. - Pickard, A Simon; Dalal, Mehul R; Bushnell, Donald M)\n\nAccession Number: 19506954; Pickard, A. Simon 1; Email Address: pickard1@uic.edu Dalal, Mehul R. 2 Bushnell, Donald M. 3; Affiliation: 1: College of Pharmacy, University of Illinois at Chicago, Chicago, IL, USA 2: Global Health Outcomes, GlaxoSmithKline, Philadelphia, PA, USA 3: Health Research Associates, Inc., Seattle, WA, USA; Source Info: Jan/Feb2006, Vol. 9 Issue 1, p59; Subject Term: CEREBROVASCULAR disease; Subject Term: MENTAL depression; Subject Term: PATIENTS; Subject Term: PRIMARY care; Subject Term: PSYCHOMETRICS; Subject Term: CLINICAL trials; Subject Term: DEPRESSED persons; Subject Term: ITEM response theory; Subject Term: PSYCHOLOGICAL tests; Subject Term: RESEARCH; Author-Supplied Keyword: cerebrovascular disease; Author-Supplied Keyword: CES-D; Author-Supplied Keyword: depression; Author-Supplied Keyword: psychometrics; Author-Supplied Keyword: stroke; NAICS/Industry Codes: 541712 Research and Development in the Physical, Engineering, and Life Sciences (except Biotechnology); Number of Pages: 6p; Illustrations: 2 Charts; Document Type: Article\n\nFrom Duplicate 4 (A Comparison of Depressive Symptoms in Stroke and Primary Care: Applying Rasch Models to Evaluate the Center for Epidemiologic Studies-Depression Scale. - Pickard, A Simon; Dalal, Mehul R; Bushnell, Donald M; AS, Pickard; MR, Dalal; DM, Bushnell)\n\nFrom Duplicate 1 (A comparison of depressive symptoms in stroke and primary care: applying Rasch models to evaluate the center for epidemiologic studies-depression scale. - AS, Pickard; MR, Dalal; DM, Bushnell)\n\nAccession Number: 105943768. Language: English. Entry Date: 20080125. Revision Date: 20200708. Publication Type: Journal Article; research. Journal Subset: Biomedical; Peer Reviewed; USA. NLM UID: 100883818.\n\nFrom Duplicate 2 (A Comparison of Depressive Symptoms in Stroke and Primary Care: Applying Rasch Models to Evaluate the Center for Epidemiologic Studies-Depression Scale. - Pickard, A Simon; Dalal, Mehul R; Bushnell, Donald M)\n\nAccession Number: 19506954; Pickard, A. Simon 1; Email Address: pickard1@uic.edu Dalal, Mehul R. 2 Bushnell, Donald M. 3; Affiliation: 1: College of Pharmacy, University of Illinois at Chicago, Chicago, IL, USA 2: Global Health Outcomes, GlaxoSmithKline, Philadelphia, PA, USA 3: Health Research Associates, Inc., Seattle, WA, USA; Source Info: Jan/Feb2006, Vol. 9 Issue 1, p59; Subject Term: CEREBROVASCULAR disease; Subject Term: MENTAL depression; Subject Term: PATIENTS; Subject Term: PRIMARY care; Subject Term: PSYCHOMETRICS; Subject Term: CLINICAL trials; Subject Term: DEPRESSED persons; Subject Term: ITEM response theory; Subject Term: PSYCHOLOGICAL tests; Subject Term: RESEARCH; Author-Supplied Keyword: cerebrovascular disease; Author-Supplied Keyword: CES-D; Author-Supplied Keyword: depression; Author-Supplied Keyword: psychometrics; Author-Supplied Keyword: stroke; NAICS/Industry Codes: 541712 Research and Development in the Physical, Engineering, and Life Sciences (except Biotechnology); Number of Pages: 6p; Illustrations: 2 Charts; Document Type: Article","page":"59-64","publisher":"Elsevier B.V.","publisher-place":"New York, New York","title":"A Comparison of Depressive Symptoms in Stroke and Primary Care: Applying Rasch Models to Evaluate the Center for Epidemiologic Studies-Depression Scale.","type":"article-journal","volume":"9"},"uris":["http://www.mendeley.com/documents/?uuid=056e8e6d-b2a4-439a-af3e-594d727793af"]}],"mendeley":{"formattedCitation":"(Pickard et al., 2006)","manualFormatting":"Pickard et al. (2006)","plainTextFormattedCitation":"(Pickard et al., 2006)","previouslyFormattedCitation":"(Pickard et al., 2006)"},"properties":{"noteIndex":0},"schema":"https://github.com/citation-style-language/schema/raw/master/csl-citation.json"}</w:instrText>
            </w:r>
            <w:r w:rsidRPr="00FC4F93">
              <w:rPr>
                <w:rFonts w:ascii="Calibri" w:hAnsi="Calibri" w:cs="Calibri"/>
                <w:b/>
                <w:bCs/>
                <w:color w:val="000000"/>
                <w:sz w:val="16"/>
                <w:szCs w:val="16"/>
              </w:rPr>
              <w:fldChar w:fldCharType="separate"/>
            </w:r>
            <w:r w:rsidRPr="00FC4F93">
              <w:rPr>
                <w:rFonts w:ascii="Calibri" w:hAnsi="Calibri" w:cs="Calibri"/>
                <w:b/>
                <w:bCs/>
                <w:noProof/>
                <w:color w:val="000000"/>
                <w:sz w:val="16"/>
                <w:szCs w:val="16"/>
              </w:rPr>
              <w:t>Pickard et al. (2006)</w:t>
            </w:r>
            <w:r w:rsidRPr="00FC4F93">
              <w:rPr>
                <w:rFonts w:ascii="Calibri" w:hAnsi="Calibri" w:cs="Calibri"/>
                <w:b/>
                <w:bCs/>
                <w:color w:val="000000"/>
                <w:sz w:val="16"/>
                <w:szCs w:val="16"/>
              </w:rPr>
              <w:fldChar w:fldCharType="end"/>
            </w:r>
          </w:p>
        </w:tc>
      </w:tr>
      <w:tr w:rsidR="00D37928" w:rsidRPr="00FF63ED" w14:paraId="666204D2" w14:textId="77777777" w:rsidTr="004F4A3B">
        <w:trPr>
          <w:trHeight w:val="479"/>
        </w:trPr>
        <w:tc>
          <w:tcPr>
            <w:tcW w:w="7093" w:type="dxa"/>
            <w:vAlign w:val="center"/>
          </w:tcPr>
          <w:p w14:paraId="19C4808F" w14:textId="77777777" w:rsidR="00D37928" w:rsidRPr="003770BE" w:rsidRDefault="00D37928" w:rsidP="004F4A3B">
            <w:pPr>
              <w:rPr>
                <w:rFonts w:cs="Times New Roman"/>
                <w:color w:val="000000" w:themeColor="text1"/>
                <w:sz w:val="18"/>
                <w:szCs w:val="18"/>
              </w:rPr>
            </w:pPr>
            <w:r w:rsidRPr="003770BE">
              <w:rPr>
                <w:rFonts w:cs="Times New Roman"/>
                <w:color w:val="000000" w:themeColor="text1"/>
                <w:sz w:val="18"/>
                <w:szCs w:val="18"/>
              </w:rPr>
              <w:t>1.</w:t>
            </w:r>
            <w:r>
              <w:rPr>
                <w:rFonts w:cs="Times New Roman"/>
                <w:color w:val="000000" w:themeColor="text1"/>
                <w:sz w:val="18"/>
                <w:szCs w:val="18"/>
              </w:rPr>
              <w:t xml:space="preserve"> </w:t>
            </w:r>
            <w:r w:rsidRPr="003770BE">
              <w:rPr>
                <w:rFonts w:cs="Times New Roman"/>
                <w:color w:val="000000" w:themeColor="text1"/>
                <w:sz w:val="18"/>
                <w:szCs w:val="18"/>
              </w:rPr>
              <w:t>Was the study question or objective clearly stated?</w:t>
            </w:r>
          </w:p>
        </w:tc>
        <w:tc>
          <w:tcPr>
            <w:tcW w:w="747" w:type="dxa"/>
            <w:shd w:val="clear" w:color="auto" w:fill="00B050"/>
            <w:vAlign w:val="center"/>
          </w:tcPr>
          <w:p w14:paraId="2284B22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00B050"/>
            <w:vAlign w:val="center"/>
          </w:tcPr>
          <w:p w14:paraId="57B2A76E"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7BCE0212"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293267F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0DCA8F0D"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2EDE9AEC"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2CEA283A"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2E160067"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00B050"/>
            <w:vAlign w:val="center"/>
          </w:tcPr>
          <w:p w14:paraId="1D1A4643"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14063FD3"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ECB4011"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6665B1C7"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5563FE45" w14:textId="77777777" w:rsidTr="004F4A3B">
        <w:trPr>
          <w:trHeight w:val="506"/>
        </w:trPr>
        <w:tc>
          <w:tcPr>
            <w:tcW w:w="7093" w:type="dxa"/>
            <w:vAlign w:val="center"/>
          </w:tcPr>
          <w:p w14:paraId="595FCAD9" w14:textId="77777777" w:rsidR="00D37928" w:rsidRPr="00FC4F93" w:rsidRDefault="00D37928" w:rsidP="004F4A3B">
            <w:pPr>
              <w:rPr>
                <w:rFonts w:cs="Times New Roman"/>
                <w:color w:val="000000"/>
                <w:sz w:val="18"/>
                <w:szCs w:val="18"/>
              </w:rPr>
            </w:pPr>
            <w:r>
              <w:rPr>
                <w:rFonts w:cs="Times New Roman"/>
                <w:color w:val="000000"/>
                <w:sz w:val="18"/>
                <w:szCs w:val="18"/>
              </w:rPr>
              <w:t xml:space="preserve">2. </w:t>
            </w:r>
            <w:r w:rsidRPr="00FC4F93">
              <w:rPr>
                <w:rFonts w:cs="Times New Roman"/>
                <w:color w:val="000000"/>
                <w:sz w:val="18"/>
                <w:szCs w:val="18"/>
              </w:rPr>
              <w:t>Was the study population clearly specified and defined?</w:t>
            </w:r>
          </w:p>
          <w:p w14:paraId="4AF5C983" w14:textId="77777777" w:rsidR="00D37928" w:rsidRPr="00FC4F93" w:rsidRDefault="00D37928" w:rsidP="004F4A3B">
            <w:pPr>
              <w:rPr>
                <w:rFonts w:cs="Times New Roman"/>
                <w:color w:val="000000" w:themeColor="text1"/>
                <w:sz w:val="18"/>
                <w:szCs w:val="18"/>
              </w:rPr>
            </w:pPr>
          </w:p>
        </w:tc>
        <w:tc>
          <w:tcPr>
            <w:tcW w:w="747" w:type="dxa"/>
            <w:shd w:val="clear" w:color="auto" w:fill="00B050"/>
            <w:vAlign w:val="center"/>
          </w:tcPr>
          <w:p w14:paraId="524088E5"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00B050"/>
            <w:vAlign w:val="center"/>
          </w:tcPr>
          <w:p w14:paraId="10D09F06"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2E7156E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4D1F14A9"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3C687B3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0F4B2B46"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51C7C471"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77C7FCBD"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00B050"/>
            <w:vAlign w:val="center"/>
          </w:tcPr>
          <w:p w14:paraId="4E37C8C2"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D1D9C1C"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03FAABA7"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4297D21A"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238DC53B" w14:textId="77777777" w:rsidTr="004F4A3B">
        <w:trPr>
          <w:trHeight w:val="479"/>
        </w:trPr>
        <w:tc>
          <w:tcPr>
            <w:tcW w:w="7093" w:type="dxa"/>
            <w:vAlign w:val="center"/>
          </w:tcPr>
          <w:p w14:paraId="781E7A33"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3. </w:t>
            </w:r>
            <w:r w:rsidRPr="00FC4F93">
              <w:rPr>
                <w:rFonts w:cs="Times New Roman"/>
                <w:color w:val="000000" w:themeColor="text1"/>
                <w:sz w:val="18"/>
                <w:szCs w:val="18"/>
              </w:rPr>
              <w:t>Was the participation rate of eligible persons at least 50%?</w:t>
            </w:r>
          </w:p>
        </w:tc>
        <w:tc>
          <w:tcPr>
            <w:tcW w:w="747" w:type="dxa"/>
            <w:shd w:val="clear" w:color="auto" w:fill="00B050"/>
            <w:vAlign w:val="center"/>
          </w:tcPr>
          <w:p w14:paraId="4442EE4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ED7D31" w:themeFill="accent2"/>
            <w:vAlign w:val="center"/>
          </w:tcPr>
          <w:p w14:paraId="56BB645E"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51" w:type="dxa"/>
            <w:shd w:val="clear" w:color="auto" w:fill="00B050"/>
            <w:vAlign w:val="center"/>
          </w:tcPr>
          <w:p w14:paraId="6E0656CB"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ED7D31" w:themeFill="accent2"/>
            <w:vAlign w:val="center"/>
          </w:tcPr>
          <w:p w14:paraId="043C9220"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51" w:type="dxa"/>
            <w:shd w:val="clear" w:color="auto" w:fill="00B050"/>
            <w:vAlign w:val="center"/>
          </w:tcPr>
          <w:p w14:paraId="22BE8A27"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ED7D31" w:themeFill="accent2"/>
            <w:vAlign w:val="center"/>
          </w:tcPr>
          <w:p w14:paraId="02C6BA50"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607" w:type="dxa"/>
            <w:shd w:val="clear" w:color="auto" w:fill="ED7D31" w:themeFill="accent2"/>
            <w:vAlign w:val="center"/>
          </w:tcPr>
          <w:p w14:paraId="1CE62EC2" w14:textId="77777777" w:rsidR="00D37928" w:rsidRPr="00FF63ED" w:rsidRDefault="00D37928" w:rsidP="004F4A3B">
            <w:pPr>
              <w:jc w:val="center"/>
              <w:rPr>
                <w:sz w:val="16"/>
                <w:szCs w:val="16"/>
              </w:rPr>
            </w:pPr>
            <w:r>
              <w:rPr>
                <w:sz w:val="16"/>
                <w:szCs w:val="16"/>
              </w:rPr>
              <w:t>NR</w:t>
            </w:r>
          </w:p>
        </w:tc>
        <w:tc>
          <w:tcPr>
            <w:tcW w:w="607" w:type="dxa"/>
            <w:shd w:val="clear" w:color="auto" w:fill="00B050"/>
            <w:vAlign w:val="center"/>
          </w:tcPr>
          <w:p w14:paraId="459C9BF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ED7D31" w:themeFill="accent2"/>
            <w:vAlign w:val="center"/>
          </w:tcPr>
          <w:p w14:paraId="24179118"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NR</w:t>
            </w:r>
          </w:p>
        </w:tc>
        <w:tc>
          <w:tcPr>
            <w:tcW w:w="607" w:type="dxa"/>
            <w:shd w:val="clear" w:color="auto" w:fill="ED7D31" w:themeFill="accent2"/>
            <w:vAlign w:val="center"/>
          </w:tcPr>
          <w:p w14:paraId="37261B10"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NR</w:t>
            </w:r>
          </w:p>
        </w:tc>
        <w:tc>
          <w:tcPr>
            <w:tcW w:w="607" w:type="dxa"/>
            <w:shd w:val="clear" w:color="auto" w:fill="ED7D31" w:themeFill="accent2"/>
            <w:vAlign w:val="center"/>
          </w:tcPr>
          <w:p w14:paraId="4BE90A61"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NR</w:t>
            </w:r>
          </w:p>
        </w:tc>
        <w:tc>
          <w:tcPr>
            <w:tcW w:w="842" w:type="dxa"/>
            <w:shd w:val="clear" w:color="auto" w:fill="ED7D31" w:themeFill="accent2"/>
            <w:vAlign w:val="center"/>
          </w:tcPr>
          <w:p w14:paraId="464015B6"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NR</w:t>
            </w:r>
          </w:p>
        </w:tc>
      </w:tr>
      <w:tr w:rsidR="00D37928" w:rsidRPr="00FF63ED" w14:paraId="5FFA0E00" w14:textId="77777777" w:rsidTr="004F4A3B">
        <w:trPr>
          <w:trHeight w:val="506"/>
        </w:trPr>
        <w:tc>
          <w:tcPr>
            <w:tcW w:w="7093" w:type="dxa"/>
            <w:vAlign w:val="center"/>
          </w:tcPr>
          <w:p w14:paraId="10D4214F"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4. </w:t>
            </w:r>
            <w:r w:rsidRPr="00FC4F93">
              <w:rPr>
                <w:rFonts w:cs="Times New Roman"/>
                <w:color w:val="000000" w:themeColor="text1"/>
                <w:sz w:val="18"/>
                <w:szCs w:val="18"/>
              </w:rPr>
              <w:t xml:space="preserve">Were all the subjects selected or recruited from the same or similar populations (including the same </w:t>
            </w:r>
            <w:proofErr w:type="gramStart"/>
            <w:r w:rsidRPr="00FC4F93">
              <w:rPr>
                <w:rFonts w:cs="Times New Roman"/>
                <w:color w:val="000000" w:themeColor="text1"/>
                <w:sz w:val="18"/>
                <w:szCs w:val="18"/>
              </w:rPr>
              <w:t>time period</w:t>
            </w:r>
            <w:proofErr w:type="gramEnd"/>
            <w:r w:rsidRPr="00FC4F93">
              <w:rPr>
                <w:rFonts w:cs="Times New Roman"/>
                <w:color w:val="000000" w:themeColor="text1"/>
                <w:sz w:val="18"/>
                <w:szCs w:val="18"/>
              </w:rPr>
              <w:t xml:space="preserve">)? Were inclusion and exclusion </w:t>
            </w:r>
            <w:proofErr w:type="spellStart"/>
            <w:r w:rsidRPr="00FC4F93">
              <w:rPr>
                <w:rFonts w:cs="Times New Roman"/>
                <w:color w:val="000000" w:themeColor="text1"/>
                <w:sz w:val="18"/>
                <w:szCs w:val="18"/>
              </w:rPr>
              <w:t>crtieria</w:t>
            </w:r>
            <w:proofErr w:type="spellEnd"/>
            <w:r w:rsidRPr="00FC4F93">
              <w:rPr>
                <w:rFonts w:cs="Times New Roman"/>
                <w:color w:val="000000" w:themeColor="text1"/>
                <w:sz w:val="18"/>
                <w:szCs w:val="18"/>
              </w:rPr>
              <w:t xml:space="preserve"> for being in the study prespecified and applied uniformly to all participants?</w:t>
            </w:r>
          </w:p>
        </w:tc>
        <w:tc>
          <w:tcPr>
            <w:tcW w:w="747" w:type="dxa"/>
            <w:shd w:val="clear" w:color="auto" w:fill="ED7D31" w:themeFill="accent2"/>
            <w:vAlign w:val="center"/>
          </w:tcPr>
          <w:p w14:paraId="350E8202"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47" w:type="dxa"/>
            <w:shd w:val="clear" w:color="auto" w:fill="00B050"/>
            <w:vAlign w:val="center"/>
          </w:tcPr>
          <w:p w14:paraId="089E43F2"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3AA15DC0"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5B96697D"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51" w:type="dxa"/>
            <w:shd w:val="clear" w:color="auto" w:fill="00B050"/>
            <w:vAlign w:val="center"/>
          </w:tcPr>
          <w:p w14:paraId="3459B8FA"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45" w:type="dxa"/>
            <w:shd w:val="clear" w:color="auto" w:fill="FF0000"/>
            <w:vAlign w:val="center"/>
          </w:tcPr>
          <w:p w14:paraId="711A1D1E"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o</w:t>
            </w:r>
          </w:p>
        </w:tc>
        <w:tc>
          <w:tcPr>
            <w:tcW w:w="607" w:type="dxa"/>
            <w:shd w:val="clear" w:color="auto" w:fill="FF0000"/>
            <w:vAlign w:val="center"/>
          </w:tcPr>
          <w:p w14:paraId="11DC00FC"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607" w:type="dxa"/>
            <w:shd w:val="clear" w:color="auto" w:fill="00B050"/>
            <w:vAlign w:val="center"/>
          </w:tcPr>
          <w:p w14:paraId="401E8B67"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00B050"/>
            <w:vAlign w:val="center"/>
          </w:tcPr>
          <w:p w14:paraId="6ED6CFAC"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1E9F0D8"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6C975F2"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FF0000"/>
            <w:vAlign w:val="center"/>
          </w:tcPr>
          <w:p w14:paraId="39BE98D6"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r>
      <w:tr w:rsidR="00D37928" w:rsidRPr="00FF63ED" w14:paraId="5B367B72" w14:textId="77777777" w:rsidTr="004F4A3B">
        <w:trPr>
          <w:trHeight w:val="479"/>
        </w:trPr>
        <w:tc>
          <w:tcPr>
            <w:tcW w:w="7093" w:type="dxa"/>
            <w:vAlign w:val="center"/>
          </w:tcPr>
          <w:p w14:paraId="16F8020D"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5. </w:t>
            </w:r>
            <w:r w:rsidRPr="00FC4F93">
              <w:rPr>
                <w:rFonts w:cs="Times New Roman"/>
                <w:color w:val="000000" w:themeColor="text1"/>
                <w:sz w:val="18"/>
                <w:szCs w:val="18"/>
              </w:rPr>
              <w:t>Was the sample size justification, power description, or variance and effect estimates provided?</w:t>
            </w:r>
          </w:p>
          <w:p w14:paraId="43735D5A" w14:textId="77777777" w:rsidR="00D37928" w:rsidRPr="00FC4F93" w:rsidRDefault="00D37928" w:rsidP="004F4A3B">
            <w:pPr>
              <w:rPr>
                <w:rFonts w:cs="Times New Roman"/>
                <w:color w:val="000000" w:themeColor="text1"/>
                <w:sz w:val="18"/>
                <w:szCs w:val="18"/>
              </w:rPr>
            </w:pPr>
          </w:p>
        </w:tc>
        <w:tc>
          <w:tcPr>
            <w:tcW w:w="747" w:type="dxa"/>
            <w:shd w:val="clear" w:color="auto" w:fill="FF0000"/>
            <w:vAlign w:val="center"/>
          </w:tcPr>
          <w:p w14:paraId="3BD11B1D"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47" w:type="dxa"/>
            <w:shd w:val="clear" w:color="auto" w:fill="FF0000"/>
            <w:vAlign w:val="center"/>
          </w:tcPr>
          <w:p w14:paraId="600A0412" w14:textId="77777777" w:rsidR="00D37928" w:rsidRPr="00FF63ED" w:rsidRDefault="00D37928" w:rsidP="004F4A3B">
            <w:pPr>
              <w:jc w:val="center"/>
              <w:rPr>
                <w:sz w:val="16"/>
                <w:szCs w:val="16"/>
              </w:rPr>
            </w:pPr>
            <w:r w:rsidRPr="00FF63ED">
              <w:rPr>
                <w:rFonts w:ascii="Calibri" w:hAnsi="Calibri" w:cs="Calibri"/>
                <w:color w:val="000000"/>
                <w:sz w:val="16"/>
                <w:szCs w:val="16"/>
              </w:rPr>
              <w:t>No</w:t>
            </w:r>
          </w:p>
        </w:tc>
        <w:tc>
          <w:tcPr>
            <w:tcW w:w="751" w:type="dxa"/>
            <w:shd w:val="clear" w:color="auto" w:fill="FF0000"/>
            <w:vAlign w:val="center"/>
          </w:tcPr>
          <w:p w14:paraId="7B4B0CE3"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45" w:type="dxa"/>
            <w:shd w:val="clear" w:color="auto" w:fill="FF0000"/>
            <w:vAlign w:val="center"/>
          </w:tcPr>
          <w:p w14:paraId="093A6551" w14:textId="77777777" w:rsidR="00D37928" w:rsidRPr="00FF63ED" w:rsidRDefault="00D37928" w:rsidP="004F4A3B">
            <w:pPr>
              <w:jc w:val="center"/>
              <w:rPr>
                <w:sz w:val="16"/>
                <w:szCs w:val="16"/>
              </w:rPr>
            </w:pPr>
            <w:r w:rsidRPr="00FF63ED">
              <w:rPr>
                <w:rFonts w:ascii="Calibri" w:hAnsi="Calibri" w:cs="Calibri"/>
                <w:color w:val="000000"/>
                <w:sz w:val="16"/>
                <w:szCs w:val="16"/>
              </w:rPr>
              <w:t>No</w:t>
            </w:r>
          </w:p>
        </w:tc>
        <w:tc>
          <w:tcPr>
            <w:tcW w:w="751" w:type="dxa"/>
            <w:shd w:val="clear" w:color="auto" w:fill="FF0000"/>
            <w:vAlign w:val="center"/>
          </w:tcPr>
          <w:p w14:paraId="204D89DA"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45" w:type="dxa"/>
            <w:shd w:val="clear" w:color="auto" w:fill="FF0000"/>
            <w:vAlign w:val="center"/>
          </w:tcPr>
          <w:p w14:paraId="59AE373A"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607" w:type="dxa"/>
            <w:shd w:val="clear" w:color="auto" w:fill="FF0000"/>
            <w:vAlign w:val="center"/>
          </w:tcPr>
          <w:p w14:paraId="0B898D68" w14:textId="77777777" w:rsidR="00D37928" w:rsidRPr="00FF63ED" w:rsidRDefault="00D37928" w:rsidP="004F4A3B">
            <w:pPr>
              <w:jc w:val="center"/>
              <w:rPr>
                <w:sz w:val="16"/>
                <w:szCs w:val="16"/>
              </w:rPr>
            </w:pPr>
            <w:r w:rsidRPr="00FF63ED">
              <w:rPr>
                <w:rFonts w:ascii="Calibri" w:hAnsi="Calibri" w:cs="Calibri"/>
                <w:color w:val="000000"/>
                <w:sz w:val="16"/>
                <w:szCs w:val="16"/>
              </w:rPr>
              <w:t>No</w:t>
            </w:r>
          </w:p>
        </w:tc>
        <w:tc>
          <w:tcPr>
            <w:tcW w:w="607" w:type="dxa"/>
            <w:shd w:val="clear" w:color="auto" w:fill="FF0000"/>
            <w:vAlign w:val="center"/>
          </w:tcPr>
          <w:p w14:paraId="37028062" w14:textId="77777777" w:rsidR="00D37928" w:rsidRPr="00FF63ED" w:rsidRDefault="00D37928" w:rsidP="004F4A3B">
            <w:pPr>
              <w:jc w:val="center"/>
              <w:rPr>
                <w:sz w:val="16"/>
                <w:szCs w:val="16"/>
              </w:rPr>
            </w:pPr>
            <w:r w:rsidRPr="00FF63ED">
              <w:rPr>
                <w:rFonts w:ascii="Calibri" w:hAnsi="Calibri" w:cs="Calibri"/>
                <w:color w:val="000000"/>
                <w:sz w:val="16"/>
                <w:szCs w:val="16"/>
              </w:rPr>
              <w:t>No</w:t>
            </w:r>
          </w:p>
        </w:tc>
        <w:tc>
          <w:tcPr>
            <w:tcW w:w="661" w:type="dxa"/>
            <w:shd w:val="clear" w:color="auto" w:fill="FF0000"/>
            <w:vAlign w:val="center"/>
          </w:tcPr>
          <w:p w14:paraId="760412E1"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1555356E"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00EF81D3"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842" w:type="dxa"/>
            <w:shd w:val="clear" w:color="auto" w:fill="00B050"/>
            <w:vAlign w:val="center"/>
          </w:tcPr>
          <w:p w14:paraId="7F542C5A"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74056F43" w14:textId="77777777" w:rsidTr="004F4A3B">
        <w:trPr>
          <w:trHeight w:val="506"/>
        </w:trPr>
        <w:tc>
          <w:tcPr>
            <w:tcW w:w="7093" w:type="dxa"/>
            <w:vAlign w:val="center"/>
          </w:tcPr>
          <w:p w14:paraId="542AA871"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6. </w:t>
            </w:r>
            <w:r w:rsidRPr="00FC4F93">
              <w:rPr>
                <w:rFonts w:cs="Times New Roman"/>
                <w:color w:val="000000" w:themeColor="text1"/>
                <w:sz w:val="18"/>
                <w:szCs w:val="18"/>
              </w:rPr>
              <w:t>For the analyses in this paper, were the exposure(s) of interest measured prior to the outcome(s) being measured? [Exposure = Stroke]</w:t>
            </w:r>
          </w:p>
          <w:p w14:paraId="038CE3B3" w14:textId="77777777" w:rsidR="00D37928" w:rsidRPr="00FC4F93" w:rsidRDefault="00D37928" w:rsidP="004F4A3B">
            <w:pPr>
              <w:rPr>
                <w:rFonts w:cs="Times New Roman"/>
                <w:color w:val="000000" w:themeColor="text1"/>
                <w:sz w:val="18"/>
                <w:szCs w:val="18"/>
              </w:rPr>
            </w:pPr>
          </w:p>
        </w:tc>
        <w:tc>
          <w:tcPr>
            <w:tcW w:w="747" w:type="dxa"/>
            <w:shd w:val="clear" w:color="auto" w:fill="00B050"/>
            <w:vAlign w:val="center"/>
          </w:tcPr>
          <w:p w14:paraId="4F080C0A"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00B050"/>
            <w:vAlign w:val="center"/>
          </w:tcPr>
          <w:p w14:paraId="02C2B67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02DE12F4"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1C89BE76"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6B5C7898"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558B5F92"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5EDE43B9"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0FD8E853"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00B050"/>
            <w:vAlign w:val="center"/>
          </w:tcPr>
          <w:p w14:paraId="0F558302"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5E8FA8CF"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84BF92C"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25A2DD02"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04029170" w14:textId="77777777" w:rsidTr="004F4A3B">
        <w:trPr>
          <w:trHeight w:val="479"/>
        </w:trPr>
        <w:tc>
          <w:tcPr>
            <w:tcW w:w="7093" w:type="dxa"/>
            <w:vAlign w:val="center"/>
          </w:tcPr>
          <w:p w14:paraId="0F8A5FDE"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7. </w:t>
            </w:r>
            <w:r w:rsidRPr="00FC4F93">
              <w:rPr>
                <w:rFonts w:cs="Times New Roman"/>
                <w:color w:val="000000" w:themeColor="text1"/>
                <w:sz w:val="18"/>
                <w:szCs w:val="18"/>
              </w:rPr>
              <w:t>Was the timeframe sufficient so that one could reasonably expect to see an association between exposure and outcome if it existed?</w:t>
            </w:r>
          </w:p>
        </w:tc>
        <w:tc>
          <w:tcPr>
            <w:tcW w:w="747" w:type="dxa"/>
            <w:shd w:val="clear" w:color="auto" w:fill="00B050"/>
            <w:vAlign w:val="center"/>
          </w:tcPr>
          <w:p w14:paraId="4A8C8B4F"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00B050"/>
            <w:vAlign w:val="center"/>
          </w:tcPr>
          <w:p w14:paraId="0CC9305E"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1D513162"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4EE04F06"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51" w:type="dxa"/>
            <w:shd w:val="clear" w:color="auto" w:fill="00B050"/>
            <w:vAlign w:val="center"/>
          </w:tcPr>
          <w:p w14:paraId="0E446B87"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71DDE56B"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FF0000"/>
            <w:vAlign w:val="center"/>
          </w:tcPr>
          <w:p w14:paraId="68B72FBB"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607" w:type="dxa"/>
            <w:shd w:val="clear" w:color="auto" w:fill="00B050"/>
            <w:vAlign w:val="center"/>
          </w:tcPr>
          <w:p w14:paraId="56AF0E7F"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C45911" w:themeFill="accent2" w:themeFillShade="BF"/>
            <w:vAlign w:val="center"/>
          </w:tcPr>
          <w:p w14:paraId="14CBF7C1"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CD</w:t>
            </w:r>
          </w:p>
        </w:tc>
        <w:tc>
          <w:tcPr>
            <w:tcW w:w="607" w:type="dxa"/>
            <w:shd w:val="clear" w:color="auto" w:fill="00B050"/>
            <w:vAlign w:val="center"/>
          </w:tcPr>
          <w:p w14:paraId="6FEC63E1"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FF0000"/>
            <w:vAlign w:val="center"/>
          </w:tcPr>
          <w:p w14:paraId="5AC0947D"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842" w:type="dxa"/>
            <w:shd w:val="clear" w:color="auto" w:fill="00B050"/>
            <w:vAlign w:val="center"/>
          </w:tcPr>
          <w:p w14:paraId="290D7307"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0D912A2E" w14:textId="77777777" w:rsidTr="004F4A3B">
        <w:trPr>
          <w:trHeight w:val="479"/>
        </w:trPr>
        <w:tc>
          <w:tcPr>
            <w:tcW w:w="7093" w:type="dxa"/>
            <w:vAlign w:val="center"/>
          </w:tcPr>
          <w:p w14:paraId="71922A82" w14:textId="77777777" w:rsidR="00D37928" w:rsidRDefault="00D37928" w:rsidP="004F4A3B">
            <w:pPr>
              <w:rPr>
                <w:rFonts w:cs="Times New Roman"/>
                <w:color w:val="000000" w:themeColor="text1"/>
                <w:sz w:val="18"/>
                <w:szCs w:val="18"/>
              </w:rPr>
            </w:pPr>
            <w:r>
              <w:rPr>
                <w:rFonts w:cs="Times New Roman"/>
                <w:color w:val="000000" w:themeColor="text1"/>
                <w:sz w:val="18"/>
                <w:szCs w:val="18"/>
              </w:rPr>
              <w:t xml:space="preserve">8. </w:t>
            </w:r>
            <w:r w:rsidRPr="00FC4F93">
              <w:rPr>
                <w:rFonts w:cs="Times New Roman"/>
                <w:color w:val="000000" w:themeColor="text1"/>
                <w:sz w:val="18"/>
                <w:szCs w:val="18"/>
              </w:rPr>
              <w:t>For exposures that can vary in amount or level, did the study examine different levels of the exposure as related to the outcome (e.g., categories of exposure, or exposure measured as continuous variable)?</w:t>
            </w:r>
          </w:p>
        </w:tc>
        <w:tc>
          <w:tcPr>
            <w:tcW w:w="747" w:type="dxa"/>
            <w:shd w:val="clear" w:color="auto" w:fill="00B050"/>
            <w:vAlign w:val="center"/>
          </w:tcPr>
          <w:p w14:paraId="0F75BF9B" w14:textId="77777777" w:rsidR="00D37928" w:rsidRPr="00FF63ED" w:rsidRDefault="00D37928" w:rsidP="004F4A3B">
            <w:pPr>
              <w:jc w:val="center"/>
              <w:rPr>
                <w:rFonts w:ascii="Calibri" w:hAnsi="Calibri" w:cs="Calibri"/>
                <w:color w:val="000000"/>
                <w:sz w:val="16"/>
                <w:szCs w:val="16"/>
              </w:rPr>
            </w:pPr>
            <w:r>
              <w:rPr>
                <w:sz w:val="16"/>
                <w:szCs w:val="16"/>
              </w:rPr>
              <w:t>Yes</w:t>
            </w:r>
          </w:p>
        </w:tc>
        <w:tc>
          <w:tcPr>
            <w:tcW w:w="747" w:type="dxa"/>
            <w:shd w:val="clear" w:color="auto" w:fill="00B050"/>
            <w:vAlign w:val="center"/>
          </w:tcPr>
          <w:p w14:paraId="334452E2" w14:textId="77777777" w:rsidR="00D37928" w:rsidRPr="00FF63ED" w:rsidRDefault="00D37928" w:rsidP="004F4A3B">
            <w:pPr>
              <w:jc w:val="center"/>
              <w:rPr>
                <w:rFonts w:ascii="Calibri" w:hAnsi="Calibri" w:cs="Calibri"/>
                <w:color w:val="000000"/>
                <w:sz w:val="16"/>
                <w:szCs w:val="16"/>
              </w:rPr>
            </w:pPr>
            <w:r>
              <w:rPr>
                <w:sz w:val="16"/>
                <w:szCs w:val="16"/>
              </w:rPr>
              <w:t>Yes</w:t>
            </w:r>
          </w:p>
        </w:tc>
        <w:tc>
          <w:tcPr>
            <w:tcW w:w="751" w:type="dxa"/>
            <w:shd w:val="clear" w:color="auto" w:fill="00B050"/>
            <w:vAlign w:val="center"/>
          </w:tcPr>
          <w:p w14:paraId="5F2C7D12" w14:textId="77777777" w:rsidR="00D37928" w:rsidRPr="00FF63ED" w:rsidRDefault="00D37928" w:rsidP="004F4A3B">
            <w:pPr>
              <w:jc w:val="center"/>
              <w:rPr>
                <w:rFonts w:ascii="Calibri" w:hAnsi="Calibri" w:cs="Calibri"/>
                <w:color w:val="000000"/>
                <w:sz w:val="16"/>
                <w:szCs w:val="16"/>
              </w:rPr>
            </w:pPr>
            <w:r>
              <w:rPr>
                <w:sz w:val="16"/>
                <w:szCs w:val="16"/>
              </w:rPr>
              <w:t>Yes</w:t>
            </w:r>
          </w:p>
        </w:tc>
        <w:tc>
          <w:tcPr>
            <w:tcW w:w="745" w:type="dxa"/>
            <w:shd w:val="clear" w:color="auto" w:fill="00B050"/>
            <w:vAlign w:val="center"/>
          </w:tcPr>
          <w:p w14:paraId="48C6F4A1" w14:textId="77777777" w:rsidR="00D37928" w:rsidRPr="00FF63ED" w:rsidRDefault="00D37928" w:rsidP="004F4A3B">
            <w:pPr>
              <w:jc w:val="center"/>
              <w:rPr>
                <w:rFonts w:ascii="Calibri" w:hAnsi="Calibri" w:cs="Calibri"/>
                <w:color w:val="000000"/>
                <w:sz w:val="16"/>
                <w:szCs w:val="16"/>
              </w:rPr>
            </w:pPr>
            <w:r>
              <w:rPr>
                <w:sz w:val="16"/>
                <w:szCs w:val="16"/>
              </w:rPr>
              <w:t>Yes</w:t>
            </w:r>
          </w:p>
        </w:tc>
        <w:tc>
          <w:tcPr>
            <w:tcW w:w="751" w:type="dxa"/>
            <w:shd w:val="clear" w:color="auto" w:fill="00B050"/>
            <w:vAlign w:val="center"/>
          </w:tcPr>
          <w:p w14:paraId="13A39D35"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45" w:type="dxa"/>
            <w:shd w:val="clear" w:color="auto" w:fill="00B050"/>
            <w:vAlign w:val="center"/>
          </w:tcPr>
          <w:p w14:paraId="06D2B022"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5BBBAC77"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9D44033"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61" w:type="dxa"/>
            <w:shd w:val="clear" w:color="auto" w:fill="00B050"/>
            <w:vAlign w:val="center"/>
          </w:tcPr>
          <w:p w14:paraId="6EAFBEBD"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67354D2C"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02DE7C36"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2C4FD452"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633FF4E7" w14:textId="77777777" w:rsidTr="004F4A3B">
        <w:trPr>
          <w:trHeight w:val="479"/>
        </w:trPr>
        <w:tc>
          <w:tcPr>
            <w:tcW w:w="7093" w:type="dxa"/>
            <w:vAlign w:val="center"/>
          </w:tcPr>
          <w:p w14:paraId="150BEFC5" w14:textId="77777777" w:rsidR="00D37928" w:rsidRDefault="00D37928" w:rsidP="004F4A3B">
            <w:pPr>
              <w:rPr>
                <w:rFonts w:cs="Times New Roman"/>
                <w:color w:val="000000" w:themeColor="text1"/>
                <w:sz w:val="18"/>
                <w:szCs w:val="18"/>
              </w:rPr>
            </w:pPr>
            <w:r>
              <w:rPr>
                <w:rFonts w:cs="Times New Roman"/>
                <w:color w:val="000000" w:themeColor="text1"/>
                <w:sz w:val="18"/>
                <w:szCs w:val="18"/>
              </w:rPr>
              <w:t xml:space="preserve">9. </w:t>
            </w:r>
            <w:r w:rsidRPr="00FC4F93">
              <w:rPr>
                <w:rFonts w:cs="Times New Roman"/>
                <w:color w:val="000000" w:themeColor="text1"/>
                <w:sz w:val="18"/>
                <w:szCs w:val="18"/>
              </w:rPr>
              <w:t>Were the exposure measures (independent variables) clearly defined, valid, reliable, and implemented consistently across all study participants?</w:t>
            </w:r>
          </w:p>
          <w:p w14:paraId="05FA0FDE" w14:textId="77777777" w:rsidR="00D37928" w:rsidRDefault="00D37928" w:rsidP="004F4A3B">
            <w:pPr>
              <w:rPr>
                <w:rFonts w:cs="Times New Roman"/>
                <w:color w:val="000000" w:themeColor="text1"/>
                <w:sz w:val="18"/>
                <w:szCs w:val="18"/>
              </w:rPr>
            </w:pPr>
          </w:p>
        </w:tc>
        <w:tc>
          <w:tcPr>
            <w:tcW w:w="747" w:type="dxa"/>
            <w:shd w:val="clear" w:color="auto" w:fill="00B050"/>
            <w:vAlign w:val="center"/>
          </w:tcPr>
          <w:p w14:paraId="653F6D12"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47" w:type="dxa"/>
            <w:shd w:val="clear" w:color="auto" w:fill="00B050"/>
            <w:vAlign w:val="center"/>
          </w:tcPr>
          <w:p w14:paraId="4D4838EF"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51" w:type="dxa"/>
            <w:shd w:val="clear" w:color="auto" w:fill="00B050"/>
            <w:vAlign w:val="center"/>
          </w:tcPr>
          <w:p w14:paraId="66BD0A27"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45" w:type="dxa"/>
            <w:shd w:val="clear" w:color="auto" w:fill="00B050"/>
            <w:vAlign w:val="center"/>
          </w:tcPr>
          <w:p w14:paraId="7D3B787E"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51" w:type="dxa"/>
            <w:shd w:val="clear" w:color="auto" w:fill="00B050"/>
            <w:vAlign w:val="center"/>
          </w:tcPr>
          <w:p w14:paraId="6D8A836A"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45" w:type="dxa"/>
            <w:shd w:val="clear" w:color="auto" w:fill="00B050"/>
            <w:vAlign w:val="center"/>
          </w:tcPr>
          <w:p w14:paraId="75E06D45"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3DCCE255"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7813B0DD"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61" w:type="dxa"/>
            <w:shd w:val="clear" w:color="auto" w:fill="00B050"/>
            <w:vAlign w:val="center"/>
          </w:tcPr>
          <w:p w14:paraId="26751442"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7496F91F"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5EE00F99"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54C34BCE"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rsidRPr="00FF63ED" w14:paraId="2FB70273" w14:textId="77777777" w:rsidTr="004F4A3B">
        <w:trPr>
          <w:trHeight w:val="479"/>
        </w:trPr>
        <w:tc>
          <w:tcPr>
            <w:tcW w:w="7093" w:type="dxa"/>
            <w:vAlign w:val="center"/>
          </w:tcPr>
          <w:p w14:paraId="27A31E4E" w14:textId="77777777" w:rsidR="00D37928" w:rsidRDefault="00D37928" w:rsidP="004F4A3B">
            <w:pPr>
              <w:rPr>
                <w:rFonts w:cs="Times New Roman"/>
                <w:color w:val="000000" w:themeColor="text1"/>
                <w:sz w:val="18"/>
                <w:szCs w:val="18"/>
              </w:rPr>
            </w:pPr>
            <w:r>
              <w:rPr>
                <w:rFonts w:cs="Times New Roman"/>
                <w:color w:val="000000" w:themeColor="text1"/>
                <w:sz w:val="18"/>
                <w:szCs w:val="18"/>
              </w:rPr>
              <w:t xml:space="preserve">10. </w:t>
            </w:r>
            <w:r w:rsidRPr="00FC4F93">
              <w:rPr>
                <w:rFonts w:cs="Times New Roman"/>
                <w:color w:val="000000" w:themeColor="text1"/>
                <w:sz w:val="18"/>
                <w:szCs w:val="18"/>
              </w:rPr>
              <w:t>Was the exposure(s) assessed more than once over time?</w:t>
            </w:r>
            <w:r>
              <w:rPr>
                <w:rFonts w:cs="Times New Roman"/>
                <w:color w:val="000000" w:themeColor="text1"/>
                <w:sz w:val="18"/>
                <w:szCs w:val="18"/>
              </w:rPr>
              <w:t xml:space="preserve"> [replaced with outcome assessed over time]</w:t>
            </w:r>
          </w:p>
        </w:tc>
        <w:tc>
          <w:tcPr>
            <w:tcW w:w="747" w:type="dxa"/>
            <w:shd w:val="clear" w:color="auto" w:fill="FF0000"/>
            <w:vAlign w:val="center"/>
          </w:tcPr>
          <w:p w14:paraId="37CE6EC1"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747" w:type="dxa"/>
            <w:shd w:val="clear" w:color="auto" w:fill="00B050"/>
            <w:vAlign w:val="center"/>
          </w:tcPr>
          <w:p w14:paraId="057BA27B"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51" w:type="dxa"/>
            <w:shd w:val="clear" w:color="auto" w:fill="00B050"/>
            <w:vAlign w:val="center"/>
          </w:tcPr>
          <w:p w14:paraId="7314FD48"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745" w:type="dxa"/>
            <w:shd w:val="clear" w:color="auto" w:fill="FF0000"/>
            <w:vAlign w:val="center"/>
          </w:tcPr>
          <w:p w14:paraId="0745A0A1"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751" w:type="dxa"/>
            <w:shd w:val="clear" w:color="auto" w:fill="FF0000"/>
            <w:vAlign w:val="center"/>
          </w:tcPr>
          <w:p w14:paraId="15300281"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745" w:type="dxa"/>
            <w:shd w:val="clear" w:color="auto" w:fill="FF0000"/>
            <w:vAlign w:val="center"/>
          </w:tcPr>
          <w:p w14:paraId="6DDCC350"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493DB399"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5F1FBED6"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61" w:type="dxa"/>
            <w:shd w:val="clear" w:color="auto" w:fill="FF0000"/>
            <w:vAlign w:val="center"/>
          </w:tcPr>
          <w:p w14:paraId="5FE8F1CE"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0691526B"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607" w:type="dxa"/>
            <w:shd w:val="clear" w:color="auto" w:fill="FF0000"/>
            <w:vAlign w:val="center"/>
          </w:tcPr>
          <w:p w14:paraId="1013798A"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c>
          <w:tcPr>
            <w:tcW w:w="842" w:type="dxa"/>
            <w:shd w:val="clear" w:color="auto" w:fill="FF0000"/>
            <w:vAlign w:val="center"/>
          </w:tcPr>
          <w:p w14:paraId="562A4C1E"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No</w:t>
            </w:r>
          </w:p>
        </w:tc>
      </w:tr>
    </w:tbl>
    <w:p w14:paraId="1AE5D0AB" w14:textId="77777777" w:rsidR="00D37928" w:rsidRDefault="00D37928" w:rsidP="00D37928">
      <w:pPr>
        <w:widowControl w:val="0"/>
        <w:autoSpaceDE w:val="0"/>
        <w:autoSpaceDN w:val="0"/>
        <w:adjustRightInd w:val="0"/>
        <w:spacing w:line="240" w:lineRule="auto"/>
        <w:rPr>
          <w:rFonts w:cs="Times New Roman"/>
          <w:noProof/>
        </w:rPr>
      </w:pPr>
    </w:p>
    <w:tbl>
      <w:tblPr>
        <w:tblStyle w:val="TableGrid"/>
        <w:tblpPr w:leftFromText="180" w:rightFromText="180" w:vertAnchor="page" w:horzAnchor="margin" w:tblpXSpec="center" w:tblpY="665"/>
        <w:tblW w:w="15510" w:type="dxa"/>
        <w:tblLook w:val="04A0" w:firstRow="1" w:lastRow="0" w:firstColumn="1" w:lastColumn="0" w:noHBand="0" w:noVBand="1"/>
      </w:tblPr>
      <w:tblGrid>
        <w:gridCol w:w="7093"/>
        <w:gridCol w:w="747"/>
        <w:gridCol w:w="747"/>
        <w:gridCol w:w="751"/>
        <w:gridCol w:w="745"/>
        <w:gridCol w:w="751"/>
        <w:gridCol w:w="745"/>
        <w:gridCol w:w="607"/>
        <w:gridCol w:w="607"/>
        <w:gridCol w:w="661"/>
        <w:gridCol w:w="607"/>
        <w:gridCol w:w="607"/>
        <w:gridCol w:w="842"/>
      </w:tblGrid>
      <w:tr w:rsidR="00D37928" w14:paraId="029FC49A" w14:textId="77777777" w:rsidTr="004F4A3B">
        <w:trPr>
          <w:trHeight w:val="479"/>
        </w:trPr>
        <w:tc>
          <w:tcPr>
            <w:tcW w:w="7093" w:type="dxa"/>
            <w:vAlign w:val="center"/>
          </w:tcPr>
          <w:p w14:paraId="7D82F042"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11. </w:t>
            </w:r>
            <w:r w:rsidRPr="00FC4F93">
              <w:rPr>
                <w:rFonts w:cs="Times New Roman"/>
                <w:color w:val="000000" w:themeColor="text1"/>
                <w:sz w:val="18"/>
                <w:szCs w:val="18"/>
              </w:rPr>
              <w:t>Were the outcome measures (dependent variables) clearly defined, valid, reliable, and implemented consistently across all study participants?</w:t>
            </w:r>
          </w:p>
        </w:tc>
        <w:tc>
          <w:tcPr>
            <w:tcW w:w="747" w:type="dxa"/>
            <w:shd w:val="clear" w:color="auto" w:fill="FF0000"/>
            <w:vAlign w:val="center"/>
          </w:tcPr>
          <w:p w14:paraId="23480066"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o</w:t>
            </w:r>
          </w:p>
        </w:tc>
        <w:tc>
          <w:tcPr>
            <w:tcW w:w="747" w:type="dxa"/>
            <w:shd w:val="clear" w:color="auto" w:fill="FF0000"/>
            <w:vAlign w:val="center"/>
          </w:tcPr>
          <w:p w14:paraId="1C441C9A"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51" w:type="dxa"/>
            <w:shd w:val="clear" w:color="auto" w:fill="00B050"/>
            <w:vAlign w:val="center"/>
          </w:tcPr>
          <w:p w14:paraId="7C0A07B9"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5" w:type="dxa"/>
            <w:shd w:val="clear" w:color="auto" w:fill="00B050"/>
            <w:vAlign w:val="center"/>
          </w:tcPr>
          <w:p w14:paraId="27D744DC"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51" w:type="dxa"/>
            <w:shd w:val="clear" w:color="auto" w:fill="00B050"/>
            <w:vAlign w:val="center"/>
          </w:tcPr>
          <w:p w14:paraId="0879811E" w14:textId="77777777" w:rsidR="00D37928" w:rsidRPr="00FF63ED" w:rsidRDefault="00D37928" w:rsidP="004F4A3B">
            <w:pPr>
              <w:jc w:val="center"/>
              <w:rPr>
                <w:sz w:val="16"/>
                <w:szCs w:val="16"/>
              </w:rPr>
            </w:pPr>
            <w:r>
              <w:rPr>
                <w:sz w:val="16"/>
                <w:szCs w:val="16"/>
              </w:rPr>
              <w:t>Yes</w:t>
            </w:r>
          </w:p>
        </w:tc>
        <w:tc>
          <w:tcPr>
            <w:tcW w:w="745" w:type="dxa"/>
            <w:shd w:val="clear" w:color="auto" w:fill="00B050"/>
            <w:vAlign w:val="center"/>
          </w:tcPr>
          <w:p w14:paraId="385B2388"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07" w:type="dxa"/>
            <w:shd w:val="clear" w:color="auto" w:fill="00B050"/>
            <w:vAlign w:val="center"/>
          </w:tcPr>
          <w:p w14:paraId="1B6EE4C3"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607" w:type="dxa"/>
            <w:shd w:val="clear" w:color="auto" w:fill="00B050"/>
            <w:vAlign w:val="center"/>
          </w:tcPr>
          <w:p w14:paraId="084AC3D7"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661" w:type="dxa"/>
            <w:shd w:val="clear" w:color="auto" w:fill="00B050"/>
            <w:vAlign w:val="center"/>
          </w:tcPr>
          <w:p w14:paraId="3747CF05"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58DDCA55"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607" w:type="dxa"/>
            <w:shd w:val="clear" w:color="auto" w:fill="00B050"/>
            <w:vAlign w:val="center"/>
          </w:tcPr>
          <w:p w14:paraId="4FA7FEB6"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c>
          <w:tcPr>
            <w:tcW w:w="842" w:type="dxa"/>
            <w:shd w:val="clear" w:color="auto" w:fill="00B050"/>
            <w:vAlign w:val="center"/>
          </w:tcPr>
          <w:p w14:paraId="7AE3722B"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Yes</w:t>
            </w:r>
          </w:p>
        </w:tc>
      </w:tr>
      <w:tr w:rsidR="00D37928" w14:paraId="5EACA99A" w14:textId="77777777" w:rsidTr="004F4A3B">
        <w:trPr>
          <w:trHeight w:val="506"/>
        </w:trPr>
        <w:tc>
          <w:tcPr>
            <w:tcW w:w="7093" w:type="dxa"/>
            <w:vAlign w:val="center"/>
          </w:tcPr>
          <w:p w14:paraId="4645E77D"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12. </w:t>
            </w:r>
            <w:r w:rsidRPr="00FC4F93">
              <w:rPr>
                <w:rFonts w:cs="Times New Roman"/>
                <w:color w:val="000000" w:themeColor="text1"/>
                <w:sz w:val="18"/>
                <w:szCs w:val="18"/>
              </w:rPr>
              <w:t>Were the outcome assessors blinded to the exposure status of participants?</w:t>
            </w:r>
          </w:p>
        </w:tc>
        <w:tc>
          <w:tcPr>
            <w:tcW w:w="747" w:type="dxa"/>
            <w:shd w:val="clear" w:color="auto" w:fill="00B050"/>
            <w:vAlign w:val="center"/>
          </w:tcPr>
          <w:p w14:paraId="02CE9250" w14:textId="77777777" w:rsidR="00D37928" w:rsidRPr="00FF63ED" w:rsidRDefault="00D37928" w:rsidP="004F4A3B">
            <w:pPr>
              <w:jc w:val="center"/>
              <w:rPr>
                <w:sz w:val="16"/>
                <w:szCs w:val="16"/>
              </w:rPr>
            </w:pPr>
            <w:r w:rsidRPr="00FF63ED">
              <w:rPr>
                <w:rFonts w:ascii="Calibri" w:hAnsi="Calibri" w:cs="Calibri"/>
                <w:color w:val="000000"/>
                <w:sz w:val="16"/>
                <w:szCs w:val="16"/>
              </w:rPr>
              <w:t>Yes</w:t>
            </w:r>
          </w:p>
        </w:tc>
        <w:tc>
          <w:tcPr>
            <w:tcW w:w="747" w:type="dxa"/>
            <w:shd w:val="clear" w:color="auto" w:fill="ED7D31" w:themeFill="accent2"/>
            <w:vAlign w:val="center"/>
          </w:tcPr>
          <w:p w14:paraId="49CFC0C2"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51" w:type="dxa"/>
            <w:shd w:val="clear" w:color="auto" w:fill="ED7D31" w:themeFill="accent2"/>
            <w:vAlign w:val="center"/>
          </w:tcPr>
          <w:p w14:paraId="4222A713"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45" w:type="dxa"/>
            <w:shd w:val="clear" w:color="auto" w:fill="ED7D31" w:themeFill="accent2"/>
            <w:vAlign w:val="center"/>
          </w:tcPr>
          <w:p w14:paraId="46705127" w14:textId="77777777" w:rsidR="00D37928" w:rsidRPr="00FF63ED" w:rsidRDefault="00D37928" w:rsidP="004F4A3B">
            <w:pPr>
              <w:jc w:val="center"/>
              <w:rPr>
                <w:sz w:val="16"/>
                <w:szCs w:val="16"/>
              </w:rPr>
            </w:pPr>
            <w:r>
              <w:rPr>
                <w:sz w:val="16"/>
                <w:szCs w:val="16"/>
              </w:rPr>
              <w:t>NR</w:t>
            </w:r>
          </w:p>
        </w:tc>
        <w:tc>
          <w:tcPr>
            <w:tcW w:w="751" w:type="dxa"/>
            <w:shd w:val="clear" w:color="auto" w:fill="ED7D31" w:themeFill="accent2"/>
            <w:vAlign w:val="center"/>
          </w:tcPr>
          <w:p w14:paraId="5DE6296C"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745" w:type="dxa"/>
            <w:shd w:val="clear" w:color="auto" w:fill="ED7D31" w:themeFill="accent2"/>
            <w:vAlign w:val="center"/>
          </w:tcPr>
          <w:p w14:paraId="61CFEF6C"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607" w:type="dxa"/>
            <w:shd w:val="clear" w:color="auto" w:fill="ED7D31" w:themeFill="accent2"/>
            <w:vAlign w:val="center"/>
          </w:tcPr>
          <w:p w14:paraId="0120DE40" w14:textId="77777777" w:rsidR="00D37928" w:rsidRPr="00FF63ED" w:rsidRDefault="00D37928" w:rsidP="004F4A3B">
            <w:pPr>
              <w:jc w:val="center"/>
              <w:rPr>
                <w:sz w:val="16"/>
                <w:szCs w:val="16"/>
              </w:rPr>
            </w:pPr>
            <w:r>
              <w:rPr>
                <w:rFonts w:ascii="Calibri" w:hAnsi="Calibri" w:cs="Calibri"/>
                <w:color w:val="000000"/>
                <w:sz w:val="16"/>
                <w:szCs w:val="16"/>
              </w:rPr>
              <w:t>NR</w:t>
            </w:r>
          </w:p>
        </w:tc>
        <w:tc>
          <w:tcPr>
            <w:tcW w:w="607" w:type="dxa"/>
            <w:shd w:val="clear" w:color="auto" w:fill="ED7D31" w:themeFill="accent2"/>
            <w:vAlign w:val="center"/>
          </w:tcPr>
          <w:p w14:paraId="64FAF2D2" w14:textId="77777777" w:rsidR="00D37928" w:rsidRPr="00FF63ED" w:rsidRDefault="00D37928" w:rsidP="004F4A3B">
            <w:pPr>
              <w:jc w:val="center"/>
              <w:rPr>
                <w:sz w:val="16"/>
                <w:szCs w:val="16"/>
              </w:rPr>
            </w:pPr>
            <w:r>
              <w:rPr>
                <w:sz w:val="16"/>
                <w:szCs w:val="16"/>
              </w:rPr>
              <w:t>NR</w:t>
            </w:r>
          </w:p>
        </w:tc>
        <w:tc>
          <w:tcPr>
            <w:tcW w:w="661" w:type="dxa"/>
            <w:shd w:val="clear" w:color="auto" w:fill="ED7D31" w:themeFill="accent2"/>
            <w:vAlign w:val="center"/>
          </w:tcPr>
          <w:p w14:paraId="0A425DA0" w14:textId="77777777" w:rsidR="00D37928" w:rsidRDefault="00D37928" w:rsidP="004F4A3B">
            <w:pPr>
              <w:jc w:val="center"/>
              <w:rPr>
                <w:sz w:val="16"/>
                <w:szCs w:val="16"/>
              </w:rPr>
            </w:pPr>
            <w:r>
              <w:rPr>
                <w:sz w:val="16"/>
                <w:szCs w:val="16"/>
              </w:rPr>
              <w:t>NR</w:t>
            </w:r>
          </w:p>
        </w:tc>
        <w:tc>
          <w:tcPr>
            <w:tcW w:w="607" w:type="dxa"/>
            <w:shd w:val="clear" w:color="auto" w:fill="ED7D31" w:themeFill="accent2"/>
            <w:vAlign w:val="center"/>
          </w:tcPr>
          <w:p w14:paraId="2F0E8151" w14:textId="77777777" w:rsidR="00D37928" w:rsidRDefault="00D37928" w:rsidP="004F4A3B">
            <w:pPr>
              <w:jc w:val="center"/>
              <w:rPr>
                <w:sz w:val="16"/>
                <w:szCs w:val="16"/>
              </w:rPr>
            </w:pPr>
            <w:r>
              <w:rPr>
                <w:sz w:val="16"/>
                <w:szCs w:val="16"/>
              </w:rPr>
              <w:t>NR</w:t>
            </w:r>
          </w:p>
        </w:tc>
        <w:tc>
          <w:tcPr>
            <w:tcW w:w="607" w:type="dxa"/>
            <w:shd w:val="clear" w:color="auto" w:fill="ED7D31" w:themeFill="accent2"/>
            <w:vAlign w:val="center"/>
          </w:tcPr>
          <w:p w14:paraId="5A83D11F" w14:textId="77777777" w:rsidR="00D37928" w:rsidRDefault="00D37928" w:rsidP="004F4A3B">
            <w:pPr>
              <w:jc w:val="center"/>
              <w:rPr>
                <w:sz w:val="16"/>
                <w:szCs w:val="16"/>
              </w:rPr>
            </w:pPr>
            <w:r>
              <w:rPr>
                <w:sz w:val="16"/>
                <w:szCs w:val="16"/>
              </w:rPr>
              <w:t>NR</w:t>
            </w:r>
          </w:p>
        </w:tc>
        <w:tc>
          <w:tcPr>
            <w:tcW w:w="842" w:type="dxa"/>
            <w:shd w:val="clear" w:color="auto" w:fill="00B050"/>
            <w:vAlign w:val="center"/>
          </w:tcPr>
          <w:p w14:paraId="0DFA8428" w14:textId="77777777" w:rsidR="00D37928" w:rsidRDefault="00D37928" w:rsidP="004F4A3B">
            <w:pPr>
              <w:jc w:val="center"/>
              <w:rPr>
                <w:sz w:val="16"/>
                <w:szCs w:val="16"/>
              </w:rPr>
            </w:pPr>
            <w:r>
              <w:rPr>
                <w:rFonts w:ascii="Calibri" w:hAnsi="Calibri" w:cs="Calibri"/>
                <w:color w:val="000000"/>
                <w:sz w:val="16"/>
                <w:szCs w:val="16"/>
              </w:rPr>
              <w:t>Yes</w:t>
            </w:r>
          </w:p>
        </w:tc>
      </w:tr>
      <w:tr w:rsidR="00D37928" w14:paraId="4D45F776" w14:textId="77777777" w:rsidTr="004F4A3B">
        <w:trPr>
          <w:trHeight w:val="479"/>
        </w:trPr>
        <w:tc>
          <w:tcPr>
            <w:tcW w:w="7093" w:type="dxa"/>
            <w:vAlign w:val="center"/>
          </w:tcPr>
          <w:p w14:paraId="20F36631"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13. </w:t>
            </w:r>
            <w:r w:rsidRPr="00FC4F93">
              <w:rPr>
                <w:rFonts w:cs="Times New Roman"/>
                <w:color w:val="000000" w:themeColor="text1"/>
                <w:sz w:val="18"/>
                <w:szCs w:val="18"/>
              </w:rPr>
              <w:t>Was loss to follow-up after baseline 20% or less?</w:t>
            </w:r>
          </w:p>
        </w:tc>
        <w:tc>
          <w:tcPr>
            <w:tcW w:w="747" w:type="dxa"/>
            <w:shd w:val="clear" w:color="auto" w:fill="auto"/>
            <w:vAlign w:val="center"/>
          </w:tcPr>
          <w:p w14:paraId="34A43932"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/a</w:t>
            </w:r>
          </w:p>
        </w:tc>
        <w:tc>
          <w:tcPr>
            <w:tcW w:w="747" w:type="dxa"/>
            <w:shd w:val="clear" w:color="auto" w:fill="auto"/>
            <w:vAlign w:val="center"/>
          </w:tcPr>
          <w:p w14:paraId="1B331360" w14:textId="77777777" w:rsidR="00D37928" w:rsidRPr="00FF63ED" w:rsidRDefault="00D37928" w:rsidP="004F4A3B">
            <w:pPr>
              <w:jc w:val="center"/>
              <w:rPr>
                <w:sz w:val="16"/>
                <w:szCs w:val="16"/>
              </w:rPr>
            </w:pPr>
            <w:r>
              <w:rPr>
                <w:rFonts w:ascii="Calibri" w:hAnsi="Calibri" w:cs="Calibri"/>
                <w:color w:val="000000"/>
                <w:sz w:val="16"/>
                <w:szCs w:val="16"/>
              </w:rPr>
              <w:t>N/a</w:t>
            </w:r>
          </w:p>
        </w:tc>
        <w:tc>
          <w:tcPr>
            <w:tcW w:w="751" w:type="dxa"/>
            <w:shd w:val="clear" w:color="auto" w:fill="00B050"/>
            <w:vAlign w:val="center"/>
          </w:tcPr>
          <w:p w14:paraId="117B060C"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45" w:type="dxa"/>
            <w:shd w:val="clear" w:color="auto" w:fill="auto"/>
            <w:vAlign w:val="center"/>
          </w:tcPr>
          <w:p w14:paraId="37A3A85E"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/a</w:t>
            </w:r>
          </w:p>
        </w:tc>
        <w:tc>
          <w:tcPr>
            <w:tcW w:w="751" w:type="dxa"/>
            <w:shd w:val="clear" w:color="auto" w:fill="auto"/>
            <w:vAlign w:val="center"/>
          </w:tcPr>
          <w:p w14:paraId="1C7EE5DB" w14:textId="77777777" w:rsidR="00D37928" w:rsidRPr="00FF63ED" w:rsidRDefault="00D37928" w:rsidP="004F4A3B">
            <w:pPr>
              <w:jc w:val="center"/>
              <w:rPr>
                <w:sz w:val="16"/>
                <w:szCs w:val="16"/>
              </w:rPr>
            </w:pPr>
            <w:r>
              <w:rPr>
                <w:sz w:val="16"/>
                <w:szCs w:val="16"/>
              </w:rPr>
              <w:t>N/a</w:t>
            </w:r>
          </w:p>
        </w:tc>
        <w:tc>
          <w:tcPr>
            <w:tcW w:w="745" w:type="dxa"/>
            <w:shd w:val="clear" w:color="auto" w:fill="auto"/>
            <w:vAlign w:val="center"/>
          </w:tcPr>
          <w:p w14:paraId="4B44D5E1" w14:textId="77777777" w:rsidR="00D37928" w:rsidRPr="00FF63ED" w:rsidRDefault="00D37928" w:rsidP="004F4A3B">
            <w:pPr>
              <w:jc w:val="center"/>
              <w:rPr>
                <w:sz w:val="16"/>
                <w:szCs w:val="16"/>
              </w:rPr>
            </w:pPr>
            <w:r>
              <w:rPr>
                <w:sz w:val="16"/>
                <w:szCs w:val="16"/>
              </w:rPr>
              <w:t>N/a</w:t>
            </w:r>
          </w:p>
        </w:tc>
        <w:tc>
          <w:tcPr>
            <w:tcW w:w="607" w:type="dxa"/>
            <w:shd w:val="clear" w:color="auto" w:fill="auto"/>
            <w:vAlign w:val="center"/>
          </w:tcPr>
          <w:p w14:paraId="2ACDF1FB"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/a</w:t>
            </w:r>
          </w:p>
        </w:tc>
        <w:tc>
          <w:tcPr>
            <w:tcW w:w="607" w:type="dxa"/>
            <w:shd w:val="clear" w:color="auto" w:fill="auto"/>
            <w:vAlign w:val="center"/>
          </w:tcPr>
          <w:p w14:paraId="39C8EA79"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/a</w:t>
            </w:r>
          </w:p>
        </w:tc>
        <w:tc>
          <w:tcPr>
            <w:tcW w:w="661" w:type="dxa"/>
            <w:vAlign w:val="center"/>
          </w:tcPr>
          <w:p w14:paraId="6BD7F7F3" w14:textId="77777777" w:rsidR="00D37928" w:rsidRPr="00FF63ED" w:rsidRDefault="00D37928" w:rsidP="004F4A3B">
            <w:pPr>
              <w:jc w:val="center"/>
              <w:rPr>
                <w:rFonts w:ascii="Calibri" w:hAnsi="Calibri" w:cs="Calibri"/>
                <w:color w:val="000000"/>
                <w:sz w:val="16"/>
                <w:szCs w:val="16"/>
              </w:rPr>
            </w:pPr>
            <w:r>
              <w:rPr>
                <w:rFonts w:ascii="Calibri" w:hAnsi="Calibri" w:cs="Calibri"/>
                <w:color w:val="000000"/>
                <w:sz w:val="16"/>
                <w:szCs w:val="16"/>
              </w:rPr>
              <w:t>N/a</w:t>
            </w:r>
          </w:p>
        </w:tc>
        <w:tc>
          <w:tcPr>
            <w:tcW w:w="607" w:type="dxa"/>
            <w:vAlign w:val="center"/>
          </w:tcPr>
          <w:p w14:paraId="575016DE"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N/a</w:t>
            </w:r>
          </w:p>
        </w:tc>
        <w:tc>
          <w:tcPr>
            <w:tcW w:w="607" w:type="dxa"/>
            <w:vAlign w:val="center"/>
          </w:tcPr>
          <w:p w14:paraId="368A2A93"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N/a</w:t>
            </w:r>
          </w:p>
        </w:tc>
        <w:tc>
          <w:tcPr>
            <w:tcW w:w="842" w:type="dxa"/>
            <w:vAlign w:val="center"/>
          </w:tcPr>
          <w:p w14:paraId="6D9020C4" w14:textId="77777777" w:rsidR="00D37928" w:rsidRDefault="00D37928" w:rsidP="004F4A3B">
            <w:pPr>
              <w:jc w:val="center"/>
              <w:rPr>
                <w:rFonts w:ascii="Calibri" w:hAnsi="Calibri" w:cs="Calibri"/>
                <w:color w:val="000000"/>
                <w:sz w:val="16"/>
                <w:szCs w:val="16"/>
              </w:rPr>
            </w:pPr>
            <w:r>
              <w:rPr>
                <w:rFonts w:ascii="Calibri" w:hAnsi="Calibri" w:cs="Calibri"/>
                <w:color w:val="000000"/>
                <w:sz w:val="16"/>
                <w:szCs w:val="16"/>
              </w:rPr>
              <w:t>N/a</w:t>
            </w:r>
          </w:p>
        </w:tc>
      </w:tr>
      <w:tr w:rsidR="00D37928" w14:paraId="143AE184" w14:textId="77777777" w:rsidTr="004F4A3B">
        <w:trPr>
          <w:trHeight w:val="506"/>
        </w:trPr>
        <w:tc>
          <w:tcPr>
            <w:tcW w:w="7093" w:type="dxa"/>
            <w:vAlign w:val="center"/>
          </w:tcPr>
          <w:p w14:paraId="1033583D" w14:textId="77777777" w:rsidR="00D37928" w:rsidRPr="00FC4F93" w:rsidRDefault="00D37928" w:rsidP="004F4A3B">
            <w:pPr>
              <w:rPr>
                <w:rFonts w:cs="Times New Roman"/>
                <w:color w:val="000000" w:themeColor="text1"/>
                <w:sz w:val="18"/>
                <w:szCs w:val="18"/>
              </w:rPr>
            </w:pPr>
            <w:r>
              <w:rPr>
                <w:rFonts w:cs="Times New Roman"/>
                <w:color w:val="000000" w:themeColor="text1"/>
                <w:sz w:val="18"/>
                <w:szCs w:val="18"/>
              </w:rPr>
              <w:t xml:space="preserve">14. </w:t>
            </w:r>
            <w:r w:rsidRPr="00FC4F93">
              <w:rPr>
                <w:rFonts w:cs="Times New Roman"/>
                <w:color w:val="000000" w:themeColor="text1"/>
                <w:sz w:val="18"/>
                <w:szCs w:val="18"/>
              </w:rPr>
              <w:t>Were key potential confounding variables measured and adjusted statistically for their impact on the relationship between exposure(s) and outcome(s)?</w:t>
            </w:r>
          </w:p>
        </w:tc>
        <w:tc>
          <w:tcPr>
            <w:tcW w:w="747" w:type="dxa"/>
            <w:shd w:val="clear" w:color="auto" w:fill="FF0000"/>
            <w:vAlign w:val="center"/>
          </w:tcPr>
          <w:p w14:paraId="1CCCE4FE"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47" w:type="dxa"/>
            <w:shd w:val="clear" w:color="auto" w:fill="FF0000"/>
            <w:vAlign w:val="center"/>
          </w:tcPr>
          <w:p w14:paraId="7B79AD07" w14:textId="77777777" w:rsidR="00D37928" w:rsidRPr="00FF63ED" w:rsidRDefault="00D37928" w:rsidP="004F4A3B">
            <w:pPr>
              <w:jc w:val="center"/>
              <w:rPr>
                <w:sz w:val="16"/>
                <w:szCs w:val="16"/>
              </w:rPr>
            </w:pPr>
            <w:r>
              <w:rPr>
                <w:rFonts w:ascii="Calibri" w:hAnsi="Calibri" w:cs="Calibri"/>
                <w:color w:val="000000"/>
                <w:sz w:val="16"/>
                <w:szCs w:val="16"/>
              </w:rPr>
              <w:t>No</w:t>
            </w:r>
          </w:p>
        </w:tc>
        <w:tc>
          <w:tcPr>
            <w:tcW w:w="751" w:type="dxa"/>
            <w:shd w:val="clear" w:color="auto" w:fill="00B050"/>
            <w:vAlign w:val="center"/>
          </w:tcPr>
          <w:p w14:paraId="05EFCDB2"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45" w:type="dxa"/>
            <w:shd w:val="clear" w:color="auto" w:fill="FF0000"/>
            <w:vAlign w:val="center"/>
          </w:tcPr>
          <w:p w14:paraId="5BB2EBB8"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51" w:type="dxa"/>
            <w:shd w:val="clear" w:color="auto" w:fill="00B050"/>
            <w:vAlign w:val="center"/>
          </w:tcPr>
          <w:p w14:paraId="7A09EBAD" w14:textId="77777777" w:rsidR="00D37928" w:rsidRPr="00FF63ED" w:rsidRDefault="00D37928" w:rsidP="004F4A3B">
            <w:pPr>
              <w:jc w:val="center"/>
              <w:rPr>
                <w:sz w:val="16"/>
                <w:szCs w:val="16"/>
              </w:rPr>
            </w:pPr>
            <w:r>
              <w:rPr>
                <w:rFonts w:ascii="Calibri" w:hAnsi="Calibri" w:cs="Calibri"/>
                <w:color w:val="000000"/>
                <w:sz w:val="16"/>
                <w:szCs w:val="16"/>
              </w:rPr>
              <w:t>Yes</w:t>
            </w:r>
          </w:p>
        </w:tc>
        <w:tc>
          <w:tcPr>
            <w:tcW w:w="745" w:type="dxa"/>
            <w:shd w:val="clear" w:color="auto" w:fill="FF0000"/>
            <w:vAlign w:val="center"/>
          </w:tcPr>
          <w:p w14:paraId="69A33306"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o</w:t>
            </w:r>
          </w:p>
        </w:tc>
        <w:tc>
          <w:tcPr>
            <w:tcW w:w="607" w:type="dxa"/>
            <w:shd w:val="clear" w:color="auto" w:fill="FF0000"/>
            <w:vAlign w:val="center"/>
          </w:tcPr>
          <w:p w14:paraId="34E94BAA" w14:textId="77777777" w:rsidR="00D37928" w:rsidRPr="00FF63ED" w:rsidRDefault="00D37928" w:rsidP="004F4A3B">
            <w:pPr>
              <w:jc w:val="center"/>
              <w:rPr>
                <w:sz w:val="16"/>
                <w:szCs w:val="16"/>
              </w:rPr>
            </w:pPr>
            <w:r w:rsidRPr="00FF63ED">
              <w:rPr>
                <w:rFonts w:ascii="Calibri" w:hAnsi="Calibri" w:cs="Calibri"/>
                <w:color w:val="000000"/>
                <w:sz w:val="16"/>
                <w:szCs w:val="16"/>
              </w:rPr>
              <w:t>N</w:t>
            </w:r>
            <w:r>
              <w:rPr>
                <w:rFonts w:ascii="Calibri" w:hAnsi="Calibri" w:cs="Calibri"/>
                <w:color w:val="000000"/>
                <w:sz w:val="16"/>
                <w:szCs w:val="16"/>
              </w:rPr>
              <w:t>o</w:t>
            </w:r>
          </w:p>
        </w:tc>
        <w:tc>
          <w:tcPr>
            <w:tcW w:w="607" w:type="dxa"/>
            <w:shd w:val="clear" w:color="auto" w:fill="00B050"/>
            <w:vAlign w:val="center"/>
          </w:tcPr>
          <w:p w14:paraId="75089478" w14:textId="77777777" w:rsidR="00D37928" w:rsidRPr="00FF63ED" w:rsidRDefault="00D37928" w:rsidP="004F4A3B">
            <w:pPr>
              <w:jc w:val="center"/>
              <w:rPr>
                <w:sz w:val="16"/>
                <w:szCs w:val="16"/>
              </w:rPr>
            </w:pPr>
            <w:r>
              <w:rPr>
                <w:sz w:val="16"/>
                <w:szCs w:val="16"/>
              </w:rPr>
              <w:t>Yes</w:t>
            </w:r>
          </w:p>
        </w:tc>
        <w:tc>
          <w:tcPr>
            <w:tcW w:w="661" w:type="dxa"/>
            <w:shd w:val="clear" w:color="auto" w:fill="00B050"/>
            <w:vAlign w:val="center"/>
          </w:tcPr>
          <w:p w14:paraId="6534A605" w14:textId="77777777" w:rsidR="00D37928" w:rsidRDefault="00D37928" w:rsidP="004F4A3B">
            <w:pPr>
              <w:jc w:val="center"/>
              <w:rPr>
                <w:sz w:val="16"/>
                <w:szCs w:val="16"/>
              </w:rPr>
            </w:pPr>
            <w:r>
              <w:rPr>
                <w:sz w:val="16"/>
                <w:szCs w:val="16"/>
              </w:rPr>
              <w:t>Yes</w:t>
            </w:r>
          </w:p>
        </w:tc>
        <w:tc>
          <w:tcPr>
            <w:tcW w:w="607" w:type="dxa"/>
            <w:shd w:val="clear" w:color="auto" w:fill="00B050"/>
            <w:vAlign w:val="center"/>
          </w:tcPr>
          <w:p w14:paraId="2FD1F358" w14:textId="77777777" w:rsidR="00D37928" w:rsidRDefault="00D37928" w:rsidP="004F4A3B">
            <w:pPr>
              <w:jc w:val="center"/>
              <w:rPr>
                <w:sz w:val="16"/>
                <w:szCs w:val="16"/>
              </w:rPr>
            </w:pPr>
            <w:r>
              <w:rPr>
                <w:sz w:val="16"/>
                <w:szCs w:val="16"/>
              </w:rPr>
              <w:t>Yes</w:t>
            </w:r>
          </w:p>
        </w:tc>
        <w:tc>
          <w:tcPr>
            <w:tcW w:w="607" w:type="dxa"/>
            <w:shd w:val="clear" w:color="auto" w:fill="00B050"/>
            <w:vAlign w:val="center"/>
          </w:tcPr>
          <w:p w14:paraId="24715588" w14:textId="77777777" w:rsidR="00D37928" w:rsidRDefault="00D37928" w:rsidP="004F4A3B">
            <w:pPr>
              <w:jc w:val="center"/>
              <w:rPr>
                <w:sz w:val="16"/>
                <w:szCs w:val="16"/>
              </w:rPr>
            </w:pPr>
            <w:r>
              <w:rPr>
                <w:sz w:val="16"/>
                <w:szCs w:val="16"/>
              </w:rPr>
              <w:t>Yes</w:t>
            </w:r>
          </w:p>
        </w:tc>
        <w:tc>
          <w:tcPr>
            <w:tcW w:w="842" w:type="dxa"/>
            <w:shd w:val="clear" w:color="auto" w:fill="FF0000"/>
            <w:vAlign w:val="center"/>
          </w:tcPr>
          <w:p w14:paraId="2AEAFEBA" w14:textId="77777777" w:rsidR="00D37928" w:rsidRDefault="00D37928" w:rsidP="004F4A3B">
            <w:pPr>
              <w:jc w:val="center"/>
              <w:rPr>
                <w:sz w:val="16"/>
                <w:szCs w:val="16"/>
              </w:rPr>
            </w:pPr>
            <w:r>
              <w:rPr>
                <w:sz w:val="16"/>
                <w:szCs w:val="16"/>
              </w:rPr>
              <w:t>No</w:t>
            </w:r>
          </w:p>
        </w:tc>
      </w:tr>
      <w:tr w:rsidR="00D37928" w14:paraId="1A90BAAC" w14:textId="77777777" w:rsidTr="004F4A3B">
        <w:trPr>
          <w:trHeight w:val="506"/>
        </w:trPr>
        <w:tc>
          <w:tcPr>
            <w:tcW w:w="7093" w:type="dxa"/>
            <w:vAlign w:val="center"/>
          </w:tcPr>
          <w:p w14:paraId="31EA446B" w14:textId="77777777" w:rsidR="00D37928" w:rsidRPr="00FC4F93" w:rsidRDefault="00D37928" w:rsidP="004F4A3B">
            <w:pPr>
              <w:rPr>
                <w:rFonts w:ascii="Open Sans" w:hAnsi="Open Sans" w:cs="Open Sans"/>
                <w:b/>
                <w:bCs/>
                <w:color w:val="000000" w:themeColor="text1"/>
                <w:sz w:val="16"/>
                <w:szCs w:val="16"/>
              </w:rPr>
            </w:pPr>
            <w:r w:rsidRPr="00FC4F93">
              <w:rPr>
                <w:rFonts w:ascii="Open Sans" w:hAnsi="Open Sans" w:cs="Open Sans"/>
                <w:b/>
                <w:bCs/>
                <w:color w:val="000000" w:themeColor="text1"/>
                <w:sz w:val="16"/>
                <w:szCs w:val="16"/>
              </w:rPr>
              <w:t>Quality rating (Good, Fair, Poor)</w:t>
            </w:r>
          </w:p>
        </w:tc>
        <w:tc>
          <w:tcPr>
            <w:tcW w:w="747" w:type="dxa"/>
            <w:vAlign w:val="center"/>
          </w:tcPr>
          <w:p w14:paraId="034F90F2" w14:textId="77777777" w:rsidR="00D37928" w:rsidRPr="00FF63ED" w:rsidRDefault="00D37928" w:rsidP="004F4A3B">
            <w:pPr>
              <w:jc w:val="center"/>
              <w:rPr>
                <w:sz w:val="16"/>
                <w:szCs w:val="16"/>
              </w:rPr>
            </w:pPr>
            <w:r>
              <w:rPr>
                <w:rFonts w:ascii="Calibri" w:hAnsi="Calibri" w:cs="Calibri"/>
                <w:color w:val="000000"/>
                <w:sz w:val="16"/>
                <w:szCs w:val="16"/>
              </w:rPr>
              <w:t>Fair to Poor</w:t>
            </w:r>
          </w:p>
        </w:tc>
        <w:tc>
          <w:tcPr>
            <w:tcW w:w="747" w:type="dxa"/>
            <w:vAlign w:val="center"/>
          </w:tcPr>
          <w:p w14:paraId="1E783FC0" w14:textId="77777777" w:rsidR="00D37928" w:rsidRPr="00FF63ED" w:rsidRDefault="00D37928" w:rsidP="004F4A3B">
            <w:pPr>
              <w:jc w:val="center"/>
              <w:rPr>
                <w:sz w:val="16"/>
                <w:szCs w:val="16"/>
              </w:rPr>
            </w:pPr>
            <w:r>
              <w:rPr>
                <w:rFonts w:ascii="Calibri" w:hAnsi="Calibri" w:cs="Calibri"/>
                <w:color w:val="000000"/>
                <w:sz w:val="16"/>
                <w:szCs w:val="16"/>
              </w:rPr>
              <w:t>Fair to Poor</w:t>
            </w:r>
          </w:p>
        </w:tc>
        <w:tc>
          <w:tcPr>
            <w:tcW w:w="751" w:type="dxa"/>
            <w:vAlign w:val="center"/>
          </w:tcPr>
          <w:p w14:paraId="06326633" w14:textId="77777777" w:rsidR="00D37928" w:rsidRPr="00B20293" w:rsidRDefault="00D37928" w:rsidP="004F4A3B">
            <w:pPr>
              <w:jc w:val="center"/>
              <w:rPr>
                <w:rFonts w:ascii="Calibri" w:hAnsi="Calibri" w:cs="Calibri"/>
                <w:color w:val="000000"/>
                <w:sz w:val="16"/>
                <w:szCs w:val="16"/>
              </w:rPr>
            </w:pPr>
            <w:r w:rsidRPr="00FF63ED">
              <w:rPr>
                <w:rFonts w:ascii="Calibri" w:hAnsi="Calibri" w:cs="Calibri"/>
                <w:color w:val="000000"/>
                <w:sz w:val="16"/>
                <w:szCs w:val="16"/>
              </w:rPr>
              <w:t>Good</w:t>
            </w:r>
          </w:p>
        </w:tc>
        <w:tc>
          <w:tcPr>
            <w:tcW w:w="745" w:type="dxa"/>
            <w:vAlign w:val="center"/>
          </w:tcPr>
          <w:p w14:paraId="5687548B" w14:textId="77777777" w:rsidR="00D37928" w:rsidRPr="00B20293" w:rsidRDefault="00D37928" w:rsidP="004F4A3B">
            <w:pPr>
              <w:jc w:val="center"/>
              <w:rPr>
                <w:rFonts w:ascii="Calibri" w:hAnsi="Calibri" w:cs="Calibri"/>
                <w:color w:val="000000"/>
                <w:sz w:val="16"/>
                <w:szCs w:val="16"/>
              </w:rPr>
            </w:pPr>
            <w:r w:rsidRPr="00FF63ED">
              <w:rPr>
                <w:rFonts w:ascii="Calibri" w:hAnsi="Calibri" w:cs="Calibri"/>
                <w:color w:val="000000"/>
                <w:sz w:val="16"/>
                <w:szCs w:val="16"/>
              </w:rPr>
              <w:t>Fair</w:t>
            </w:r>
          </w:p>
        </w:tc>
        <w:tc>
          <w:tcPr>
            <w:tcW w:w="751" w:type="dxa"/>
            <w:vAlign w:val="center"/>
          </w:tcPr>
          <w:p w14:paraId="20C3442C" w14:textId="77777777" w:rsidR="00D37928" w:rsidRPr="00B20293" w:rsidRDefault="00D37928" w:rsidP="004F4A3B">
            <w:pPr>
              <w:jc w:val="center"/>
              <w:rPr>
                <w:rFonts w:ascii="Calibri" w:hAnsi="Calibri" w:cs="Calibri"/>
                <w:color w:val="000000"/>
                <w:sz w:val="16"/>
                <w:szCs w:val="16"/>
              </w:rPr>
            </w:pPr>
            <w:r w:rsidRPr="00FF63ED">
              <w:rPr>
                <w:rFonts w:ascii="Calibri" w:hAnsi="Calibri" w:cs="Calibri"/>
                <w:color w:val="000000"/>
                <w:sz w:val="16"/>
                <w:szCs w:val="16"/>
              </w:rPr>
              <w:t>Good</w:t>
            </w:r>
          </w:p>
        </w:tc>
        <w:tc>
          <w:tcPr>
            <w:tcW w:w="745" w:type="dxa"/>
            <w:vAlign w:val="center"/>
          </w:tcPr>
          <w:p w14:paraId="7E1B0022" w14:textId="77777777" w:rsidR="00D37928" w:rsidRPr="00B20293" w:rsidRDefault="00D37928" w:rsidP="004F4A3B">
            <w:pPr>
              <w:jc w:val="center"/>
              <w:rPr>
                <w:rFonts w:ascii="Calibri" w:hAnsi="Calibri" w:cs="Calibri"/>
                <w:color w:val="000000"/>
                <w:sz w:val="16"/>
                <w:szCs w:val="16"/>
              </w:rPr>
            </w:pPr>
            <w:r>
              <w:rPr>
                <w:rFonts w:ascii="Calibri" w:hAnsi="Calibri" w:cs="Calibri"/>
                <w:color w:val="000000"/>
                <w:sz w:val="16"/>
                <w:szCs w:val="16"/>
              </w:rPr>
              <w:t>Fair</w:t>
            </w:r>
          </w:p>
        </w:tc>
        <w:tc>
          <w:tcPr>
            <w:tcW w:w="607" w:type="dxa"/>
            <w:vAlign w:val="center"/>
          </w:tcPr>
          <w:p w14:paraId="6CE1025F" w14:textId="77777777" w:rsidR="00D37928" w:rsidRPr="00B20293" w:rsidRDefault="00D37928" w:rsidP="004F4A3B">
            <w:pPr>
              <w:jc w:val="center"/>
              <w:rPr>
                <w:rFonts w:ascii="Calibri" w:hAnsi="Calibri" w:cs="Calibri"/>
                <w:color w:val="000000"/>
                <w:sz w:val="16"/>
                <w:szCs w:val="16"/>
              </w:rPr>
            </w:pPr>
            <w:r w:rsidRPr="00FF63ED">
              <w:rPr>
                <w:rFonts w:ascii="Calibri" w:hAnsi="Calibri" w:cs="Calibri"/>
                <w:color w:val="000000"/>
                <w:sz w:val="16"/>
                <w:szCs w:val="16"/>
              </w:rPr>
              <w:t>Fair</w:t>
            </w:r>
          </w:p>
        </w:tc>
        <w:tc>
          <w:tcPr>
            <w:tcW w:w="607" w:type="dxa"/>
            <w:vAlign w:val="center"/>
          </w:tcPr>
          <w:p w14:paraId="0F24F79E" w14:textId="77777777" w:rsidR="00D37928" w:rsidRPr="00FF63ED" w:rsidRDefault="00D37928" w:rsidP="004F4A3B">
            <w:pPr>
              <w:jc w:val="center"/>
              <w:rPr>
                <w:sz w:val="16"/>
                <w:szCs w:val="16"/>
              </w:rPr>
            </w:pPr>
            <w:r>
              <w:rPr>
                <w:sz w:val="16"/>
                <w:szCs w:val="16"/>
              </w:rPr>
              <w:t>Fair</w:t>
            </w:r>
          </w:p>
        </w:tc>
        <w:tc>
          <w:tcPr>
            <w:tcW w:w="661" w:type="dxa"/>
            <w:vAlign w:val="center"/>
          </w:tcPr>
          <w:p w14:paraId="183C1AAE" w14:textId="77777777" w:rsidR="00D37928" w:rsidRDefault="00D37928" w:rsidP="004F4A3B">
            <w:pPr>
              <w:jc w:val="center"/>
              <w:rPr>
                <w:sz w:val="16"/>
                <w:szCs w:val="16"/>
              </w:rPr>
            </w:pPr>
            <w:r>
              <w:rPr>
                <w:sz w:val="16"/>
                <w:szCs w:val="16"/>
              </w:rPr>
              <w:t>Fair</w:t>
            </w:r>
          </w:p>
        </w:tc>
        <w:tc>
          <w:tcPr>
            <w:tcW w:w="607" w:type="dxa"/>
            <w:vAlign w:val="center"/>
          </w:tcPr>
          <w:p w14:paraId="54D8341D" w14:textId="77777777" w:rsidR="00D37928" w:rsidRDefault="00D37928" w:rsidP="004F4A3B">
            <w:pPr>
              <w:jc w:val="center"/>
              <w:rPr>
                <w:sz w:val="16"/>
                <w:szCs w:val="16"/>
              </w:rPr>
            </w:pPr>
            <w:r>
              <w:rPr>
                <w:sz w:val="16"/>
                <w:szCs w:val="16"/>
              </w:rPr>
              <w:t>Fair</w:t>
            </w:r>
          </w:p>
        </w:tc>
        <w:tc>
          <w:tcPr>
            <w:tcW w:w="607" w:type="dxa"/>
            <w:vAlign w:val="center"/>
          </w:tcPr>
          <w:p w14:paraId="05543181" w14:textId="77777777" w:rsidR="00D37928" w:rsidRDefault="00D37928" w:rsidP="004F4A3B">
            <w:pPr>
              <w:jc w:val="center"/>
              <w:rPr>
                <w:sz w:val="16"/>
                <w:szCs w:val="16"/>
              </w:rPr>
            </w:pPr>
            <w:r>
              <w:rPr>
                <w:sz w:val="16"/>
                <w:szCs w:val="16"/>
              </w:rPr>
              <w:t>Fair</w:t>
            </w:r>
          </w:p>
        </w:tc>
        <w:tc>
          <w:tcPr>
            <w:tcW w:w="842" w:type="dxa"/>
            <w:vAlign w:val="center"/>
          </w:tcPr>
          <w:p w14:paraId="09FBC3BC" w14:textId="77777777" w:rsidR="00D37928" w:rsidRDefault="00D37928" w:rsidP="004F4A3B">
            <w:pPr>
              <w:jc w:val="center"/>
              <w:rPr>
                <w:sz w:val="16"/>
                <w:szCs w:val="16"/>
              </w:rPr>
            </w:pPr>
            <w:r>
              <w:rPr>
                <w:sz w:val="16"/>
                <w:szCs w:val="16"/>
              </w:rPr>
              <w:t>Fair</w:t>
            </w:r>
          </w:p>
        </w:tc>
      </w:tr>
    </w:tbl>
    <w:tbl>
      <w:tblPr>
        <w:tblStyle w:val="TableGrid"/>
        <w:tblpPr w:leftFromText="180" w:rightFromText="180" w:vertAnchor="text" w:horzAnchor="margin" w:tblpXSpec="center" w:tblpY="121"/>
        <w:tblW w:w="15467" w:type="dxa"/>
        <w:tblLook w:val="04A0" w:firstRow="1" w:lastRow="0" w:firstColumn="1" w:lastColumn="0" w:noHBand="0" w:noVBand="1"/>
      </w:tblPr>
      <w:tblGrid>
        <w:gridCol w:w="1143"/>
        <w:gridCol w:w="14324"/>
      </w:tblGrid>
      <w:tr w:rsidR="00D37928" w14:paraId="253AB52D" w14:textId="77777777" w:rsidTr="00D37928">
        <w:trPr>
          <w:trHeight w:val="252"/>
        </w:trPr>
        <w:tc>
          <w:tcPr>
            <w:tcW w:w="1143" w:type="dxa"/>
            <w:shd w:val="clear" w:color="auto" w:fill="00B050"/>
          </w:tcPr>
          <w:p w14:paraId="71EEA1B4" w14:textId="77777777" w:rsidR="00D37928" w:rsidRDefault="00D37928" w:rsidP="00D37928">
            <w:pPr>
              <w:tabs>
                <w:tab w:val="left" w:pos="2737"/>
              </w:tabs>
            </w:pPr>
          </w:p>
        </w:tc>
        <w:tc>
          <w:tcPr>
            <w:tcW w:w="14324" w:type="dxa"/>
          </w:tcPr>
          <w:p w14:paraId="6ABE6522" w14:textId="77777777" w:rsidR="00D37928" w:rsidRDefault="00D37928" w:rsidP="00D37928">
            <w:pPr>
              <w:tabs>
                <w:tab w:val="left" w:pos="2737"/>
              </w:tabs>
            </w:pPr>
            <w:r>
              <w:t>Yes</w:t>
            </w:r>
          </w:p>
        </w:tc>
      </w:tr>
      <w:tr w:rsidR="00D37928" w14:paraId="44BEE439" w14:textId="77777777" w:rsidTr="00D37928">
        <w:trPr>
          <w:trHeight w:val="239"/>
        </w:trPr>
        <w:tc>
          <w:tcPr>
            <w:tcW w:w="1143" w:type="dxa"/>
            <w:shd w:val="clear" w:color="auto" w:fill="FF0000"/>
          </w:tcPr>
          <w:p w14:paraId="5845416F" w14:textId="77777777" w:rsidR="00D37928" w:rsidRDefault="00D37928" w:rsidP="00D37928">
            <w:pPr>
              <w:tabs>
                <w:tab w:val="left" w:pos="2737"/>
              </w:tabs>
            </w:pPr>
          </w:p>
        </w:tc>
        <w:tc>
          <w:tcPr>
            <w:tcW w:w="14324" w:type="dxa"/>
          </w:tcPr>
          <w:p w14:paraId="73EC211A" w14:textId="77777777" w:rsidR="00D37928" w:rsidRDefault="00D37928" w:rsidP="00D37928">
            <w:pPr>
              <w:tabs>
                <w:tab w:val="left" w:pos="2737"/>
              </w:tabs>
            </w:pPr>
            <w:r>
              <w:t>No</w:t>
            </w:r>
          </w:p>
        </w:tc>
      </w:tr>
      <w:tr w:rsidR="00D37928" w14:paraId="2B0DED1A" w14:textId="77777777" w:rsidTr="00D37928">
        <w:trPr>
          <w:trHeight w:val="252"/>
        </w:trPr>
        <w:tc>
          <w:tcPr>
            <w:tcW w:w="1143" w:type="dxa"/>
            <w:shd w:val="clear" w:color="auto" w:fill="C45911" w:themeFill="accent2" w:themeFillShade="BF"/>
          </w:tcPr>
          <w:p w14:paraId="6A462942" w14:textId="77777777" w:rsidR="00D37928" w:rsidRDefault="00D37928" w:rsidP="00D37928">
            <w:pPr>
              <w:tabs>
                <w:tab w:val="left" w:pos="2737"/>
              </w:tabs>
            </w:pPr>
          </w:p>
        </w:tc>
        <w:tc>
          <w:tcPr>
            <w:tcW w:w="14324" w:type="dxa"/>
          </w:tcPr>
          <w:p w14:paraId="20A9BEEA" w14:textId="77777777" w:rsidR="00D37928" w:rsidRDefault="00D37928" w:rsidP="00D37928">
            <w:pPr>
              <w:tabs>
                <w:tab w:val="left" w:pos="2737"/>
              </w:tabs>
            </w:pPr>
            <w:r>
              <w:t>C</w:t>
            </w:r>
            <w:r w:rsidRPr="005567D0">
              <w:t>D (cannot determine)</w:t>
            </w:r>
          </w:p>
        </w:tc>
      </w:tr>
      <w:tr w:rsidR="00D37928" w14:paraId="1B8FCDB4" w14:textId="77777777" w:rsidTr="00D37928">
        <w:trPr>
          <w:trHeight w:val="239"/>
        </w:trPr>
        <w:tc>
          <w:tcPr>
            <w:tcW w:w="1143" w:type="dxa"/>
          </w:tcPr>
          <w:p w14:paraId="504DCCF8" w14:textId="77777777" w:rsidR="00D37928" w:rsidRDefault="00D37928" w:rsidP="00D37928">
            <w:pPr>
              <w:tabs>
                <w:tab w:val="left" w:pos="2737"/>
              </w:tabs>
            </w:pPr>
          </w:p>
        </w:tc>
        <w:tc>
          <w:tcPr>
            <w:tcW w:w="14324" w:type="dxa"/>
          </w:tcPr>
          <w:p w14:paraId="53BD2DB8" w14:textId="77777777" w:rsidR="00D37928" w:rsidRDefault="00D37928" w:rsidP="00D37928">
            <w:pPr>
              <w:tabs>
                <w:tab w:val="left" w:pos="2737"/>
              </w:tabs>
            </w:pPr>
            <w:r w:rsidRPr="005567D0">
              <w:t>NA (not applicable)</w:t>
            </w:r>
          </w:p>
        </w:tc>
      </w:tr>
      <w:tr w:rsidR="00D37928" w14:paraId="368F55B7" w14:textId="77777777" w:rsidTr="00D37928">
        <w:trPr>
          <w:trHeight w:val="239"/>
        </w:trPr>
        <w:tc>
          <w:tcPr>
            <w:tcW w:w="1143" w:type="dxa"/>
            <w:shd w:val="clear" w:color="auto" w:fill="F28032"/>
          </w:tcPr>
          <w:p w14:paraId="76D32E68" w14:textId="77777777" w:rsidR="00D37928" w:rsidRDefault="00D37928" w:rsidP="00D37928">
            <w:pPr>
              <w:tabs>
                <w:tab w:val="left" w:pos="2737"/>
              </w:tabs>
            </w:pPr>
          </w:p>
        </w:tc>
        <w:tc>
          <w:tcPr>
            <w:tcW w:w="14324" w:type="dxa"/>
          </w:tcPr>
          <w:p w14:paraId="1EA83894" w14:textId="77777777" w:rsidR="00D37928" w:rsidRDefault="00D37928" w:rsidP="00D37928">
            <w:pPr>
              <w:tabs>
                <w:tab w:val="left" w:pos="2737"/>
              </w:tabs>
            </w:pPr>
            <w:r w:rsidRPr="005567D0">
              <w:t>NR (not reported)</w:t>
            </w:r>
          </w:p>
        </w:tc>
      </w:tr>
    </w:tbl>
    <w:p w14:paraId="3A15C40D" w14:textId="77777777" w:rsidR="00D37928" w:rsidRPr="00D37928" w:rsidRDefault="00D37928"/>
    <w:p w14:paraId="1F3C58FF" w14:textId="692EFBBC" w:rsidR="00D37928" w:rsidRDefault="00D37928"/>
    <w:p w14:paraId="4A7C57FA" w14:textId="77777777" w:rsidR="00D37928" w:rsidRDefault="00D37928"/>
    <w:p w14:paraId="1782493C" w14:textId="7C404465" w:rsidR="00D37928" w:rsidRDefault="00D37928"/>
    <w:p w14:paraId="488CC4B9" w14:textId="77777777" w:rsidR="00D37928" w:rsidRDefault="00D37928"/>
    <w:p w14:paraId="2A7FAE74" w14:textId="77777777" w:rsidR="00D37928" w:rsidRDefault="00D37928"/>
    <w:sectPr w:rsidR="00D37928" w:rsidSect="00D37928">
      <w:pgSz w:w="16838" w:h="11906" w:orient="landscape"/>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FF1C3" w14:textId="77777777" w:rsidR="00EC3654" w:rsidRDefault="00EC3654" w:rsidP="00D37928">
      <w:pPr>
        <w:spacing w:after="0" w:line="240" w:lineRule="auto"/>
      </w:pPr>
      <w:r>
        <w:separator/>
      </w:r>
    </w:p>
  </w:endnote>
  <w:endnote w:type="continuationSeparator" w:id="0">
    <w:p w14:paraId="50D9DCD1" w14:textId="77777777" w:rsidR="00EC3654" w:rsidRDefault="00EC3654" w:rsidP="00D37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EB044" w14:textId="77777777" w:rsidR="00EC3654" w:rsidRDefault="00EC3654" w:rsidP="00D37928">
      <w:pPr>
        <w:spacing w:after="0" w:line="240" w:lineRule="auto"/>
      </w:pPr>
      <w:r>
        <w:separator/>
      </w:r>
    </w:p>
  </w:footnote>
  <w:footnote w:type="continuationSeparator" w:id="0">
    <w:p w14:paraId="48779CAE" w14:textId="77777777" w:rsidR="00EC3654" w:rsidRDefault="00EC3654" w:rsidP="00D37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yNDSxtDAyN7WwMDBS0lEKTi0uzszPAykwrAUAdTZd3ywAAAA="/>
  </w:docVars>
  <w:rsids>
    <w:rsidRoot w:val="00D37928"/>
    <w:rsid w:val="003D062E"/>
    <w:rsid w:val="00D37928"/>
    <w:rsid w:val="00EC3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94A0C"/>
  <w15:chartTrackingRefBased/>
  <w15:docId w15:val="{104E7050-0568-40B8-B6D0-6F30DC67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928"/>
    <w:rPr>
      <w:rFonts w:ascii="Times New Roman" w:hAnsi="Times New Roman"/>
    </w:rPr>
  </w:style>
  <w:style w:type="paragraph" w:styleId="Heading2">
    <w:name w:val="heading 2"/>
    <w:basedOn w:val="Normal"/>
    <w:next w:val="Normal"/>
    <w:link w:val="Heading2Char"/>
    <w:uiPriority w:val="9"/>
    <w:unhideWhenUsed/>
    <w:qFormat/>
    <w:rsid w:val="00D37928"/>
    <w:pPr>
      <w:keepNext/>
      <w:keepLines/>
      <w:spacing w:after="0" w:line="480" w:lineRule="auto"/>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7928"/>
    <w:rPr>
      <w:rFonts w:ascii="Times New Roman" w:eastAsiaTheme="majorEastAsia" w:hAnsi="Times New Roman" w:cstheme="majorBidi"/>
      <w:b/>
      <w:color w:val="000000" w:themeColor="text1"/>
      <w:szCs w:val="26"/>
    </w:rPr>
  </w:style>
  <w:style w:type="table" w:styleId="TableGrid">
    <w:name w:val="Table Grid"/>
    <w:basedOn w:val="TableNormal"/>
    <w:uiPriority w:val="39"/>
    <w:rsid w:val="00D37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928"/>
    <w:rPr>
      <w:rFonts w:ascii="Times New Roman" w:hAnsi="Times New Roman"/>
    </w:rPr>
  </w:style>
  <w:style w:type="paragraph" w:styleId="Footer">
    <w:name w:val="footer"/>
    <w:basedOn w:val="Normal"/>
    <w:link w:val="FooterChar"/>
    <w:uiPriority w:val="99"/>
    <w:unhideWhenUsed/>
    <w:rsid w:val="00D37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92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28842-77D6-47EC-91D3-7800BB042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8380</Words>
  <Characters>47772</Characters>
  <Application>Microsoft Office Word</Application>
  <DocSecurity>0</DocSecurity>
  <Lines>398</Lines>
  <Paragraphs>112</Paragraphs>
  <ScaleCrop>false</ScaleCrop>
  <Company/>
  <LinksUpToDate>false</LinksUpToDate>
  <CharactersWithSpaces>56040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Blake (MED - Postgraduate Researcher)</dc:creator>
  <cp:keywords/>
  <dc:description/>
  <cp:lastModifiedBy>Josh Blake (MED - Postgraduate Researcher)</cp:lastModifiedBy>
  <cp:revision>1</cp:revision>
  <dcterms:created xsi:type="dcterms:W3CDTF">2022-07-13T18:44:00Z</dcterms:created>
  <dcterms:modified xsi:type="dcterms:W3CDTF">2022-07-13T18:49:00Z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http://www.zotero.org/styles/journal-of-neurology-neurosurgery-and-psychiatry</vt:lpwstr>
  </property>
  <property fmtid="{D5CDD505-2E9C-101B-9397-08002B2CF9AE}" pid="17" name="Mendeley Recent Style Name 7_1">
    <vt:lpwstr>Journal of Neurology, Neurosurgery, and Psychiatry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