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8E53" w14:textId="77777777" w:rsidR="008B3053" w:rsidRPr="004F7F5D" w:rsidRDefault="008B3053" w:rsidP="008B3053">
      <w:pPr>
        <w:jc w:val="center"/>
        <w:rPr>
          <w:rFonts w:ascii="Times New Roman" w:hAnsi="Times New Roman" w:cs="Times New Roman"/>
          <w:b/>
          <w:bCs/>
          <w:sz w:val="20"/>
          <w:szCs w:val="20"/>
          <w:lang w:val="en-US"/>
        </w:rPr>
      </w:pPr>
      <w:r w:rsidRPr="004F7F5D">
        <w:rPr>
          <w:rFonts w:ascii="Times New Roman" w:hAnsi="Times New Roman" w:cs="Times New Roman"/>
          <w:b/>
          <w:bCs/>
          <w:sz w:val="20"/>
          <w:szCs w:val="20"/>
          <w:lang w:val="en-US"/>
        </w:rPr>
        <w:t>Supplementary Material.</w:t>
      </w:r>
    </w:p>
    <w:p w14:paraId="016EB37B" w14:textId="51CA4A5C" w:rsidR="0007430F" w:rsidRPr="004F7F5D" w:rsidRDefault="008B3053" w:rsidP="008B3053">
      <w:pPr>
        <w:jc w:val="center"/>
        <w:rPr>
          <w:rFonts w:ascii="Times New Roman" w:hAnsi="Times New Roman" w:cs="Times New Roman"/>
          <w:b/>
          <w:bCs/>
          <w:sz w:val="20"/>
          <w:szCs w:val="20"/>
          <w:lang w:val="en-US"/>
        </w:rPr>
      </w:pPr>
      <w:r w:rsidRPr="004F7F5D">
        <w:rPr>
          <w:rFonts w:ascii="Times New Roman" w:hAnsi="Times New Roman" w:cs="Times New Roman"/>
          <w:b/>
          <w:bCs/>
          <w:sz w:val="20"/>
          <w:szCs w:val="20"/>
          <w:lang w:val="en-US"/>
        </w:rPr>
        <w:t xml:space="preserve">Recommendations for the development and improvement of Virtual Reality and Serious Games-based instruments. </w:t>
      </w:r>
    </w:p>
    <w:p w14:paraId="452B39C4" w14:textId="0ECA6591" w:rsidR="008B3053" w:rsidRPr="004F7F5D" w:rsidRDefault="001E7B14" w:rsidP="004F7F5D">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The following recommendations stem from a comprehensive analysis of the existing evidence concerning the psychometric properties of Virtual Reality Spatial Navigation (VRSG) instruments used for assessing spatial navigation in individuals with Alzheimer's Disease in different stages. The primary aim of these recommendations is to offer guidance for the refinement and enhancement of current instruments within this field and the development of new instruments with the highest standards of psychometric quality.</w:t>
      </w:r>
    </w:p>
    <w:tbl>
      <w:tblPr>
        <w:tblStyle w:val="Estilo1"/>
        <w:tblW w:w="0" w:type="auto"/>
        <w:tblLook w:val="04A0" w:firstRow="1" w:lastRow="0" w:firstColumn="1" w:lastColumn="0" w:noHBand="0" w:noVBand="1"/>
      </w:tblPr>
      <w:tblGrid>
        <w:gridCol w:w="2977"/>
        <w:gridCol w:w="5387"/>
      </w:tblGrid>
      <w:tr w:rsidR="008B3053" w:rsidRPr="004F7F5D" w14:paraId="7AB35943" w14:textId="77777777" w:rsidTr="001960DD">
        <w:trPr>
          <w:cnfStyle w:val="100000000000" w:firstRow="1" w:lastRow="0" w:firstColumn="0" w:lastColumn="0" w:oddVBand="0" w:evenVBand="0" w:oddHBand="0" w:evenHBand="0" w:firstRowFirstColumn="0" w:firstRowLastColumn="0" w:lastRowFirstColumn="0" w:lastRowLastColumn="0"/>
          <w:trHeight w:val="412"/>
        </w:trPr>
        <w:tc>
          <w:tcPr>
            <w:tcW w:w="2977" w:type="dxa"/>
            <w:tcBorders>
              <w:top w:val="single" w:sz="8" w:space="0" w:color="auto"/>
              <w:bottom w:val="single" w:sz="8" w:space="0" w:color="auto"/>
            </w:tcBorders>
            <w:vAlign w:val="center"/>
          </w:tcPr>
          <w:p w14:paraId="17B89E10" w14:textId="7CAC1BD5" w:rsidR="008B3053" w:rsidRPr="004F7F5D" w:rsidRDefault="008B3053" w:rsidP="008B3053">
            <w:pPr>
              <w:rPr>
                <w:rFonts w:ascii="Times New Roman" w:hAnsi="Times New Roman" w:cs="Times New Roman"/>
                <w:color w:val="000000" w:themeColor="text1"/>
                <w:sz w:val="20"/>
                <w:szCs w:val="20"/>
                <w:lang w:val="en-US"/>
              </w:rPr>
            </w:pPr>
            <w:r w:rsidRPr="004F7F5D">
              <w:rPr>
                <w:rFonts w:ascii="Times New Roman" w:hAnsi="Times New Roman" w:cs="Times New Roman"/>
                <w:color w:val="000000" w:themeColor="text1"/>
                <w:sz w:val="20"/>
                <w:szCs w:val="20"/>
                <w:lang w:val="en-US"/>
              </w:rPr>
              <w:t>Recommendation</w:t>
            </w:r>
          </w:p>
        </w:tc>
        <w:tc>
          <w:tcPr>
            <w:tcW w:w="5387" w:type="dxa"/>
            <w:tcBorders>
              <w:top w:val="single" w:sz="8" w:space="0" w:color="auto"/>
              <w:bottom w:val="single" w:sz="8" w:space="0" w:color="auto"/>
            </w:tcBorders>
            <w:vAlign w:val="center"/>
          </w:tcPr>
          <w:p w14:paraId="20947759" w14:textId="769CA1A3" w:rsidR="008B3053" w:rsidRPr="004F7F5D" w:rsidRDefault="008B3053" w:rsidP="008B3053">
            <w:pPr>
              <w:rPr>
                <w:rFonts w:ascii="Times New Roman" w:hAnsi="Times New Roman" w:cs="Times New Roman"/>
                <w:color w:val="000000" w:themeColor="text1"/>
                <w:sz w:val="20"/>
                <w:szCs w:val="20"/>
                <w:lang w:val="en-US"/>
              </w:rPr>
            </w:pPr>
            <w:r w:rsidRPr="004F7F5D">
              <w:rPr>
                <w:rFonts w:ascii="Times New Roman" w:hAnsi="Times New Roman" w:cs="Times New Roman"/>
                <w:color w:val="000000" w:themeColor="text1"/>
                <w:sz w:val="20"/>
                <w:szCs w:val="20"/>
                <w:lang w:val="en-US"/>
              </w:rPr>
              <w:t>Description</w:t>
            </w:r>
          </w:p>
        </w:tc>
      </w:tr>
      <w:tr w:rsidR="008B3053" w:rsidRPr="007148F3" w14:paraId="3870B2DF" w14:textId="77777777" w:rsidTr="00651D41">
        <w:tc>
          <w:tcPr>
            <w:tcW w:w="2977" w:type="dxa"/>
            <w:tcBorders>
              <w:top w:val="single" w:sz="8" w:space="0" w:color="auto"/>
              <w:bottom w:val="nil"/>
            </w:tcBorders>
          </w:tcPr>
          <w:p w14:paraId="4D744791" w14:textId="149B5850" w:rsidR="008B3053" w:rsidRPr="004F7F5D" w:rsidRDefault="001E7B14" w:rsidP="008B3053">
            <w:pPr>
              <w:rPr>
                <w:rFonts w:ascii="Times New Roman" w:hAnsi="Times New Roman" w:cs="Times New Roman"/>
                <w:i/>
                <w:iCs/>
                <w:sz w:val="20"/>
                <w:szCs w:val="20"/>
                <w:lang w:val="en-US"/>
              </w:rPr>
            </w:pPr>
            <w:r w:rsidRPr="004F7F5D">
              <w:rPr>
                <w:rFonts w:ascii="Times New Roman" w:hAnsi="Times New Roman" w:cs="Times New Roman"/>
                <w:i/>
                <w:iCs/>
                <w:sz w:val="20"/>
                <w:szCs w:val="20"/>
                <w:lang w:val="en-US"/>
              </w:rPr>
              <w:t xml:space="preserve">Consider using </w:t>
            </w:r>
            <w:r w:rsidR="008B3053" w:rsidRPr="004F7F5D">
              <w:rPr>
                <w:rFonts w:ascii="Times New Roman" w:hAnsi="Times New Roman" w:cs="Times New Roman"/>
                <w:i/>
                <w:iCs/>
                <w:sz w:val="20"/>
                <w:szCs w:val="20"/>
                <w:lang w:val="en-US"/>
              </w:rPr>
              <w:t xml:space="preserve">the cognitive map hypothesis as </w:t>
            </w:r>
            <w:r w:rsidRPr="004F7F5D">
              <w:rPr>
                <w:rFonts w:ascii="Times New Roman" w:hAnsi="Times New Roman" w:cs="Times New Roman"/>
                <w:i/>
                <w:iCs/>
                <w:sz w:val="20"/>
                <w:szCs w:val="20"/>
                <w:lang w:val="en-US"/>
              </w:rPr>
              <w:t xml:space="preserve">your </w:t>
            </w:r>
            <w:r w:rsidR="008B3053" w:rsidRPr="004F7F5D">
              <w:rPr>
                <w:rFonts w:ascii="Times New Roman" w:hAnsi="Times New Roman" w:cs="Times New Roman"/>
                <w:i/>
                <w:iCs/>
                <w:sz w:val="20"/>
                <w:szCs w:val="20"/>
                <w:lang w:val="en-US"/>
              </w:rPr>
              <w:t>theoretical framework</w:t>
            </w:r>
          </w:p>
        </w:tc>
        <w:tc>
          <w:tcPr>
            <w:tcW w:w="5387" w:type="dxa"/>
            <w:tcBorders>
              <w:top w:val="single" w:sz="8" w:space="0" w:color="auto"/>
              <w:bottom w:val="nil"/>
            </w:tcBorders>
          </w:tcPr>
          <w:p w14:paraId="08060E4F" w14:textId="77777777" w:rsidR="008B3053" w:rsidRDefault="001E7B14" w:rsidP="008B3053">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 xml:space="preserve">The cognitive map hypothesis, widely recognized as the most supported theoretical framework in the literature on spatial navigation, provides the essential elements for the development of tasks that hold significant value in the context of preclinical research on AD. Particularly the distinction between allocentric and egocentric strategies has showed been helpful in the development of discriminant measures for prodromic AD. </w:t>
            </w:r>
          </w:p>
          <w:p w14:paraId="00EA52A2" w14:textId="1D382AEE" w:rsidR="007148F3" w:rsidRPr="004F7F5D" w:rsidRDefault="007148F3" w:rsidP="008B3053">
            <w:pPr>
              <w:jc w:val="both"/>
              <w:rPr>
                <w:rFonts w:ascii="Times New Roman" w:hAnsi="Times New Roman" w:cs="Times New Roman"/>
                <w:sz w:val="20"/>
                <w:szCs w:val="20"/>
                <w:lang w:val="en-US"/>
              </w:rPr>
            </w:pPr>
          </w:p>
        </w:tc>
      </w:tr>
      <w:tr w:rsidR="008B3053" w:rsidRPr="007148F3" w14:paraId="4C417E35" w14:textId="77777777" w:rsidTr="007148F3">
        <w:tc>
          <w:tcPr>
            <w:tcW w:w="2977" w:type="dxa"/>
            <w:tcBorders>
              <w:top w:val="nil"/>
              <w:bottom w:val="nil"/>
            </w:tcBorders>
          </w:tcPr>
          <w:p w14:paraId="568ADA52" w14:textId="0ED39CDE" w:rsidR="008B3053" w:rsidRPr="004F7F5D" w:rsidRDefault="008B3053" w:rsidP="008B3053">
            <w:pPr>
              <w:rPr>
                <w:rFonts w:ascii="Times New Roman" w:hAnsi="Times New Roman" w:cs="Times New Roman"/>
                <w:i/>
                <w:iCs/>
                <w:sz w:val="20"/>
                <w:szCs w:val="20"/>
                <w:lang w:val="en-US"/>
              </w:rPr>
            </w:pPr>
            <w:r w:rsidRPr="004F7F5D">
              <w:rPr>
                <w:rFonts w:ascii="Times New Roman" w:hAnsi="Times New Roman" w:cs="Times New Roman"/>
                <w:i/>
                <w:iCs/>
                <w:sz w:val="20"/>
                <w:szCs w:val="20"/>
                <w:lang w:val="en-US"/>
              </w:rPr>
              <w:t>Declare the purpose of the correlation analysis.</w:t>
            </w:r>
          </w:p>
        </w:tc>
        <w:tc>
          <w:tcPr>
            <w:tcW w:w="5387" w:type="dxa"/>
            <w:tcBorders>
              <w:top w:val="nil"/>
              <w:bottom w:val="nil"/>
            </w:tcBorders>
          </w:tcPr>
          <w:p w14:paraId="507C39E7" w14:textId="77777777" w:rsidR="008B3053" w:rsidRDefault="001E7B14" w:rsidP="008B3053">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 xml:space="preserve">To ensure accurate interpretation of results, it is crucial to explicitly state the purpose and anticipated outcomes of correlation analyses prior to conducting them. </w:t>
            </w:r>
          </w:p>
          <w:p w14:paraId="27E661C5" w14:textId="36A3C3BF" w:rsidR="007148F3" w:rsidRPr="004F7F5D" w:rsidRDefault="007148F3" w:rsidP="008B3053">
            <w:pPr>
              <w:jc w:val="both"/>
              <w:rPr>
                <w:rFonts w:ascii="Times New Roman" w:hAnsi="Times New Roman" w:cs="Times New Roman"/>
                <w:sz w:val="20"/>
                <w:szCs w:val="20"/>
                <w:lang w:val="en-US"/>
              </w:rPr>
            </w:pPr>
          </w:p>
        </w:tc>
      </w:tr>
      <w:tr w:rsidR="008B3053" w:rsidRPr="007148F3" w14:paraId="2E3C47EB" w14:textId="77777777" w:rsidTr="007148F3">
        <w:tc>
          <w:tcPr>
            <w:tcW w:w="2977" w:type="dxa"/>
            <w:tcBorders>
              <w:top w:val="nil"/>
              <w:bottom w:val="nil"/>
            </w:tcBorders>
          </w:tcPr>
          <w:p w14:paraId="0793A793" w14:textId="0E477AFB" w:rsidR="008B3053" w:rsidRPr="004F7F5D" w:rsidRDefault="001E7B14" w:rsidP="008B3053">
            <w:pPr>
              <w:rPr>
                <w:rFonts w:ascii="Times New Roman" w:hAnsi="Times New Roman" w:cs="Times New Roman"/>
                <w:i/>
                <w:iCs/>
                <w:sz w:val="20"/>
                <w:szCs w:val="20"/>
                <w:lang w:val="en-US"/>
              </w:rPr>
            </w:pPr>
            <w:r w:rsidRPr="004F7F5D">
              <w:rPr>
                <w:rFonts w:ascii="Times New Roman" w:hAnsi="Times New Roman" w:cs="Times New Roman"/>
                <w:i/>
                <w:iCs/>
                <w:sz w:val="20"/>
                <w:szCs w:val="20"/>
                <w:lang w:val="en-US"/>
              </w:rPr>
              <w:t>U</w:t>
            </w:r>
            <w:r w:rsidR="008B3053" w:rsidRPr="004F7F5D">
              <w:rPr>
                <w:rFonts w:ascii="Times New Roman" w:hAnsi="Times New Roman" w:cs="Times New Roman"/>
                <w:i/>
                <w:iCs/>
                <w:sz w:val="20"/>
                <w:szCs w:val="20"/>
                <w:lang w:val="en-US"/>
              </w:rPr>
              <w:t>se biomarkers as standard of reference</w:t>
            </w:r>
            <w:r w:rsidRPr="004F7F5D">
              <w:rPr>
                <w:rFonts w:ascii="Times New Roman" w:hAnsi="Times New Roman" w:cs="Times New Roman"/>
                <w:i/>
                <w:iCs/>
                <w:sz w:val="20"/>
                <w:szCs w:val="20"/>
                <w:lang w:val="en-US"/>
              </w:rPr>
              <w:t xml:space="preserve"> for preclinical AD</w:t>
            </w:r>
            <w:r w:rsidR="008B3053" w:rsidRPr="004F7F5D">
              <w:rPr>
                <w:rFonts w:ascii="Times New Roman" w:hAnsi="Times New Roman" w:cs="Times New Roman"/>
                <w:i/>
                <w:iCs/>
                <w:sz w:val="20"/>
                <w:szCs w:val="20"/>
                <w:lang w:val="en-US"/>
              </w:rPr>
              <w:t>.</w:t>
            </w:r>
          </w:p>
        </w:tc>
        <w:tc>
          <w:tcPr>
            <w:tcW w:w="5387" w:type="dxa"/>
            <w:tcBorders>
              <w:top w:val="nil"/>
              <w:bottom w:val="nil"/>
            </w:tcBorders>
          </w:tcPr>
          <w:p w14:paraId="3467AC71" w14:textId="77777777" w:rsidR="008B3053" w:rsidRDefault="001E7B14" w:rsidP="001E7B14">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According to the NIAA research framework, a</w:t>
            </w:r>
            <w:r w:rsidR="008B3053" w:rsidRPr="004F7F5D">
              <w:rPr>
                <w:rFonts w:ascii="Times New Roman" w:hAnsi="Times New Roman" w:cs="Times New Roman"/>
                <w:sz w:val="20"/>
                <w:szCs w:val="20"/>
                <w:lang w:val="en-US"/>
              </w:rPr>
              <w:t xml:space="preserve">lthough different sources of evidence are accepted to determine the </w:t>
            </w:r>
            <w:r w:rsidRPr="004F7F5D">
              <w:rPr>
                <w:rFonts w:ascii="Times New Roman" w:hAnsi="Times New Roman" w:cs="Times New Roman"/>
                <w:sz w:val="20"/>
                <w:szCs w:val="20"/>
                <w:lang w:val="en-US"/>
              </w:rPr>
              <w:t>AD stage</w:t>
            </w:r>
            <w:r w:rsidR="008B3053" w:rsidRPr="004F7F5D">
              <w:rPr>
                <w:rFonts w:ascii="Times New Roman" w:hAnsi="Times New Roman" w:cs="Times New Roman"/>
                <w:sz w:val="20"/>
                <w:szCs w:val="20"/>
                <w:lang w:val="en-US"/>
              </w:rPr>
              <w:t>, only biomarkers (</w:t>
            </w:r>
            <w:r w:rsidRPr="004F7F5D">
              <w:rPr>
                <w:rFonts w:ascii="Times New Roman" w:hAnsi="Times New Roman" w:cs="Times New Roman"/>
                <w:sz w:val="20"/>
                <w:szCs w:val="20"/>
                <w:lang w:val="en-US"/>
              </w:rPr>
              <w:t xml:space="preserve">i.e., Αβ </w:t>
            </w:r>
            <w:r w:rsidR="008B3053" w:rsidRPr="004F7F5D">
              <w:rPr>
                <w:rFonts w:ascii="Times New Roman" w:hAnsi="Times New Roman" w:cs="Times New Roman"/>
                <w:sz w:val="20"/>
                <w:szCs w:val="20"/>
                <w:lang w:val="en-US"/>
              </w:rPr>
              <w:t>and tau markers) are a</w:t>
            </w:r>
            <w:r w:rsidRPr="004F7F5D">
              <w:rPr>
                <w:rFonts w:ascii="Times New Roman" w:hAnsi="Times New Roman" w:cs="Times New Roman"/>
                <w:sz w:val="20"/>
                <w:szCs w:val="20"/>
                <w:lang w:val="en-US"/>
              </w:rPr>
              <w:t>ssumed</w:t>
            </w:r>
            <w:r w:rsidR="008B3053" w:rsidRPr="004F7F5D">
              <w:rPr>
                <w:rFonts w:ascii="Times New Roman" w:hAnsi="Times New Roman" w:cs="Times New Roman"/>
                <w:sz w:val="20"/>
                <w:szCs w:val="20"/>
                <w:lang w:val="en-US"/>
              </w:rPr>
              <w:t xml:space="preserve"> to determine the presence of AD</w:t>
            </w:r>
            <w:r w:rsidRPr="004F7F5D">
              <w:rPr>
                <w:rFonts w:ascii="Times New Roman" w:hAnsi="Times New Roman" w:cs="Times New Roman"/>
                <w:sz w:val="20"/>
                <w:szCs w:val="20"/>
                <w:lang w:val="en-US"/>
              </w:rPr>
              <w:t xml:space="preserve"> since the preclinical stage</w:t>
            </w:r>
            <w:r w:rsidR="008B3053" w:rsidRPr="004F7F5D">
              <w:rPr>
                <w:rFonts w:ascii="Times New Roman" w:hAnsi="Times New Roman" w:cs="Times New Roman"/>
                <w:sz w:val="20"/>
                <w:szCs w:val="20"/>
                <w:lang w:val="en-US"/>
              </w:rPr>
              <w:t xml:space="preserve">. </w:t>
            </w:r>
            <w:r w:rsidRPr="004F7F5D">
              <w:rPr>
                <w:rFonts w:ascii="Times New Roman" w:hAnsi="Times New Roman" w:cs="Times New Roman"/>
                <w:sz w:val="20"/>
                <w:szCs w:val="20"/>
                <w:lang w:val="en-US"/>
              </w:rPr>
              <w:t xml:space="preserve">Follow the recommendations of this framework for classifying the participants in your research. </w:t>
            </w:r>
          </w:p>
          <w:p w14:paraId="46907098" w14:textId="3A023427" w:rsidR="007148F3" w:rsidRPr="004F7F5D" w:rsidRDefault="007148F3" w:rsidP="001E7B14">
            <w:pPr>
              <w:jc w:val="both"/>
              <w:rPr>
                <w:rFonts w:ascii="Times New Roman" w:hAnsi="Times New Roman" w:cs="Times New Roman"/>
                <w:sz w:val="20"/>
                <w:szCs w:val="20"/>
                <w:lang w:val="en-US"/>
              </w:rPr>
            </w:pPr>
          </w:p>
        </w:tc>
      </w:tr>
      <w:tr w:rsidR="008B3053" w:rsidRPr="007148F3" w14:paraId="4DAD5028" w14:textId="77777777" w:rsidTr="007148F3">
        <w:tc>
          <w:tcPr>
            <w:tcW w:w="2977" w:type="dxa"/>
            <w:tcBorders>
              <w:top w:val="nil"/>
              <w:bottom w:val="nil"/>
            </w:tcBorders>
          </w:tcPr>
          <w:p w14:paraId="599FCDE6" w14:textId="2356D3B9" w:rsidR="008B3053" w:rsidRPr="004F7F5D" w:rsidRDefault="008B3053" w:rsidP="008B3053">
            <w:pPr>
              <w:rPr>
                <w:rFonts w:ascii="Times New Roman" w:hAnsi="Times New Roman" w:cs="Times New Roman"/>
                <w:i/>
                <w:iCs/>
                <w:sz w:val="20"/>
                <w:szCs w:val="20"/>
                <w:lang w:val="en-US"/>
              </w:rPr>
            </w:pPr>
            <w:r w:rsidRPr="004F7F5D">
              <w:rPr>
                <w:rFonts w:ascii="Times New Roman" w:hAnsi="Times New Roman" w:cs="Times New Roman"/>
                <w:i/>
                <w:iCs/>
                <w:sz w:val="20"/>
                <w:szCs w:val="20"/>
                <w:lang w:val="en-US"/>
              </w:rPr>
              <w:t>Test the usability of the instrument</w:t>
            </w:r>
          </w:p>
        </w:tc>
        <w:tc>
          <w:tcPr>
            <w:tcW w:w="5387" w:type="dxa"/>
            <w:tcBorders>
              <w:top w:val="nil"/>
              <w:bottom w:val="nil"/>
            </w:tcBorders>
          </w:tcPr>
          <w:p w14:paraId="5FCE61A4" w14:textId="77777777" w:rsidR="008B3053" w:rsidRDefault="001E7B14" w:rsidP="008B3053">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 xml:space="preserve">Incorporating pilot studies can be beneficial in assessing the usability of your instrument. Consider implementing usability questionnaires to gather valuable feedback during the design process. </w:t>
            </w:r>
          </w:p>
          <w:p w14:paraId="62AACDFD" w14:textId="1C4173A4" w:rsidR="007148F3" w:rsidRPr="004F7F5D" w:rsidRDefault="007148F3" w:rsidP="008B3053">
            <w:pPr>
              <w:jc w:val="both"/>
              <w:rPr>
                <w:rFonts w:ascii="Times New Roman" w:hAnsi="Times New Roman" w:cs="Times New Roman"/>
                <w:sz w:val="20"/>
                <w:szCs w:val="20"/>
                <w:lang w:val="en-US"/>
              </w:rPr>
            </w:pPr>
          </w:p>
        </w:tc>
      </w:tr>
      <w:tr w:rsidR="008B3053" w:rsidRPr="007148F3" w14:paraId="1A7A8FDF" w14:textId="77777777" w:rsidTr="00651D41">
        <w:tc>
          <w:tcPr>
            <w:tcW w:w="2977" w:type="dxa"/>
            <w:tcBorders>
              <w:top w:val="nil"/>
              <w:bottom w:val="single" w:sz="8" w:space="0" w:color="auto"/>
            </w:tcBorders>
          </w:tcPr>
          <w:p w14:paraId="0CE8E1EE" w14:textId="627B7508" w:rsidR="008B3053" w:rsidRPr="004F7F5D" w:rsidRDefault="008B3053" w:rsidP="008B3053">
            <w:pPr>
              <w:rPr>
                <w:rFonts w:ascii="Times New Roman" w:hAnsi="Times New Roman" w:cs="Times New Roman"/>
                <w:i/>
                <w:iCs/>
                <w:sz w:val="20"/>
                <w:szCs w:val="20"/>
                <w:lang w:val="en-US"/>
              </w:rPr>
            </w:pPr>
            <w:r w:rsidRPr="004F7F5D">
              <w:rPr>
                <w:rFonts w:ascii="Times New Roman" w:hAnsi="Times New Roman" w:cs="Times New Roman"/>
                <w:i/>
                <w:iCs/>
                <w:sz w:val="20"/>
                <w:szCs w:val="20"/>
                <w:lang w:val="en-US"/>
              </w:rPr>
              <w:t>Publish the results of pilot studies</w:t>
            </w:r>
          </w:p>
        </w:tc>
        <w:tc>
          <w:tcPr>
            <w:tcW w:w="5387" w:type="dxa"/>
            <w:tcBorders>
              <w:top w:val="nil"/>
              <w:bottom w:val="single" w:sz="8" w:space="0" w:color="auto"/>
            </w:tcBorders>
          </w:tcPr>
          <w:p w14:paraId="5D30214E" w14:textId="7BD0A803" w:rsidR="008B3053" w:rsidRPr="004F7F5D" w:rsidRDefault="001E7B14" w:rsidP="008B3053">
            <w:pPr>
              <w:jc w:val="both"/>
              <w:rPr>
                <w:rFonts w:ascii="Times New Roman" w:hAnsi="Times New Roman" w:cs="Times New Roman"/>
                <w:sz w:val="20"/>
                <w:szCs w:val="20"/>
                <w:lang w:val="en-US"/>
              </w:rPr>
            </w:pPr>
            <w:r w:rsidRPr="004F7F5D">
              <w:rPr>
                <w:rFonts w:ascii="Times New Roman" w:hAnsi="Times New Roman" w:cs="Times New Roman"/>
                <w:sz w:val="20"/>
                <w:szCs w:val="20"/>
                <w:lang w:val="en-US"/>
              </w:rPr>
              <w:t>Whenever feasible, it is advisable to publish the results of usability testing and pilot studies. Sharing this information can contribute to the advancement of new paradigms and accelerate research in the field.</w:t>
            </w:r>
          </w:p>
        </w:tc>
      </w:tr>
    </w:tbl>
    <w:p w14:paraId="1A037596" w14:textId="77777777" w:rsidR="008B3053" w:rsidRPr="004F7F5D" w:rsidRDefault="008B3053" w:rsidP="008B3053">
      <w:pPr>
        <w:rPr>
          <w:rFonts w:ascii="Times New Roman" w:hAnsi="Times New Roman" w:cs="Times New Roman"/>
          <w:sz w:val="20"/>
          <w:szCs w:val="20"/>
          <w:lang w:val="en-US"/>
        </w:rPr>
      </w:pPr>
    </w:p>
    <w:sectPr w:rsidR="008B3053" w:rsidRPr="004F7F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053"/>
    <w:rsid w:val="0007430F"/>
    <w:rsid w:val="00097F4D"/>
    <w:rsid w:val="001960DD"/>
    <w:rsid w:val="001E7B14"/>
    <w:rsid w:val="004F7F5D"/>
    <w:rsid w:val="00651D41"/>
    <w:rsid w:val="007148F3"/>
    <w:rsid w:val="008B30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1972B"/>
  <w15:chartTrackingRefBased/>
  <w15:docId w15:val="{C5512A0A-18AD-4A6B-893F-A94D39E95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3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3053"/>
    <w:pPr>
      <w:ind w:left="720"/>
      <w:contextualSpacing/>
    </w:pPr>
  </w:style>
  <w:style w:type="table" w:customStyle="1" w:styleId="Estilo1">
    <w:name w:val="Estilo1"/>
    <w:basedOn w:val="TableList3"/>
    <w:uiPriority w:val="99"/>
    <w:rsid w:val="008B3053"/>
    <w:pPr>
      <w:spacing w:after="0" w:line="240" w:lineRule="auto"/>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305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35897-5C76-4677-B107-C6A276BA8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340</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Sánchez Escudero</dc:creator>
  <cp:keywords/>
  <dc:description/>
  <cp:lastModifiedBy>Juan Pablo Sánchez Escudero</cp:lastModifiedBy>
  <cp:revision>6</cp:revision>
  <dcterms:created xsi:type="dcterms:W3CDTF">2023-06-13T01:52:00Z</dcterms:created>
  <dcterms:modified xsi:type="dcterms:W3CDTF">2023-12-19T14:44:00Z</dcterms:modified>
</cp:coreProperties>
</file>