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A1BD6" w14:textId="49269189" w:rsidR="008F69E7" w:rsidRPr="004A3876" w:rsidRDefault="008F69E7" w:rsidP="008F69E7">
      <w:pPr>
        <w:ind w:firstLine="0"/>
        <w:jc w:val="center"/>
        <w:rPr>
          <w:b/>
          <w:color w:val="000000"/>
          <w:sz w:val="22"/>
          <w:szCs w:val="20"/>
          <w:lang w:val="en-US"/>
        </w:rPr>
      </w:pPr>
      <w:r w:rsidRPr="004A3876">
        <w:rPr>
          <w:b/>
          <w:color w:val="000000"/>
          <w:sz w:val="22"/>
          <w:szCs w:val="20"/>
          <w:lang w:val="en-US"/>
        </w:rPr>
        <w:t>SAFE DEVELOPMENT PARADOX: EVIDENCE AND METHODOLOGICAL INSIGHTS FROM A SYSTEMATIC REVIEW</w:t>
      </w:r>
    </w:p>
    <w:p w14:paraId="12B13ADF" w14:textId="196169DA" w:rsidR="008F69E7" w:rsidRPr="004A3876" w:rsidRDefault="008F69E7" w:rsidP="008F69E7">
      <w:pPr>
        <w:ind w:firstLine="0"/>
        <w:jc w:val="center"/>
        <w:rPr>
          <w:b/>
          <w:color w:val="000000"/>
          <w:sz w:val="22"/>
          <w:szCs w:val="20"/>
          <w:lang w:val="en-US"/>
        </w:rPr>
      </w:pPr>
      <w:r w:rsidRPr="004A3876">
        <w:rPr>
          <w:b/>
          <w:color w:val="000000"/>
          <w:sz w:val="22"/>
          <w:szCs w:val="20"/>
          <w:lang w:val="en-US"/>
        </w:rPr>
        <w:t>Online Resources 1 – Overview of key socio-hydrological phenomena</w:t>
      </w:r>
    </w:p>
    <w:p w14:paraId="4000FD97" w14:textId="77777777" w:rsidR="008F69E7" w:rsidRPr="004A3876" w:rsidRDefault="008F69E7" w:rsidP="008F69E7">
      <w:pPr>
        <w:ind w:firstLine="0"/>
        <w:rPr>
          <w:b/>
          <w:color w:val="000000"/>
          <w:sz w:val="22"/>
          <w:szCs w:val="20"/>
          <w:lang w:val="pt-BR"/>
        </w:rPr>
      </w:pPr>
    </w:p>
    <w:p w14:paraId="7869EEE9" w14:textId="69A37D0B" w:rsidR="008F69E7" w:rsidRPr="004A3876" w:rsidRDefault="008F69E7" w:rsidP="008F69E7">
      <w:pPr>
        <w:ind w:firstLine="0"/>
        <w:rPr>
          <w:bCs/>
          <w:color w:val="000000"/>
          <w:sz w:val="22"/>
          <w:szCs w:val="20"/>
          <w:lang w:val="pt-BR"/>
        </w:rPr>
      </w:pPr>
      <w:r w:rsidRPr="004A3876">
        <w:rPr>
          <w:bCs/>
          <w:color w:val="000000"/>
          <w:sz w:val="22"/>
          <w:szCs w:val="20"/>
          <w:lang w:val="pt-BR"/>
        </w:rPr>
        <w:t>Emanuel Fusinato, Sungju Han, Masato Kobiyama, Mariana Madruga de Brito</w:t>
      </w:r>
    </w:p>
    <w:p w14:paraId="7EE0F174" w14:textId="77777777" w:rsidR="008F69E7" w:rsidRPr="004A3876" w:rsidRDefault="008F69E7" w:rsidP="008F69E7">
      <w:pPr>
        <w:ind w:firstLine="0"/>
        <w:rPr>
          <w:b/>
          <w:color w:val="000000"/>
          <w:sz w:val="22"/>
          <w:szCs w:val="20"/>
          <w:lang w:val="en-US"/>
        </w:rPr>
      </w:pPr>
    </w:p>
    <w:p w14:paraId="7A19C8F9" w14:textId="607C5E97" w:rsidR="00DC5214" w:rsidRPr="004A3876" w:rsidRDefault="00DC5214" w:rsidP="00DC5214">
      <w:pPr>
        <w:ind w:firstLine="0"/>
        <w:rPr>
          <w:sz w:val="20"/>
          <w:szCs w:val="20"/>
        </w:rPr>
      </w:pPr>
      <w:r w:rsidRPr="004A3876">
        <w:rPr>
          <w:b/>
          <w:sz w:val="20"/>
          <w:szCs w:val="20"/>
        </w:rPr>
        <w:t>Table 1</w:t>
      </w:r>
      <w:r w:rsidRPr="004A3876">
        <w:rPr>
          <w:sz w:val="20"/>
          <w:szCs w:val="20"/>
        </w:rPr>
        <w:t xml:space="preserve"> Overview of key socio-hydrological phenomena. Adapted from Di Baldassarre et al. (2019).</w:t>
      </w:r>
    </w:p>
    <w:tbl>
      <w:tblPr>
        <w:tblW w:w="9630" w:type="dxa"/>
        <w:tblBorders>
          <w:top w:val="nil"/>
          <w:left w:val="nil"/>
          <w:bottom w:val="nil"/>
          <w:right w:val="nil"/>
          <w:insideH w:val="nil"/>
          <w:insideV w:val="nil"/>
        </w:tblBorders>
        <w:tblLayout w:type="fixed"/>
        <w:tblCellMar>
          <w:top w:w="100" w:type="dxa"/>
          <w:left w:w="70" w:type="dxa"/>
          <w:bottom w:w="100" w:type="dxa"/>
          <w:right w:w="70" w:type="dxa"/>
        </w:tblCellMar>
        <w:tblLook w:val="0600" w:firstRow="0" w:lastRow="0" w:firstColumn="0" w:lastColumn="0" w:noHBand="1" w:noVBand="1"/>
      </w:tblPr>
      <w:tblGrid>
        <w:gridCol w:w="3543"/>
        <w:gridCol w:w="6087"/>
      </w:tblGrid>
      <w:tr w:rsidR="00DC5214" w:rsidRPr="004A3876" w14:paraId="2E80C618" w14:textId="77777777" w:rsidTr="003C17A4">
        <w:trPr>
          <w:trHeight w:val="20"/>
          <w:tblHeader/>
        </w:trPr>
        <w:tc>
          <w:tcPr>
            <w:tcW w:w="3543" w:type="dxa"/>
            <w:tcBorders>
              <w:top w:val="single" w:sz="6" w:space="0" w:color="7F7F7F"/>
              <w:left w:val="nil"/>
              <w:bottom w:val="single" w:sz="6" w:space="0" w:color="7F7F7F"/>
              <w:right w:val="nil"/>
            </w:tcBorders>
            <w:shd w:val="clear" w:color="auto" w:fill="auto"/>
            <w:tcMar>
              <w:top w:w="0" w:type="dxa"/>
              <w:left w:w="100" w:type="dxa"/>
              <w:bottom w:w="0" w:type="dxa"/>
              <w:right w:w="100" w:type="dxa"/>
            </w:tcMar>
            <w:vAlign w:val="center"/>
          </w:tcPr>
          <w:p w14:paraId="4A3FEE18" w14:textId="77777777" w:rsidR="00DC5214" w:rsidRPr="004A3876" w:rsidRDefault="00DC5214" w:rsidP="00C175AC">
            <w:pPr>
              <w:spacing w:line="240" w:lineRule="auto"/>
              <w:ind w:firstLine="0"/>
              <w:jc w:val="center"/>
              <w:rPr>
                <w:b/>
                <w:sz w:val="20"/>
                <w:szCs w:val="20"/>
              </w:rPr>
            </w:pPr>
            <w:r w:rsidRPr="004A3876">
              <w:rPr>
                <w:b/>
                <w:sz w:val="20"/>
                <w:szCs w:val="20"/>
              </w:rPr>
              <w:t>GENERAL</w:t>
            </w:r>
          </w:p>
          <w:p w14:paraId="119DEF74" w14:textId="77777777" w:rsidR="00DC5214" w:rsidRPr="004A3876" w:rsidRDefault="00DC5214" w:rsidP="00C175AC">
            <w:pPr>
              <w:spacing w:line="240" w:lineRule="auto"/>
              <w:ind w:firstLine="0"/>
              <w:jc w:val="center"/>
              <w:rPr>
                <w:b/>
                <w:sz w:val="20"/>
                <w:szCs w:val="20"/>
              </w:rPr>
            </w:pPr>
            <w:r w:rsidRPr="004A3876">
              <w:rPr>
                <w:b/>
                <w:sz w:val="20"/>
                <w:szCs w:val="20"/>
              </w:rPr>
              <w:t>PHENOMENON</w:t>
            </w:r>
          </w:p>
        </w:tc>
        <w:tc>
          <w:tcPr>
            <w:tcW w:w="6087" w:type="dxa"/>
            <w:tcBorders>
              <w:top w:val="single" w:sz="6" w:space="0" w:color="7F7F7F"/>
              <w:left w:val="nil"/>
              <w:bottom w:val="single" w:sz="6" w:space="0" w:color="7F7F7F"/>
              <w:right w:val="nil"/>
            </w:tcBorders>
            <w:shd w:val="clear" w:color="auto" w:fill="auto"/>
            <w:tcMar>
              <w:top w:w="0" w:type="dxa"/>
              <w:left w:w="100" w:type="dxa"/>
              <w:bottom w:w="0" w:type="dxa"/>
              <w:right w:w="100" w:type="dxa"/>
            </w:tcMar>
            <w:vAlign w:val="center"/>
          </w:tcPr>
          <w:p w14:paraId="72F7FBB8" w14:textId="77777777" w:rsidR="00DC5214" w:rsidRPr="004A3876" w:rsidRDefault="00DC5214" w:rsidP="00C175AC">
            <w:pPr>
              <w:spacing w:line="240" w:lineRule="auto"/>
              <w:ind w:firstLine="0"/>
              <w:jc w:val="center"/>
              <w:rPr>
                <w:b/>
                <w:sz w:val="20"/>
                <w:szCs w:val="20"/>
              </w:rPr>
            </w:pPr>
            <w:r w:rsidRPr="004A3876">
              <w:rPr>
                <w:b/>
                <w:sz w:val="20"/>
                <w:szCs w:val="20"/>
              </w:rPr>
              <w:t>RELATED SUB-PHENOMENON</w:t>
            </w:r>
          </w:p>
        </w:tc>
      </w:tr>
      <w:tr w:rsidR="00DC5214" w:rsidRPr="004A3876" w14:paraId="356B5E95" w14:textId="77777777" w:rsidTr="003C17A4">
        <w:trPr>
          <w:trHeight w:val="20"/>
        </w:trPr>
        <w:tc>
          <w:tcPr>
            <w:tcW w:w="3543" w:type="dxa"/>
            <w:vMerge w:val="restart"/>
            <w:tcBorders>
              <w:top w:val="nil"/>
              <w:left w:val="nil"/>
              <w:bottom w:val="nil"/>
              <w:right w:val="nil"/>
            </w:tcBorders>
            <w:shd w:val="clear" w:color="auto" w:fill="auto"/>
            <w:tcMar>
              <w:top w:w="0" w:type="dxa"/>
              <w:left w:w="100" w:type="dxa"/>
              <w:bottom w:w="0" w:type="dxa"/>
              <w:right w:w="100" w:type="dxa"/>
            </w:tcMar>
            <w:vAlign w:val="center"/>
          </w:tcPr>
          <w:p w14:paraId="1D3C5120" w14:textId="77777777" w:rsidR="00DC5214" w:rsidRPr="004A3876" w:rsidRDefault="00DC5214" w:rsidP="00C175AC">
            <w:pPr>
              <w:spacing w:line="240" w:lineRule="auto"/>
              <w:ind w:firstLine="0"/>
              <w:jc w:val="center"/>
              <w:rPr>
                <w:b/>
                <w:sz w:val="20"/>
                <w:szCs w:val="20"/>
              </w:rPr>
            </w:pPr>
            <w:r w:rsidRPr="004A3876">
              <w:rPr>
                <w:b/>
                <w:sz w:val="20"/>
                <w:szCs w:val="20"/>
              </w:rPr>
              <w:t>Adaptation effect</w:t>
            </w:r>
          </w:p>
          <w:p w14:paraId="2E00FA43" w14:textId="77777777" w:rsidR="00DC5214" w:rsidRPr="004A3876" w:rsidRDefault="00DC5214" w:rsidP="00C175AC">
            <w:pPr>
              <w:spacing w:line="240" w:lineRule="auto"/>
              <w:ind w:firstLine="0"/>
              <w:rPr>
                <w:sz w:val="20"/>
                <w:szCs w:val="20"/>
              </w:rPr>
            </w:pPr>
            <w:r w:rsidRPr="004A3876">
              <w:rPr>
                <w:sz w:val="20"/>
                <w:szCs w:val="20"/>
              </w:rPr>
              <w:t>Frequent moderate disasters increase coping capacities, thereby reducing social vulnerability (Di Baldassarre et al. 2015).</w:t>
            </w:r>
          </w:p>
        </w:tc>
        <w:tc>
          <w:tcPr>
            <w:tcW w:w="6087" w:type="dxa"/>
            <w:tcBorders>
              <w:top w:val="nil"/>
              <w:left w:val="nil"/>
              <w:bottom w:val="single" w:sz="6" w:space="0" w:color="7F7F7F"/>
              <w:right w:val="nil"/>
            </w:tcBorders>
            <w:shd w:val="clear" w:color="auto" w:fill="auto"/>
            <w:tcMar>
              <w:top w:w="0" w:type="dxa"/>
              <w:left w:w="100" w:type="dxa"/>
              <w:bottom w:w="0" w:type="dxa"/>
              <w:right w:w="100" w:type="dxa"/>
            </w:tcMar>
          </w:tcPr>
          <w:p w14:paraId="768DBAAC" w14:textId="77777777" w:rsidR="00DC5214" w:rsidRPr="004A3876" w:rsidRDefault="00DC5214" w:rsidP="00C175AC">
            <w:pPr>
              <w:spacing w:line="240" w:lineRule="auto"/>
              <w:ind w:firstLine="0"/>
              <w:jc w:val="center"/>
              <w:rPr>
                <w:b/>
                <w:sz w:val="20"/>
                <w:szCs w:val="20"/>
              </w:rPr>
            </w:pPr>
            <w:r w:rsidRPr="004A3876">
              <w:rPr>
                <w:b/>
                <w:sz w:val="20"/>
                <w:szCs w:val="20"/>
              </w:rPr>
              <w:t>Sequence effect or maladaptation</w:t>
            </w:r>
          </w:p>
          <w:p w14:paraId="363F4CA0" w14:textId="77777777" w:rsidR="00DC5214" w:rsidRPr="004A3876" w:rsidRDefault="00DC5214" w:rsidP="00C175AC">
            <w:pPr>
              <w:spacing w:line="240" w:lineRule="auto"/>
              <w:ind w:firstLine="0"/>
              <w:rPr>
                <w:sz w:val="20"/>
                <w:szCs w:val="20"/>
              </w:rPr>
            </w:pPr>
            <w:r w:rsidRPr="004A3876">
              <w:rPr>
                <w:sz w:val="20"/>
                <w:szCs w:val="20"/>
              </w:rPr>
              <w:t>The measures we take to cope with drought can make us more vulnerable to flooding, and vice versa (Juhola et al. 2016; Di Baldassarre et al. 2017).</w:t>
            </w:r>
          </w:p>
        </w:tc>
      </w:tr>
      <w:tr w:rsidR="00DC5214" w:rsidRPr="004A3876" w14:paraId="5A87C845" w14:textId="77777777" w:rsidTr="003C17A4">
        <w:trPr>
          <w:trHeight w:val="20"/>
        </w:trPr>
        <w:tc>
          <w:tcPr>
            <w:tcW w:w="3543" w:type="dxa"/>
            <w:vMerge/>
            <w:tcBorders>
              <w:top w:val="nil"/>
              <w:left w:val="nil"/>
              <w:bottom w:val="nil"/>
              <w:right w:val="nil"/>
            </w:tcBorders>
            <w:shd w:val="clear" w:color="auto" w:fill="auto"/>
            <w:tcMar>
              <w:top w:w="0" w:type="dxa"/>
              <w:left w:w="100" w:type="dxa"/>
              <w:bottom w:w="0" w:type="dxa"/>
              <w:right w:w="100" w:type="dxa"/>
            </w:tcMar>
            <w:vAlign w:val="center"/>
          </w:tcPr>
          <w:p w14:paraId="73184667" w14:textId="77777777" w:rsidR="00DC5214" w:rsidRPr="004A3876" w:rsidRDefault="00DC5214" w:rsidP="00C175AC">
            <w:pPr>
              <w:widowControl w:val="0"/>
              <w:pBdr>
                <w:top w:val="nil"/>
                <w:left w:val="nil"/>
                <w:bottom w:val="nil"/>
                <w:right w:val="nil"/>
                <w:between w:val="nil"/>
              </w:pBdr>
              <w:spacing w:line="276" w:lineRule="auto"/>
              <w:ind w:firstLine="0"/>
              <w:jc w:val="left"/>
              <w:rPr>
                <w:sz w:val="20"/>
                <w:szCs w:val="20"/>
              </w:rPr>
            </w:pPr>
          </w:p>
        </w:tc>
        <w:tc>
          <w:tcPr>
            <w:tcW w:w="6087" w:type="dxa"/>
            <w:tcBorders>
              <w:top w:val="nil"/>
              <w:left w:val="nil"/>
              <w:bottom w:val="nil"/>
              <w:right w:val="nil"/>
            </w:tcBorders>
            <w:shd w:val="clear" w:color="auto" w:fill="auto"/>
            <w:tcMar>
              <w:top w:w="0" w:type="dxa"/>
              <w:left w:w="100" w:type="dxa"/>
              <w:bottom w:w="0" w:type="dxa"/>
              <w:right w:w="100" w:type="dxa"/>
            </w:tcMar>
          </w:tcPr>
          <w:p w14:paraId="0551DA2D" w14:textId="77777777" w:rsidR="00DC5214" w:rsidRPr="004A3876" w:rsidRDefault="00DC5214" w:rsidP="00C175AC">
            <w:pPr>
              <w:spacing w:line="240" w:lineRule="auto"/>
              <w:ind w:firstLine="0"/>
              <w:jc w:val="center"/>
              <w:rPr>
                <w:b/>
                <w:sz w:val="20"/>
                <w:szCs w:val="20"/>
              </w:rPr>
            </w:pPr>
            <w:r w:rsidRPr="004A3876">
              <w:rPr>
                <w:b/>
                <w:sz w:val="20"/>
                <w:szCs w:val="20"/>
              </w:rPr>
              <w:t>Limits to adaptation</w:t>
            </w:r>
          </w:p>
          <w:p w14:paraId="17B6CA9E" w14:textId="732E291C" w:rsidR="00DC5214" w:rsidRPr="004A3876" w:rsidRDefault="00DC5214" w:rsidP="003C17A4">
            <w:pPr>
              <w:spacing w:line="240" w:lineRule="auto"/>
              <w:ind w:firstLine="0"/>
              <w:rPr>
                <w:sz w:val="20"/>
                <w:szCs w:val="20"/>
              </w:rPr>
            </w:pPr>
            <w:r w:rsidRPr="004A3876">
              <w:rPr>
                <w:sz w:val="20"/>
                <w:szCs w:val="20"/>
              </w:rPr>
              <w:t>Societal, environmental, and cultural factors (e.g., depletion of resources) can limit the adaptation capacity of a society</w:t>
            </w:r>
            <w:r w:rsidR="003C17A4">
              <w:rPr>
                <w:sz w:val="20"/>
                <w:szCs w:val="20"/>
              </w:rPr>
              <w:t xml:space="preserve"> </w:t>
            </w:r>
            <w:r w:rsidRPr="004A3876">
              <w:rPr>
                <w:sz w:val="20"/>
                <w:szCs w:val="20"/>
              </w:rPr>
              <w:t>(Adger et al. 2009; Dow et al. 2013).</w:t>
            </w:r>
          </w:p>
        </w:tc>
      </w:tr>
      <w:tr w:rsidR="00DC5214" w:rsidRPr="004A3876" w14:paraId="112AAFA6" w14:textId="77777777" w:rsidTr="003C17A4">
        <w:trPr>
          <w:trHeight w:val="20"/>
        </w:trPr>
        <w:tc>
          <w:tcPr>
            <w:tcW w:w="3543" w:type="dxa"/>
            <w:vMerge w:val="restart"/>
            <w:tcBorders>
              <w:top w:val="single" w:sz="6" w:space="0" w:color="7F7F7F"/>
              <w:left w:val="nil"/>
              <w:bottom w:val="nil"/>
              <w:right w:val="nil"/>
            </w:tcBorders>
            <w:shd w:val="clear" w:color="auto" w:fill="auto"/>
            <w:tcMar>
              <w:top w:w="0" w:type="dxa"/>
              <w:left w:w="100" w:type="dxa"/>
              <w:bottom w:w="0" w:type="dxa"/>
              <w:right w:w="100" w:type="dxa"/>
            </w:tcMar>
          </w:tcPr>
          <w:p w14:paraId="261AD3BD" w14:textId="77777777" w:rsidR="00DC5214" w:rsidRPr="004A3876" w:rsidRDefault="00DC5214" w:rsidP="00C175AC">
            <w:pPr>
              <w:spacing w:line="240" w:lineRule="auto"/>
              <w:ind w:firstLine="0"/>
              <w:jc w:val="center"/>
              <w:rPr>
                <w:b/>
                <w:sz w:val="20"/>
                <w:szCs w:val="20"/>
              </w:rPr>
            </w:pPr>
            <w:r w:rsidRPr="004A3876">
              <w:rPr>
                <w:b/>
                <w:sz w:val="20"/>
                <w:szCs w:val="20"/>
              </w:rPr>
              <w:t>Aggregation effect</w:t>
            </w:r>
          </w:p>
          <w:p w14:paraId="6E39B6E0" w14:textId="77777777" w:rsidR="00DC5214" w:rsidRPr="004A3876" w:rsidRDefault="00DC5214" w:rsidP="00C175AC">
            <w:pPr>
              <w:spacing w:line="240" w:lineRule="auto"/>
              <w:ind w:firstLine="0"/>
              <w:rPr>
                <w:b/>
                <w:sz w:val="20"/>
                <w:szCs w:val="20"/>
              </w:rPr>
            </w:pPr>
            <w:r w:rsidRPr="004A3876">
              <w:rPr>
                <w:sz w:val="20"/>
                <w:szCs w:val="20"/>
              </w:rPr>
              <w:t>Decisions made at the individual level by individuals or subgroups within a community do not align with outcomes at the aggregate level, resulting in negative impacts on the overa</w:t>
            </w:r>
            <w:r w:rsidRPr="003C17A4">
              <w:rPr>
                <w:sz w:val="20"/>
                <w:szCs w:val="20"/>
              </w:rPr>
              <w:t>ll community or society (Parijs et al. 1982).</w:t>
            </w:r>
          </w:p>
        </w:tc>
        <w:tc>
          <w:tcPr>
            <w:tcW w:w="6087" w:type="dxa"/>
            <w:tcBorders>
              <w:top w:val="single" w:sz="6" w:space="0" w:color="7F7F7F"/>
              <w:left w:val="nil"/>
              <w:bottom w:val="single" w:sz="6" w:space="0" w:color="7F7F7F"/>
              <w:right w:val="nil"/>
            </w:tcBorders>
            <w:shd w:val="clear" w:color="auto" w:fill="auto"/>
            <w:tcMar>
              <w:top w:w="0" w:type="dxa"/>
              <w:left w:w="100" w:type="dxa"/>
              <w:bottom w:w="0" w:type="dxa"/>
              <w:right w:w="100" w:type="dxa"/>
            </w:tcMar>
          </w:tcPr>
          <w:p w14:paraId="37299893" w14:textId="77777777" w:rsidR="00DC5214" w:rsidRPr="004A3876" w:rsidRDefault="00DC5214" w:rsidP="00C175AC">
            <w:pPr>
              <w:spacing w:line="240" w:lineRule="auto"/>
              <w:ind w:firstLine="0"/>
              <w:jc w:val="center"/>
              <w:rPr>
                <w:b/>
                <w:sz w:val="20"/>
                <w:szCs w:val="20"/>
              </w:rPr>
            </w:pPr>
            <w:r w:rsidRPr="004A3876">
              <w:rPr>
                <w:b/>
                <w:sz w:val="20"/>
                <w:szCs w:val="20"/>
              </w:rPr>
              <w:t>Collective action</w:t>
            </w:r>
          </w:p>
          <w:p w14:paraId="51CF1A24" w14:textId="77777777" w:rsidR="00DC5214" w:rsidRPr="004A3876" w:rsidRDefault="00DC5214" w:rsidP="00C175AC">
            <w:pPr>
              <w:spacing w:line="240" w:lineRule="auto"/>
              <w:ind w:firstLine="0"/>
              <w:rPr>
                <w:sz w:val="20"/>
                <w:szCs w:val="20"/>
              </w:rPr>
            </w:pPr>
            <w:r w:rsidRPr="004A3876">
              <w:rPr>
                <w:sz w:val="20"/>
                <w:szCs w:val="20"/>
              </w:rPr>
              <w:t>Individuals are joined for a common goal, but self-interest may undermine their success (Abdullaev et al. 2010).</w:t>
            </w:r>
          </w:p>
        </w:tc>
      </w:tr>
      <w:tr w:rsidR="00DC5214" w:rsidRPr="004A3876" w14:paraId="7B8EFE47" w14:textId="77777777" w:rsidTr="003C17A4">
        <w:trPr>
          <w:trHeight w:val="20"/>
        </w:trPr>
        <w:tc>
          <w:tcPr>
            <w:tcW w:w="3543" w:type="dxa"/>
            <w:vMerge/>
            <w:tcBorders>
              <w:top w:val="single" w:sz="6" w:space="0" w:color="7F7F7F"/>
              <w:left w:val="nil"/>
              <w:bottom w:val="nil"/>
              <w:right w:val="nil"/>
            </w:tcBorders>
            <w:shd w:val="clear" w:color="auto" w:fill="auto"/>
            <w:tcMar>
              <w:top w:w="0" w:type="dxa"/>
              <w:left w:w="100" w:type="dxa"/>
              <w:bottom w:w="0" w:type="dxa"/>
              <w:right w:w="100" w:type="dxa"/>
            </w:tcMar>
          </w:tcPr>
          <w:p w14:paraId="2DA11B3E" w14:textId="77777777" w:rsidR="00DC5214" w:rsidRPr="004A3876" w:rsidRDefault="00DC5214" w:rsidP="00C175AC">
            <w:pPr>
              <w:widowControl w:val="0"/>
              <w:pBdr>
                <w:top w:val="nil"/>
                <w:left w:val="nil"/>
                <w:bottom w:val="nil"/>
                <w:right w:val="nil"/>
                <w:between w:val="nil"/>
              </w:pBdr>
              <w:spacing w:line="276" w:lineRule="auto"/>
              <w:ind w:firstLine="0"/>
              <w:jc w:val="left"/>
              <w:rPr>
                <w:sz w:val="20"/>
                <w:szCs w:val="20"/>
              </w:rPr>
            </w:pPr>
          </w:p>
        </w:tc>
        <w:tc>
          <w:tcPr>
            <w:tcW w:w="6087" w:type="dxa"/>
            <w:tcBorders>
              <w:top w:val="nil"/>
              <w:left w:val="nil"/>
              <w:bottom w:val="nil"/>
              <w:right w:val="nil"/>
            </w:tcBorders>
            <w:shd w:val="clear" w:color="auto" w:fill="auto"/>
            <w:tcMar>
              <w:top w:w="0" w:type="dxa"/>
              <w:left w:w="100" w:type="dxa"/>
              <w:bottom w:w="0" w:type="dxa"/>
              <w:right w:w="100" w:type="dxa"/>
            </w:tcMar>
          </w:tcPr>
          <w:p w14:paraId="189EEC3F" w14:textId="77777777" w:rsidR="00DC5214" w:rsidRPr="004A3876" w:rsidRDefault="00DC5214" w:rsidP="00C175AC">
            <w:pPr>
              <w:spacing w:line="240" w:lineRule="auto"/>
              <w:ind w:firstLine="0"/>
              <w:jc w:val="center"/>
              <w:rPr>
                <w:b/>
                <w:sz w:val="20"/>
                <w:szCs w:val="20"/>
              </w:rPr>
            </w:pPr>
            <w:r w:rsidRPr="004A3876">
              <w:rPr>
                <w:b/>
                <w:sz w:val="20"/>
                <w:szCs w:val="20"/>
              </w:rPr>
              <w:t>Water injustice</w:t>
            </w:r>
          </w:p>
          <w:p w14:paraId="23D9F4BF" w14:textId="77777777" w:rsidR="00DC5214" w:rsidRPr="004A3876" w:rsidRDefault="00DC5214" w:rsidP="00C175AC">
            <w:pPr>
              <w:spacing w:line="240" w:lineRule="auto"/>
              <w:ind w:firstLine="0"/>
              <w:rPr>
                <w:sz w:val="20"/>
                <w:szCs w:val="20"/>
              </w:rPr>
            </w:pPr>
            <w:r w:rsidRPr="004A3876">
              <w:rPr>
                <w:sz w:val="20"/>
                <w:szCs w:val="20"/>
              </w:rPr>
              <w:t>Water resources are unequally distributed, and some groups have more access to water at the cost of others (Tadeu and Sinisgalli 2019).</w:t>
            </w:r>
          </w:p>
        </w:tc>
      </w:tr>
      <w:tr w:rsidR="00DC5214" w:rsidRPr="004A3876" w14:paraId="280EFB8B" w14:textId="77777777" w:rsidTr="003C17A4">
        <w:trPr>
          <w:trHeight w:val="20"/>
        </w:trPr>
        <w:tc>
          <w:tcPr>
            <w:tcW w:w="3543" w:type="dxa"/>
            <w:vMerge w:val="restart"/>
            <w:tcBorders>
              <w:top w:val="single" w:sz="6" w:space="0" w:color="7F7F7F"/>
              <w:left w:val="nil"/>
              <w:bottom w:val="nil"/>
              <w:right w:val="nil"/>
            </w:tcBorders>
            <w:shd w:val="clear" w:color="auto" w:fill="auto"/>
            <w:tcMar>
              <w:top w:w="0" w:type="dxa"/>
              <w:left w:w="100" w:type="dxa"/>
              <w:bottom w:w="0" w:type="dxa"/>
              <w:right w:w="100" w:type="dxa"/>
            </w:tcMar>
          </w:tcPr>
          <w:p w14:paraId="37BDE128" w14:textId="77777777" w:rsidR="00DC5214" w:rsidRPr="004A3876" w:rsidRDefault="00DC5214" w:rsidP="00C175AC">
            <w:pPr>
              <w:spacing w:line="240" w:lineRule="auto"/>
              <w:ind w:firstLine="0"/>
              <w:jc w:val="center"/>
              <w:rPr>
                <w:b/>
                <w:sz w:val="20"/>
                <w:szCs w:val="20"/>
              </w:rPr>
            </w:pPr>
            <w:r w:rsidRPr="004A3876">
              <w:rPr>
                <w:b/>
                <w:sz w:val="20"/>
                <w:szCs w:val="20"/>
              </w:rPr>
              <w:t>Pendulum swing</w:t>
            </w:r>
          </w:p>
          <w:p w14:paraId="0A737CA6" w14:textId="77777777" w:rsidR="00DC5214" w:rsidRPr="004A3876" w:rsidRDefault="00DC5214" w:rsidP="00C175AC">
            <w:pPr>
              <w:spacing w:line="240" w:lineRule="auto"/>
              <w:ind w:firstLine="0"/>
              <w:rPr>
                <w:b/>
                <w:sz w:val="20"/>
                <w:szCs w:val="20"/>
              </w:rPr>
            </w:pPr>
            <w:r w:rsidRPr="004A3876">
              <w:rPr>
                <w:sz w:val="20"/>
                <w:szCs w:val="20"/>
              </w:rPr>
              <w:t>Water management policies and people’s collective preference for water resource allocation tend to oscillate between</w:t>
            </w:r>
            <w:r w:rsidRPr="004A3876">
              <w:rPr>
                <w:b/>
                <w:sz w:val="20"/>
                <w:szCs w:val="20"/>
              </w:rPr>
              <w:t xml:space="preserve"> </w:t>
            </w:r>
            <w:r w:rsidRPr="004A3876">
              <w:rPr>
                <w:sz w:val="20"/>
                <w:szCs w:val="20"/>
              </w:rPr>
              <w:t>extremes over time,</w:t>
            </w:r>
            <w:r w:rsidRPr="003C17A4">
              <w:rPr>
                <w:sz w:val="20"/>
                <w:szCs w:val="20"/>
              </w:rPr>
              <w:t xml:space="preserve"> leading to a lack of consistency and continuity in water management policies and practices (Kandasamy et al. 2014).</w:t>
            </w:r>
          </w:p>
        </w:tc>
        <w:tc>
          <w:tcPr>
            <w:tcW w:w="6087" w:type="dxa"/>
            <w:tcBorders>
              <w:top w:val="single" w:sz="6" w:space="0" w:color="7F7F7F"/>
              <w:left w:val="nil"/>
              <w:bottom w:val="single" w:sz="6" w:space="0" w:color="7F7F7F"/>
              <w:right w:val="nil"/>
            </w:tcBorders>
            <w:shd w:val="clear" w:color="auto" w:fill="auto"/>
            <w:tcMar>
              <w:top w:w="0" w:type="dxa"/>
              <w:left w:w="100" w:type="dxa"/>
              <w:bottom w:w="0" w:type="dxa"/>
              <w:right w:w="100" w:type="dxa"/>
            </w:tcMar>
          </w:tcPr>
          <w:p w14:paraId="0B8199DD" w14:textId="77777777" w:rsidR="00DC5214" w:rsidRPr="004A3876" w:rsidRDefault="00DC5214" w:rsidP="00C175AC">
            <w:pPr>
              <w:spacing w:line="240" w:lineRule="auto"/>
              <w:ind w:firstLine="0"/>
              <w:jc w:val="center"/>
              <w:rPr>
                <w:b/>
                <w:sz w:val="20"/>
                <w:szCs w:val="20"/>
              </w:rPr>
            </w:pPr>
            <w:r w:rsidRPr="004A3876">
              <w:rPr>
                <w:b/>
                <w:sz w:val="20"/>
                <w:szCs w:val="20"/>
              </w:rPr>
              <w:t>Peak water paradox</w:t>
            </w:r>
          </w:p>
          <w:p w14:paraId="05F8778C" w14:textId="77777777" w:rsidR="00DC5214" w:rsidRPr="004A3876" w:rsidRDefault="00DC5214" w:rsidP="00C175AC">
            <w:pPr>
              <w:spacing w:line="240" w:lineRule="auto"/>
              <w:ind w:firstLine="0"/>
              <w:rPr>
                <w:sz w:val="20"/>
                <w:szCs w:val="20"/>
              </w:rPr>
            </w:pPr>
            <w:r w:rsidRPr="004A3876">
              <w:rPr>
                <w:sz w:val="20"/>
                <w:szCs w:val="20"/>
              </w:rPr>
              <w:t>Once the water peak is reached, sustaining the level of water extraction may lead to groundwater exhaustion or a decrease in the quality of the ecosystem for renewable water sources (Gleick and Palaniappan 2010).</w:t>
            </w:r>
          </w:p>
        </w:tc>
      </w:tr>
      <w:tr w:rsidR="00DC5214" w:rsidRPr="004A3876" w14:paraId="04CED694" w14:textId="77777777" w:rsidTr="003C17A4">
        <w:trPr>
          <w:trHeight w:val="20"/>
        </w:trPr>
        <w:tc>
          <w:tcPr>
            <w:tcW w:w="3543" w:type="dxa"/>
            <w:vMerge/>
            <w:tcBorders>
              <w:top w:val="single" w:sz="6" w:space="0" w:color="7F7F7F"/>
              <w:left w:val="nil"/>
              <w:bottom w:val="nil"/>
              <w:right w:val="nil"/>
            </w:tcBorders>
            <w:shd w:val="clear" w:color="auto" w:fill="auto"/>
            <w:tcMar>
              <w:top w:w="0" w:type="dxa"/>
              <w:left w:w="100" w:type="dxa"/>
              <w:bottom w:w="0" w:type="dxa"/>
              <w:right w:w="100" w:type="dxa"/>
            </w:tcMar>
          </w:tcPr>
          <w:p w14:paraId="61D4DA7C" w14:textId="77777777" w:rsidR="00DC5214" w:rsidRPr="004A3876" w:rsidRDefault="00DC5214" w:rsidP="00C175AC">
            <w:pPr>
              <w:widowControl w:val="0"/>
              <w:pBdr>
                <w:top w:val="nil"/>
                <w:left w:val="nil"/>
                <w:bottom w:val="nil"/>
                <w:right w:val="nil"/>
                <w:between w:val="nil"/>
              </w:pBdr>
              <w:spacing w:line="276" w:lineRule="auto"/>
              <w:ind w:firstLine="0"/>
              <w:jc w:val="left"/>
              <w:rPr>
                <w:sz w:val="20"/>
                <w:szCs w:val="20"/>
              </w:rPr>
            </w:pPr>
          </w:p>
        </w:tc>
        <w:tc>
          <w:tcPr>
            <w:tcW w:w="6087" w:type="dxa"/>
            <w:tcBorders>
              <w:top w:val="nil"/>
              <w:left w:val="nil"/>
              <w:bottom w:val="nil"/>
              <w:right w:val="nil"/>
            </w:tcBorders>
            <w:shd w:val="clear" w:color="auto" w:fill="auto"/>
            <w:tcMar>
              <w:top w:w="0" w:type="dxa"/>
              <w:left w:w="100" w:type="dxa"/>
              <w:bottom w:w="0" w:type="dxa"/>
              <w:right w:w="100" w:type="dxa"/>
            </w:tcMar>
          </w:tcPr>
          <w:p w14:paraId="3DCEC2D4" w14:textId="77777777" w:rsidR="00DC5214" w:rsidRPr="004A3876" w:rsidRDefault="00DC5214" w:rsidP="00C175AC">
            <w:pPr>
              <w:spacing w:line="240" w:lineRule="auto"/>
              <w:ind w:firstLine="0"/>
              <w:jc w:val="center"/>
              <w:rPr>
                <w:b/>
                <w:sz w:val="20"/>
                <w:szCs w:val="20"/>
              </w:rPr>
            </w:pPr>
            <w:r w:rsidRPr="004A3876">
              <w:rPr>
                <w:b/>
                <w:sz w:val="20"/>
                <w:szCs w:val="20"/>
              </w:rPr>
              <w:t>Environmental Kuznets curve</w:t>
            </w:r>
          </w:p>
          <w:p w14:paraId="40151B8D" w14:textId="77777777" w:rsidR="00DC5214" w:rsidRPr="004A3876" w:rsidRDefault="00DC5214" w:rsidP="00C175AC">
            <w:pPr>
              <w:spacing w:line="240" w:lineRule="auto"/>
              <w:ind w:firstLine="0"/>
              <w:rPr>
                <w:sz w:val="20"/>
                <w:szCs w:val="20"/>
              </w:rPr>
            </w:pPr>
            <w:r w:rsidRPr="004A3876">
              <w:rPr>
                <w:sz w:val="20"/>
                <w:szCs w:val="20"/>
              </w:rPr>
              <w:t>In the early stages of economic growth, there is a tendency for environmental degradation; however, once a particular threshold of income per capita is reached, environmental quality tends to be improved (Stern 2004).</w:t>
            </w:r>
          </w:p>
        </w:tc>
      </w:tr>
      <w:tr w:rsidR="00DC5214" w:rsidRPr="004A3876" w14:paraId="4EC66B58" w14:textId="77777777" w:rsidTr="003C17A4">
        <w:trPr>
          <w:trHeight w:val="20"/>
        </w:trPr>
        <w:tc>
          <w:tcPr>
            <w:tcW w:w="3543" w:type="dxa"/>
            <w:vMerge w:val="restart"/>
            <w:tcBorders>
              <w:top w:val="single" w:sz="6" w:space="0" w:color="7F7F7F"/>
              <w:left w:val="nil"/>
              <w:bottom w:val="nil"/>
              <w:right w:val="nil"/>
            </w:tcBorders>
            <w:shd w:val="clear" w:color="auto" w:fill="auto"/>
            <w:tcMar>
              <w:top w:w="0" w:type="dxa"/>
              <w:left w:w="100" w:type="dxa"/>
              <w:bottom w:w="0" w:type="dxa"/>
              <w:right w:w="100" w:type="dxa"/>
            </w:tcMar>
            <w:vAlign w:val="center"/>
          </w:tcPr>
          <w:p w14:paraId="0E0AA3E4" w14:textId="77777777" w:rsidR="00DC5214" w:rsidRPr="004A3876" w:rsidRDefault="00DC5214" w:rsidP="00C175AC">
            <w:pPr>
              <w:spacing w:line="240" w:lineRule="auto"/>
              <w:ind w:firstLine="0"/>
              <w:jc w:val="center"/>
              <w:rPr>
                <w:b/>
                <w:sz w:val="20"/>
                <w:szCs w:val="20"/>
              </w:rPr>
            </w:pPr>
            <w:r w:rsidRPr="004A3876">
              <w:rPr>
                <w:b/>
                <w:sz w:val="20"/>
                <w:szCs w:val="20"/>
              </w:rPr>
              <w:t>Rebound-effect or Jevons’ paradox</w:t>
            </w:r>
          </w:p>
          <w:p w14:paraId="493E172D" w14:textId="77777777" w:rsidR="00DC5214" w:rsidRPr="004A3876" w:rsidRDefault="00DC5214" w:rsidP="00C175AC">
            <w:pPr>
              <w:spacing w:line="240" w:lineRule="auto"/>
              <w:ind w:firstLine="0"/>
              <w:rPr>
                <w:b/>
                <w:sz w:val="20"/>
                <w:szCs w:val="20"/>
              </w:rPr>
            </w:pPr>
            <w:r w:rsidRPr="004A3876">
              <w:rPr>
                <w:sz w:val="20"/>
                <w:szCs w:val="20"/>
              </w:rPr>
              <w:t>The increase in efficiency of a resource such as water,</w:t>
            </w:r>
            <w:r w:rsidRPr="003C17A4">
              <w:rPr>
                <w:sz w:val="20"/>
                <w:szCs w:val="20"/>
              </w:rPr>
              <w:t xml:space="preserve"> tends to increase its consumption rather than decrease it (Berbel et al. 2015).</w:t>
            </w:r>
          </w:p>
        </w:tc>
        <w:tc>
          <w:tcPr>
            <w:tcW w:w="6087" w:type="dxa"/>
            <w:tcBorders>
              <w:top w:val="single" w:sz="6" w:space="0" w:color="7F7F7F"/>
              <w:left w:val="nil"/>
              <w:bottom w:val="single" w:sz="6" w:space="0" w:color="7F7F7F"/>
              <w:right w:val="nil"/>
            </w:tcBorders>
            <w:shd w:val="clear" w:color="auto" w:fill="auto"/>
            <w:tcMar>
              <w:top w:w="0" w:type="dxa"/>
              <w:left w:w="100" w:type="dxa"/>
              <w:bottom w:w="0" w:type="dxa"/>
              <w:right w:w="100" w:type="dxa"/>
            </w:tcMar>
          </w:tcPr>
          <w:p w14:paraId="6E0BFFC6" w14:textId="77777777" w:rsidR="00DC5214" w:rsidRPr="004A3876" w:rsidRDefault="00DC5214" w:rsidP="00C175AC">
            <w:pPr>
              <w:spacing w:line="240" w:lineRule="auto"/>
              <w:ind w:firstLine="0"/>
              <w:jc w:val="center"/>
              <w:rPr>
                <w:b/>
                <w:sz w:val="20"/>
                <w:szCs w:val="20"/>
              </w:rPr>
            </w:pPr>
            <w:r w:rsidRPr="004A3876">
              <w:rPr>
                <w:b/>
                <w:sz w:val="20"/>
                <w:szCs w:val="20"/>
              </w:rPr>
              <w:t>Irrigation efficiency paradox</w:t>
            </w:r>
          </w:p>
          <w:p w14:paraId="5D603462" w14:textId="77777777" w:rsidR="00DC5214" w:rsidRPr="004A3876" w:rsidRDefault="00DC5214" w:rsidP="00C175AC">
            <w:pPr>
              <w:spacing w:line="240" w:lineRule="auto"/>
              <w:ind w:firstLine="0"/>
              <w:rPr>
                <w:sz w:val="20"/>
                <w:szCs w:val="20"/>
              </w:rPr>
            </w:pPr>
            <w:r w:rsidRPr="004A3876">
              <w:rPr>
                <w:sz w:val="20"/>
                <w:szCs w:val="20"/>
              </w:rPr>
              <w:t>The augmentation of irrigation efficacy will not necessarily result in a rise in the abundance of water within the watershed. (Grafton et al. 2018)</w:t>
            </w:r>
          </w:p>
        </w:tc>
      </w:tr>
      <w:tr w:rsidR="00DC5214" w:rsidRPr="004A3876" w14:paraId="0B6490A0" w14:textId="77777777" w:rsidTr="003C17A4">
        <w:trPr>
          <w:trHeight w:val="20"/>
        </w:trPr>
        <w:tc>
          <w:tcPr>
            <w:tcW w:w="3543" w:type="dxa"/>
            <w:vMerge/>
            <w:tcBorders>
              <w:top w:val="single" w:sz="6" w:space="0" w:color="7F7F7F"/>
              <w:left w:val="nil"/>
              <w:bottom w:val="nil"/>
              <w:right w:val="nil"/>
            </w:tcBorders>
            <w:shd w:val="clear" w:color="auto" w:fill="auto"/>
            <w:tcMar>
              <w:top w:w="0" w:type="dxa"/>
              <w:left w:w="100" w:type="dxa"/>
              <w:bottom w:w="0" w:type="dxa"/>
              <w:right w:w="100" w:type="dxa"/>
            </w:tcMar>
            <w:vAlign w:val="center"/>
          </w:tcPr>
          <w:p w14:paraId="2D10DD58" w14:textId="77777777" w:rsidR="00DC5214" w:rsidRPr="004A3876" w:rsidRDefault="00DC5214" w:rsidP="00C175AC">
            <w:pPr>
              <w:widowControl w:val="0"/>
              <w:pBdr>
                <w:top w:val="nil"/>
                <w:left w:val="nil"/>
                <w:bottom w:val="nil"/>
                <w:right w:val="nil"/>
                <w:between w:val="nil"/>
              </w:pBdr>
              <w:spacing w:line="276" w:lineRule="auto"/>
              <w:ind w:firstLine="0"/>
              <w:jc w:val="left"/>
              <w:rPr>
                <w:sz w:val="20"/>
                <w:szCs w:val="20"/>
              </w:rPr>
            </w:pPr>
          </w:p>
        </w:tc>
        <w:tc>
          <w:tcPr>
            <w:tcW w:w="6087" w:type="dxa"/>
            <w:tcBorders>
              <w:top w:val="nil"/>
              <w:left w:val="nil"/>
              <w:bottom w:val="nil"/>
              <w:right w:val="nil"/>
            </w:tcBorders>
            <w:shd w:val="clear" w:color="auto" w:fill="auto"/>
            <w:tcMar>
              <w:top w:w="0" w:type="dxa"/>
              <w:left w:w="100" w:type="dxa"/>
              <w:bottom w:w="0" w:type="dxa"/>
              <w:right w:w="100" w:type="dxa"/>
            </w:tcMar>
          </w:tcPr>
          <w:p w14:paraId="7B0852A8" w14:textId="77777777" w:rsidR="00DC5214" w:rsidRPr="004A3876" w:rsidRDefault="00DC5214" w:rsidP="00C175AC">
            <w:pPr>
              <w:spacing w:line="240" w:lineRule="auto"/>
              <w:ind w:firstLine="0"/>
              <w:jc w:val="center"/>
              <w:rPr>
                <w:b/>
                <w:sz w:val="20"/>
                <w:szCs w:val="20"/>
              </w:rPr>
            </w:pPr>
            <w:r w:rsidRPr="004A3876">
              <w:rPr>
                <w:b/>
                <w:sz w:val="20"/>
                <w:szCs w:val="20"/>
              </w:rPr>
              <w:t>Scale paradox</w:t>
            </w:r>
          </w:p>
          <w:p w14:paraId="0957E122" w14:textId="77777777" w:rsidR="00DC5214" w:rsidRPr="004A3876" w:rsidRDefault="00DC5214" w:rsidP="00C175AC">
            <w:pPr>
              <w:spacing w:line="240" w:lineRule="auto"/>
              <w:ind w:firstLine="0"/>
              <w:rPr>
                <w:sz w:val="20"/>
                <w:szCs w:val="20"/>
              </w:rPr>
            </w:pPr>
            <w:r w:rsidRPr="004A3876">
              <w:rPr>
                <w:sz w:val="20"/>
                <w:szCs w:val="20"/>
              </w:rPr>
              <w:t>The reduction of water loss in irrigation can decrease water availability downstream (Scott et al. 2014).</w:t>
            </w:r>
          </w:p>
        </w:tc>
      </w:tr>
      <w:tr w:rsidR="00DC5214" w:rsidRPr="004A3876" w14:paraId="7B8D7F89" w14:textId="77777777" w:rsidTr="003C17A4">
        <w:trPr>
          <w:trHeight w:val="20"/>
        </w:trPr>
        <w:tc>
          <w:tcPr>
            <w:tcW w:w="3543" w:type="dxa"/>
            <w:tcBorders>
              <w:top w:val="single" w:sz="6" w:space="0" w:color="7F7F7F"/>
              <w:left w:val="nil"/>
              <w:bottom w:val="single" w:sz="6" w:space="0" w:color="7F7F7F"/>
              <w:right w:val="nil"/>
            </w:tcBorders>
            <w:shd w:val="clear" w:color="auto" w:fill="auto"/>
            <w:tcMar>
              <w:top w:w="0" w:type="dxa"/>
              <w:left w:w="100" w:type="dxa"/>
              <w:bottom w:w="0" w:type="dxa"/>
              <w:right w:w="100" w:type="dxa"/>
            </w:tcMar>
          </w:tcPr>
          <w:p w14:paraId="2C0CF13D" w14:textId="77777777" w:rsidR="00DC5214" w:rsidRPr="004A3876" w:rsidRDefault="00DC5214" w:rsidP="00C175AC">
            <w:pPr>
              <w:spacing w:line="240" w:lineRule="auto"/>
              <w:ind w:firstLine="0"/>
              <w:jc w:val="center"/>
              <w:rPr>
                <w:b/>
                <w:sz w:val="20"/>
                <w:szCs w:val="20"/>
              </w:rPr>
            </w:pPr>
            <w:r w:rsidRPr="004A3876">
              <w:rPr>
                <w:b/>
                <w:sz w:val="20"/>
                <w:szCs w:val="20"/>
              </w:rPr>
              <w:t>Supply‐demand cycle</w:t>
            </w:r>
          </w:p>
          <w:p w14:paraId="078F83F6" w14:textId="77777777" w:rsidR="00DC5214" w:rsidRPr="004A3876" w:rsidRDefault="00DC5214" w:rsidP="00C175AC">
            <w:pPr>
              <w:spacing w:line="240" w:lineRule="auto"/>
              <w:ind w:firstLine="0"/>
              <w:rPr>
                <w:b/>
                <w:sz w:val="20"/>
                <w:szCs w:val="20"/>
              </w:rPr>
            </w:pPr>
            <w:r w:rsidRPr="004A3876">
              <w:rPr>
                <w:sz w:val="20"/>
                <w:szCs w:val="20"/>
              </w:rPr>
              <w:t>The increase in supply generates growth, which in turn increases demand (Kallis 2010)</w:t>
            </w:r>
            <w:r w:rsidRPr="004A3876">
              <w:rPr>
                <w:b/>
                <w:sz w:val="20"/>
                <w:szCs w:val="20"/>
              </w:rPr>
              <w:t>.</w:t>
            </w:r>
          </w:p>
        </w:tc>
        <w:tc>
          <w:tcPr>
            <w:tcW w:w="6087" w:type="dxa"/>
            <w:tcBorders>
              <w:top w:val="single" w:sz="6" w:space="0" w:color="7F7F7F"/>
              <w:left w:val="nil"/>
              <w:bottom w:val="single" w:sz="6" w:space="0" w:color="7F7F7F"/>
              <w:right w:val="nil"/>
            </w:tcBorders>
            <w:shd w:val="clear" w:color="auto" w:fill="auto"/>
            <w:tcMar>
              <w:top w:w="0" w:type="dxa"/>
              <w:left w:w="100" w:type="dxa"/>
              <w:bottom w:w="0" w:type="dxa"/>
              <w:right w:w="100" w:type="dxa"/>
            </w:tcMar>
          </w:tcPr>
          <w:p w14:paraId="27C61CD5" w14:textId="77777777" w:rsidR="00DC5214" w:rsidRPr="004A3876" w:rsidRDefault="00DC5214" w:rsidP="00C175AC">
            <w:pPr>
              <w:spacing w:line="240" w:lineRule="auto"/>
              <w:ind w:firstLine="0"/>
              <w:jc w:val="center"/>
              <w:rPr>
                <w:b/>
                <w:sz w:val="20"/>
                <w:szCs w:val="20"/>
              </w:rPr>
            </w:pPr>
            <w:r w:rsidRPr="004A3876">
              <w:rPr>
                <w:b/>
                <w:sz w:val="20"/>
                <w:szCs w:val="20"/>
              </w:rPr>
              <w:t>Fixes that backfire</w:t>
            </w:r>
          </w:p>
          <w:p w14:paraId="764CCE26" w14:textId="77777777" w:rsidR="00DC5214" w:rsidRPr="004A3876" w:rsidRDefault="00DC5214" w:rsidP="00C175AC">
            <w:pPr>
              <w:spacing w:line="240" w:lineRule="auto"/>
              <w:ind w:firstLine="0"/>
              <w:rPr>
                <w:sz w:val="20"/>
                <w:szCs w:val="20"/>
              </w:rPr>
            </w:pPr>
            <w:r w:rsidRPr="004A3876">
              <w:rPr>
                <w:sz w:val="20"/>
                <w:szCs w:val="20"/>
              </w:rPr>
              <w:t>A solution may seem helpful in the short term, but it will create long-term issues that may require additional repairs (Gohari et al. 2013; Kidwai and Saraph 2016).</w:t>
            </w:r>
          </w:p>
        </w:tc>
      </w:tr>
      <w:tr w:rsidR="00DC5214" w:rsidRPr="004A3876" w14:paraId="2C513769" w14:textId="77777777" w:rsidTr="003C17A4">
        <w:trPr>
          <w:trHeight w:val="20"/>
        </w:trPr>
        <w:tc>
          <w:tcPr>
            <w:tcW w:w="3543" w:type="dxa"/>
            <w:vMerge w:val="restart"/>
            <w:tcBorders>
              <w:top w:val="nil"/>
              <w:left w:val="nil"/>
              <w:right w:val="nil"/>
            </w:tcBorders>
            <w:shd w:val="clear" w:color="auto" w:fill="auto"/>
            <w:tcMar>
              <w:top w:w="0" w:type="dxa"/>
              <w:left w:w="100" w:type="dxa"/>
              <w:bottom w:w="0" w:type="dxa"/>
              <w:right w:w="100" w:type="dxa"/>
            </w:tcMar>
            <w:vAlign w:val="center"/>
          </w:tcPr>
          <w:p w14:paraId="7E62B529" w14:textId="77777777" w:rsidR="00DC5214" w:rsidRPr="004A3876" w:rsidRDefault="00DC5214" w:rsidP="00C175AC">
            <w:pPr>
              <w:spacing w:line="240" w:lineRule="auto"/>
              <w:ind w:firstLine="0"/>
              <w:jc w:val="left"/>
              <w:rPr>
                <w:b/>
                <w:sz w:val="20"/>
                <w:szCs w:val="20"/>
              </w:rPr>
            </w:pPr>
            <w:r w:rsidRPr="004A3876">
              <w:rPr>
                <w:b/>
                <w:sz w:val="20"/>
                <w:szCs w:val="20"/>
              </w:rPr>
              <w:t>Safe‐development paradox or safety dilemma</w:t>
            </w:r>
          </w:p>
          <w:p w14:paraId="2BCCD29E" w14:textId="77777777" w:rsidR="00DC5214" w:rsidRPr="004A3876" w:rsidRDefault="00DC5214" w:rsidP="00C175AC">
            <w:pPr>
              <w:spacing w:line="240" w:lineRule="auto"/>
              <w:ind w:firstLine="0"/>
              <w:jc w:val="left"/>
              <w:rPr>
                <w:sz w:val="20"/>
                <w:szCs w:val="20"/>
              </w:rPr>
            </w:pPr>
            <w:r w:rsidRPr="004A3876">
              <w:rPr>
                <w:sz w:val="20"/>
                <w:szCs w:val="20"/>
              </w:rPr>
              <w:t>Protection measures, whether structural or non-structural, can give people a false sense of security, increasing exposure, reducing coping capacities, and thereby increasing social vulnerability (Burby 2006; Kates et al. 2006).</w:t>
            </w:r>
          </w:p>
        </w:tc>
        <w:tc>
          <w:tcPr>
            <w:tcW w:w="6087" w:type="dxa"/>
            <w:tcBorders>
              <w:top w:val="nil"/>
              <w:left w:val="nil"/>
              <w:bottom w:val="nil"/>
              <w:right w:val="nil"/>
            </w:tcBorders>
            <w:shd w:val="clear" w:color="auto" w:fill="auto"/>
            <w:tcMar>
              <w:top w:w="0" w:type="dxa"/>
              <w:left w:w="100" w:type="dxa"/>
              <w:bottom w:w="0" w:type="dxa"/>
              <w:right w:w="100" w:type="dxa"/>
            </w:tcMar>
          </w:tcPr>
          <w:p w14:paraId="6BB8C074" w14:textId="77777777" w:rsidR="00DC5214" w:rsidRPr="004A3876" w:rsidRDefault="00DC5214" w:rsidP="00C175AC">
            <w:pPr>
              <w:spacing w:line="240" w:lineRule="auto"/>
              <w:ind w:firstLine="0"/>
              <w:jc w:val="center"/>
              <w:rPr>
                <w:b/>
                <w:sz w:val="20"/>
                <w:szCs w:val="20"/>
              </w:rPr>
            </w:pPr>
            <w:r w:rsidRPr="004A3876">
              <w:rPr>
                <w:b/>
                <w:sz w:val="20"/>
                <w:szCs w:val="20"/>
              </w:rPr>
              <w:t>Levee effect or levee paradox, dike effect, dike paradox</w:t>
            </w:r>
          </w:p>
          <w:p w14:paraId="29BBFFCD" w14:textId="77777777" w:rsidR="00DC5214" w:rsidRPr="004A3876" w:rsidRDefault="00DC5214" w:rsidP="00C175AC">
            <w:pPr>
              <w:spacing w:line="240" w:lineRule="auto"/>
              <w:ind w:firstLine="0"/>
              <w:rPr>
                <w:sz w:val="20"/>
                <w:szCs w:val="20"/>
              </w:rPr>
            </w:pPr>
            <w:r w:rsidRPr="004A3876">
              <w:rPr>
                <w:sz w:val="20"/>
                <w:szCs w:val="20"/>
              </w:rPr>
              <w:t>Structural protection measures create a false sense of safety, increasing exposure and vulnerability (White 1945; Tobin 1995).</w:t>
            </w:r>
          </w:p>
        </w:tc>
      </w:tr>
      <w:tr w:rsidR="00DC5214" w:rsidRPr="004A3876" w14:paraId="06AB9359" w14:textId="77777777" w:rsidTr="003C17A4">
        <w:trPr>
          <w:trHeight w:val="20"/>
        </w:trPr>
        <w:tc>
          <w:tcPr>
            <w:tcW w:w="3543" w:type="dxa"/>
            <w:vMerge/>
            <w:tcBorders>
              <w:left w:val="nil"/>
              <w:right w:val="nil"/>
            </w:tcBorders>
            <w:shd w:val="clear" w:color="auto" w:fill="auto"/>
            <w:tcMar>
              <w:top w:w="0" w:type="dxa"/>
              <w:left w:w="100" w:type="dxa"/>
              <w:bottom w:w="0" w:type="dxa"/>
              <w:right w:w="100" w:type="dxa"/>
            </w:tcMar>
            <w:vAlign w:val="center"/>
          </w:tcPr>
          <w:p w14:paraId="42C78C1D" w14:textId="77777777" w:rsidR="00DC5214" w:rsidRPr="004A3876" w:rsidRDefault="00DC5214" w:rsidP="00C175AC">
            <w:pPr>
              <w:widowControl w:val="0"/>
              <w:pBdr>
                <w:top w:val="nil"/>
                <w:left w:val="nil"/>
                <w:bottom w:val="nil"/>
                <w:right w:val="nil"/>
                <w:between w:val="nil"/>
              </w:pBdr>
              <w:spacing w:line="276" w:lineRule="auto"/>
              <w:ind w:firstLine="0"/>
              <w:jc w:val="left"/>
              <w:rPr>
                <w:sz w:val="20"/>
                <w:szCs w:val="20"/>
              </w:rPr>
            </w:pPr>
          </w:p>
        </w:tc>
        <w:tc>
          <w:tcPr>
            <w:tcW w:w="6087" w:type="dxa"/>
            <w:tcBorders>
              <w:top w:val="single" w:sz="6" w:space="0" w:color="7F7F7F"/>
              <w:left w:val="nil"/>
              <w:bottom w:val="single" w:sz="6" w:space="0" w:color="7F7F7F"/>
              <w:right w:val="nil"/>
            </w:tcBorders>
            <w:shd w:val="clear" w:color="auto" w:fill="auto"/>
            <w:tcMar>
              <w:top w:w="0" w:type="dxa"/>
              <w:left w:w="100" w:type="dxa"/>
              <w:bottom w:w="0" w:type="dxa"/>
              <w:right w:w="100" w:type="dxa"/>
            </w:tcMar>
          </w:tcPr>
          <w:p w14:paraId="7C570D9F" w14:textId="77777777" w:rsidR="00DC5214" w:rsidRPr="004A3876" w:rsidRDefault="00DC5214" w:rsidP="00C175AC">
            <w:pPr>
              <w:spacing w:line="240" w:lineRule="auto"/>
              <w:ind w:firstLine="0"/>
              <w:jc w:val="center"/>
              <w:rPr>
                <w:b/>
                <w:sz w:val="20"/>
                <w:szCs w:val="20"/>
              </w:rPr>
            </w:pPr>
            <w:r w:rsidRPr="004A3876">
              <w:rPr>
                <w:b/>
                <w:sz w:val="20"/>
                <w:szCs w:val="20"/>
              </w:rPr>
              <w:t>Reservoir effect</w:t>
            </w:r>
          </w:p>
          <w:p w14:paraId="32B28BD7" w14:textId="77777777" w:rsidR="00DC5214" w:rsidRPr="004A3876" w:rsidRDefault="00DC5214" w:rsidP="00C175AC">
            <w:pPr>
              <w:spacing w:line="240" w:lineRule="auto"/>
              <w:ind w:firstLine="0"/>
              <w:rPr>
                <w:sz w:val="20"/>
                <w:szCs w:val="20"/>
              </w:rPr>
            </w:pPr>
            <w:r w:rsidRPr="004A3876">
              <w:rPr>
                <w:sz w:val="20"/>
                <w:szCs w:val="20"/>
              </w:rPr>
              <w:t>Reservoirs reduce people’s and communities’ motivation to take adaptive measures, leading to greater negative consequences when drought strikes (Di Baldassarre et al. 2018b).</w:t>
            </w:r>
          </w:p>
        </w:tc>
      </w:tr>
      <w:tr w:rsidR="00DC5214" w:rsidRPr="004A3876" w14:paraId="3514CDF3" w14:textId="77777777" w:rsidTr="003C17A4">
        <w:trPr>
          <w:trHeight w:val="20"/>
        </w:trPr>
        <w:tc>
          <w:tcPr>
            <w:tcW w:w="3543" w:type="dxa"/>
            <w:vMerge/>
            <w:tcBorders>
              <w:left w:val="nil"/>
              <w:bottom w:val="single" w:sz="6" w:space="0" w:color="7F7F7F"/>
              <w:right w:val="nil"/>
            </w:tcBorders>
            <w:shd w:val="clear" w:color="auto" w:fill="auto"/>
            <w:tcMar>
              <w:top w:w="0" w:type="dxa"/>
              <w:left w:w="100" w:type="dxa"/>
              <w:bottom w:w="0" w:type="dxa"/>
              <w:right w:w="100" w:type="dxa"/>
            </w:tcMar>
            <w:vAlign w:val="center"/>
          </w:tcPr>
          <w:p w14:paraId="7F406172" w14:textId="77777777" w:rsidR="00DC5214" w:rsidRPr="004A3876" w:rsidRDefault="00DC5214" w:rsidP="00C175AC">
            <w:pPr>
              <w:widowControl w:val="0"/>
              <w:pBdr>
                <w:top w:val="nil"/>
                <w:left w:val="nil"/>
                <w:bottom w:val="nil"/>
                <w:right w:val="nil"/>
                <w:between w:val="nil"/>
              </w:pBdr>
              <w:spacing w:line="276" w:lineRule="auto"/>
              <w:ind w:firstLine="0"/>
              <w:jc w:val="left"/>
              <w:rPr>
                <w:sz w:val="20"/>
                <w:szCs w:val="20"/>
              </w:rPr>
            </w:pPr>
          </w:p>
        </w:tc>
        <w:tc>
          <w:tcPr>
            <w:tcW w:w="6087" w:type="dxa"/>
            <w:tcBorders>
              <w:top w:val="single" w:sz="6" w:space="0" w:color="7F7F7F"/>
              <w:left w:val="nil"/>
              <w:bottom w:val="single" w:sz="6" w:space="0" w:color="7F7F7F"/>
              <w:right w:val="nil"/>
            </w:tcBorders>
            <w:shd w:val="clear" w:color="auto" w:fill="auto"/>
            <w:tcMar>
              <w:top w:w="0" w:type="dxa"/>
              <w:left w:w="100" w:type="dxa"/>
              <w:bottom w:w="0" w:type="dxa"/>
              <w:right w:w="100" w:type="dxa"/>
            </w:tcMar>
          </w:tcPr>
          <w:p w14:paraId="63E74162" w14:textId="77777777" w:rsidR="00DC5214" w:rsidRPr="004A3876" w:rsidRDefault="00DC5214" w:rsidP="00C175AC">
            <w:pPr>
              <w:spacing w:line="240" w:lineRule="auto"/>
              <w:ind w:firstLine="0"/>
              <w:jc w:val="center"/>
              <w:rPr>
                <w:b/>
                <w:sz w:val="20"/>
                <w:szCs w:val="20"/>
              </w:rPr>
            </w:pPr>
            <w:r w:rsidRPr="004A3876">
              <w:rPr>
                <w:b/>
                <w:sz w:val="20"/>
                <w:szCs w:val="20"/>
              </w:rPr>
              <w:t>Moral hazard</w:t>
            </w:r>
          </w:p>
          <w:p w14:paraId="39C426E4" w14:textId="0A6C4025" w:rsidR="00DC5214" w:rsidRPr="004A3876" w:rsidRDefault="00DC5214" w:rsidP="00C175AC">
            <w:pPr>
              <w:spacing w:line="240" w:lineRule="auto"/>
              <w:ind w:firstLine="0"/>
              <w:rPr>
                <w:b/>
                <w:sz w:val="20"/>
                <w:szCs w:val="20"/>
              </w:rPr>
            </w:pPr>
            <w:r w:rsidRPr="004A3876">
              <w:rPr>
                <w:sz w:val="20"/>
                <w:szCs w:val="20"/>
              </w:rPr>
              <w:t>Moral hazard involves situations where individuals or organizations take on more risk because they do not have to bear the full consequences of their actions. For example, homeowners might build in flood-prone areas if they believe flood insurance or government aid will cover potential losses</w:t>
            </w:r>
            <w:r w:rsidR="00AA2514" w:rsidRPr="004A3876">
              <w:rPr>
                <w:sz w:val="20"/>
                <w:szCs w:val="20"/>
              </w:rPr>
              <w:t xml:space="preserve"> </w:t>
            </w:r>
            <w:r w:rsidR="004A3876" w:rsidRPr="004A3876">
              <w:rPr>
                <w:sz w:val="20"/>
                <w:szCs w:val="20"/>
              </w:rPr>
              <w:fldChar w:fldCharType="begin"/>
            </w:r>
            <w:r w:rsidR="004A3876" w:rsidRPr="004A3876">
              <w:rPr>
                <w:sz w:val="20"/>
                <w:szCs w:val="20"/>
              </w:rPr>
              <w:instrText xml:space="preserve"> ADDIN ZOTERO_ITEM CSL_CITATION {"citationID":"qRrzLep2","properties":{"formattedCitation":"(Hudson and Bergh\\uc0\\u228{}user 2023)","plainCitation":"(Hudson and Berghäuser 2023)","noteIndex":0},"citationItems":[{"id":194,"uris":["http://zotero.org/users/12782561/items/WYTBMKXP"],"itemData":{"id":194,"type":"article-journal","abstract":"Property-level flood resilience is an important element of managing current and future flood risk. Government-provided flood protection infrastructure alone cannot fully prevent flood impacts. Property-level flood resilience can aid in the management of risk through two interconnected avenues of individual action. The first is through risk transfer (insurance), which provides postdisaster compensation so that the recovery process is enhanced. The second is through propertylevel resilience measures, which are strategies aimed at limiting flood damage. Well-designed insurance schemes could incentivise insurance policyholders to employ additional property-level flood resilience measures. However, insurance can equally be argued to disincentivise the employment of property-level flood resilience measures, as the policyholder's losses will be compensated by an insurance company. This latter impact has been referred to as moral hazard, and its systematic presence in disaster insurance markets jeopardizes the industry's sustainability. However, the presence of moral hazard is context dependent. Therefore, it is necessary to study whether moral hazard is present to understand how resilient society is. We study the presence of moral hazard in Germany using a panel dataset, resulting from a longitudinal survey following a flood in 2013. The panel provides insights into dynamic mechanisms concerning moral hazard that would remain hidden in a cross-sectional survey, a dataset that is more widely used in the current literature. We did not find indications for the presence of moral hazard in Germany overall, but a continuing positive association between insurance purchases and the employment of flood resilience measures despite the overall increasing coverage rates.","container-title":"International Journal of Disaster Risk Reduction","DOI":"10.1016/j.ijdrr.2022.103480","ISSN":"22124209","journalAbbreviation":"International Journal of Disaster Risk Reduction","language":"en","page":"103480","source":"DOI.org (Crossref)","title":"Investigating moral hazard and property-level flood resilience measures through panel data from Germany","volume":"84","author":[{"family":"Hudson","given":"Paul"},{"family":"Berghäuser","given":"Lisa"}],"issued":{"date-parts":[["2023",1]]}}}],"schema":"https://github.com/citation-style-language/schema/raw/master/csl-citation.json"} </w:instrText>
            </w:r>
            <w:r w:rsidR="004A3876" w:rsidRPr="004A3876">
              <w:rPr>
                <w:sz w:val="20"/>
                <w:szCs w:val="20"/>
              </w:rPr>
              <w:fldChar w:fldCharType="separate"/>
            </w:r>
            <w:r w:rsidR="004A3876" w:rsidRPr="004A3876">
              <w:rPr>
                <w:sz w:val="20"/>
              </w:rPr>
              <w:t>(Hudson and Berghäuser 2023)</w:t>
            </w:r>
            <w:r w:rsidR="004A3876" w:rsidRPr="004A3876">
              <w:rPr>
                <w:sz w:val="20"/>
                <w:szCs w:val="20"/>
              </w:rPr>
              <w:fldChar w:fldCharType="end"/>
            </w:r>
            <w:r w:rsidRPr="004A3876">
              <w:rPr>
                <w:sz w:val="20"/>
                <w:szCs w:val="20"/>
              </w:rPr>
              <w:t>.</w:t>
            </w:r>
          </w:p>
        </w:tc>
      </w:tr>
    </w:tbl>
    <w:p w14:paraId="0596CB49" w14:textId="6E70D898" w:rsidR="004A3876" w:rsidRPr="004A3876" w:rsidRDefault="004A3876" w:rsidP="004A3876">
      <w:pPr>
        <w:ind w:firstLine="0"/>
        <w:rPr>
          <w:b/>
          <w:bCs/>
        </w:rPr>
      </w:pPr>
      <w:bookmarkStart w:id="0" w:name="_GoBack"/>
      <w:bookmarkEnd w:id="0"/>
      <w:r w:rsidRPr="004A3876">
        <w:rPr>
          <w:b/>
          <w:bCs/>
        </w:rPr>
        <w:lastRenderedPageBreak/>
        <w:t>REFERENCES</w:t>
      </w:r>
    </w:p>
    <w:p w14:paraId="7EF1D1B5" w14:textId="77777777" w:rsidR="004A3876" w:rsidRPr="004A3876" w:rsidRDefault="004A3876" w:rsidP="004A3876">
      <w:pPr>
        <w:ind w:firstLine="0"/>
        <w:rPr>
          <w:b/>
          <w:bCs/>
        </w:rPr>
      </w:pPr>
    </w:p>
    <w:p w14:paraId="05016A0B" w14:textId="77777777" w:rsidR="004A3876" w:rsidRPr="004A3876" w:rsidRDefault="004A3876" w:rsidP="008F69E7">
      <w:pPr>
        <w:ind w:left="540" w:hanging="480"/>
        <w:rPr>
          <w:sz w:val="20"/>
          <w:szCs w:val="20"/>
          <w:lang w:val="en-US"/>
        </w:rPr>
      </w:pPr>
      <w:r w:rsidRPr="004A3876">
        <w:rPr>
          <w:sz w:val="20"/>
          <w:szCs w:val="20"/>
          <w:lang w:val="en-US"/>
        </w:rPr>
        <w:t>Abdullaev I, Kazbekov J, Manthritilake H, Jumaboev K (2010) Water User Groups in Central Asia: Emerging Form of Collective Action in Irrigation Water Management. Water Resour Manag 24:1029–1043. https://doi.org/10.1007/s11269-009-9484-4</w:t>
      </w:r>
    </w:p>
    <w:p w14:paraId="224DD627" w14:textId="77777777" w:rsidR="004A3876" w:rsidRPr="004A3876" w:rsidRDefault="004A3876" w:rsidP="008F69E7">
      <w:pPr>
        <w:ind w:left="540" w:hanging="480"/>
        <w:rPr>
          <w:sz w:val="20"/>
          <w:szCs w:val="20"/>
          <w:lang w:val="en-US"/>
        </w:rPr>
      </w:pPr>
      <w:r w:rsidRPr="004A3876">
        <w:rPr>
          <w:sz w:val="20"/>
          <w:szCs w:val="20"/>
          <w:lang w:val="en-US"/>
        </w:rPr>
        <w:t>Adger WN, Dessai S, Goulden M, et al (2009) Are there social limits to adaptation to climate change? Clim Change 93:335–354. https://doi.org/10.1007/s10584-008-9520-z</w:t>
      </w:r>
    </w:p>
    <w:p w14:paraId="1F1D6BD0" w14:textId="77777777" w:rsidR="004A3876" w:rsidRPr="004A3876" w:rsidRDefault="004A3876" w:rsidP="008F69E7">
      <w:pPr>
        <w:ind w:left="540" w:hanging="480"/>
        <w:rPr>
          <w:sz w:val="20"/>
          <w:szCs w:val="20"/>
          <w:lang w:val="en-US"/>
        </w:rPr>
      </w:pPr>
      <w:r w:rsidRPr="004A3876">
        <w:rPr>
          <w:sz w:val="20"/>
          <w:szCs w:val="20"/>
          <w:lang w:val="en-US"/>
        </w:rPr>
        <w:t>Di Baldassarre G, Martinez F, Kalantari Z, Viglione A (2017) Drought and flood in the Anthropocene: Feedback mechanisms in reservoir operation. Earth Sys Dyn 8:225–233. https://doi.org/10.5194/esd-8-225-2017</w:t>
      </w:r>
    </w:p>
    <w:p w14:paraId="46BDD5A4" w14:textId="77777777" w:rsidR="004A3876" w:rsidRPr="004A3876" w:rsidRDefault="004A3876" w:rsidP="008F69E7">
      <w:pPr>
        <w:ind w:left="540" w:hanging="480"/>
        <w:rPr>
          <w:sz w:val="20"/>
          <w:szCs w:val="20"/>
          <w:lang w:val="en-US"/>
        </w:rPr>
      </w:pPr>
      <w:r w:rsidRPr="004A3876">
        <w:rPr>
          <w:sz w:val="20"/>
          <w:szCs w:val="20"/>
          <w:lang w:val="en-US"/>
        </w:rPr>
        <w:t>Di Baldassarre G, Viglione A, Carr G, et al (2015) Debates-Perspectives on socio-hydrology: Capturing feedbacks between physical and social processes. Water Resour Res 51:4770–4781. https://doi.org/10.1002/2014WR016416</w:t>
      </w:r>
    </w:p>
    <w:p w14:paraId="7BB9CE90" w14:textId="77777777" w:rsidR="004A3876" w:rsidRPr="004A3876" w:rsidRDefault="004A3876" w:rsidP="008F69E7">
      <w:pPr>
        <w:ind w:left="540" w:hanging="480"/>
        <w:rPr>
          <w:sz w:val="20"/>
          <w:szCs w:val="20"/>
          <w:lang w:val="en-US"/>
        </w:rPr>
      </w:pPr>
      <w:r w:rsidRPr="004A3876">
        <w:rPr>
          <w:sz w:val="20"/>
          <w:szCs w:val="20"/>
          <w:lang w:val="en-US"/>
        </w:rPr>
        <w:t>Dow K, Berkhout F, Preston BL, et al (2013) Limits to adaptation. Nat Clim Chang 3:305–307. https://doi.org/10.1038/nclimate1847</w:t>
      </w:r>
    </w:p>
    <w:p w14:paraId="22367049" w14:textId="77777777" w:rsidR="004A3876" w:rsidRPr="004A3876" w:rsidRDefault="004A3876" w:rsidP="008F69E7">
      <w:pPr>
        <w:ind w:left="540" w:hanging="480"/>
        <w:rPr>
          <w:sz w:val="20"/>
          <w:szCs w:val="20"/>
          <w:lang w:val="en-US"/>
        </w:rPr>
      </w:pPr>
      <w:r w:rsidRPr="004A3876">
        <w:rPr>
          <w:sz w:val="20"/>
          <w:szCs w:val="20"/>
          <w:lang w:val="en-US"/>
        </w:rPr>
        <w:t>Gleick PH, Palaniappan M (2010) Peak water limits to freshwater withdrawal and use. Proc Natl Acad Sci U S A 107:11155–11162. https://doi.org/10.1073/pnas.1004812107</w:t>
      </w:r>
    </w:p>
    <w:p w14:paraId="1D7E71AB" w14:textId="77777777" w:rsidR="004A3876" w:rsidRPr="004A3876" w:rsidRDefault="004A3876" w:rsidP="004A3876">
      <w:pPr>
        <w:ind w:left="540" w:hanging="480"/>
        <w:rPr>
          <w:sz w:val="20"/>
          <w:szCs w:val="20"/>
          <w:lang w:val="en-US"/>
        </w:rPr>
      </w:pPr>
      <w:r w:rsidRPr="004A3876">
        <w:rPr>
          <w:sz w:val="20"/>
          <w:szCs w:val="20"/>
          <w:lang w:val="en-US"/>
        </w:rPr>
        <w:t>Hudson P, Berghäuser L (2023) Investigating moral hazard and property-level flood resilience measures through panel data from Germany. International Journal of Disaster Risk Reduction 84:103480. https://doi.org/10.1016/j.ijdrr.2022.103480</w:t>
      </w:r>
    </w:p>
    <w:p w14:paraId="16DB7C19" w14:textId="77777777" w:rsidR="004A3876" w:rsidRPr="004A3876" w:rsidRDefault="004A3876" w:rsidP="008F69E7">
      <w:pPr>
        <w:ind w:left="540" w:hanging="480"/>
        <w:rPr>
          <w:sz w:val="20"/>
          <w:szCs w:val="20"/>
          <w:lang w:val="en-US"/>
        </w:rPr>
      </w:pPr>
      <w:r w:rsidRPr="004A3876">
        <w:rPr>
          <w:sz w:val="20"/>
          <w:szCs w:val="20"/>
          <w:lang w:val="pt-BR"/>
        </w:rPr>
        <w:t xml:space="preserve">Juhola S, Glaas E, Linnér B-O, Neset T-S (2016) Redefining maladaptation. </w:t>
      </w:r>
      <w:r w:rsidRPr="004A3876">
        <w:rPr>
          <w:sz w:val="20"/>
          <w:szCs w:val="20"/>
          <w:lang w:val="en-US"/>
        </w:rPr>
        <w:t xml:space="preserve">Environ Sci Policy 55:135–140. https://doi.org/10.1016/j.envsci.2015.09.014 </w:t>
      </w:r>
    </w:p>
    <w:p w14:paraId="7D348FCA" w14:textId="77777777" w:rsidR="004A3876" w:rsidRPr="004A3876" w:rsidRDefault="004A3876" w:rsidP="008F69E7">
      <w:pPr>
        <w:ind w:left="540" w:hanging="480"/>
        <w:rPr>
          <w:sz w:val="20"/>
          <w:szCs w:val="20"/>
          <w:lang w:val="en-US"/>
        </w:rPr>
      </w:pPr>
      <w:r w:rsidRPr="004A3876">
        <w:rPr>
          <w:sz w:val="20"/>
          <w:szCs w:val="20"/>
          <w:lang w:val="en-US"/>
        </w:rPr>
        <w:t>Kandasamy J, Sounthararajah D, Sivabalan P, et al (2014) Socio-hydrologic drivers of the pendulum swing between agricultural development and environmental health: a case study from Murrumbidgee River basin, Australia. Hydrol Earth Syst Sci 18:1027–1041. https://doi.org/10.5194/hess-18-1027-2014</w:t>
      </w:r>
    </w:p>
    <w:p w14:paraId="647D27E0" w14:textId="77777777" w:rsidR="004A3876" w:rsidRPr="004A3876" w:rsidRDefault="004A3876" w:rsidP="008F69E7">
      <w:pPr>
        <w:ind w:left="540" w:hanging="480"/>
        <w:rPr>
          <w:sz w:val="20"/>
          <w:szCs w:val="20"/>
          <w:lang w:val="en-US"/>
        </w:rPr>
      </w:pPr>
      <w:r w:rsidRPr="004A3876">
        <w:rPr>
          <w:sz w:val="20"/>
          <w:szCs w:val="20"/>
          <w:lang w:val="en-US"/>
        </w:rPr>
        <w:t>Parijs P Van, Boudon R, Elster J (1982) Perverse Effects and Social Contradictions: Analytical Vindication of Dialectics? Br J Sociol 33:589. https://doi.org/10.2307/589364</w:t>
      </w:r>
    </w:p>
    <w:p w14:paraId="306FA101" w14:textId="77777777" w:rsidR="004A3876" w:rsidRPr="004A3876" w:rsidRDefault="004A3876" w:rsidP="008F69E7">
      <w:pPr>
        <w:ind w:left="540" w:hanging="480"/>
        <w:rPr>
          <w:sz w:val="20"/>
          <w:szCs w:val="20"/>
          <w:lang w:val="en-US"/>
        </w:rPr>
      </w:pPr>
      <w:r w:rsidRPr="004A3876">
        <w:rPr>
          <w:sz w:val="20"/>
          <w:szCs w:val="20"/>
          <w:lang w:val="en-US"/>
        </w:rPr>
        <w:t>Stern DI (2004) The Rise and Fall of the Environmental Kuznets Curve. World Dev 32:1419–1439. https://doi.org/10.1016/j.worlddev.2004.03.004</w:t>
      </w:r>
    </w:p>
    <w:p w14:paraId="45807B08" w14:textId="77777777" w:rsidR="004A3876" w:rsidRPr="004A3876" w:rsidRDefault="004A3876" w:rsidP="008F69E7">
      <w:pPr>
        <w:ind w:left="540" w:hanging="480"/>
        <w:rPr>
          <w:sz w:val="20"/>
          <w:szCs w:val="20"/>
          <w:lang w:val="en-US"/>
        </w:rPr>
      </w:pPr>
      <w:r w:rsidRPr="004A3876">
        <w:rPr>
          <w:sz w:val="20"/>
          <w:szCs w:val="20"/>
          <w:lang w:val="pt-BR"/>
        </w:rPr>
        <w:t xml:space="preserve">Tadeu ND, Sinisgalli PAA (2019) Escalas da injustiça hídrica: estudo de caso em Ilhabela – Litoral Norte de São Paulo. </w:t>
      </w:r>
      <w:r w:rsidRPr="004A3876">
        <w:rPr>
          <w:sz w:val="20"/>
          <w:szCs w:val="20"/>
          <w:lang w:val="en-US"/>
        </w:rPr>
        <w:t>Desenvolvimento e Meio Ambiente 52:48–67. https://doi.org/10.5380/dma.v52i0.66732</w:t>
      </w:r>
    </w:p>
    <w:p w14:paraId="1F31F330" w14:textId="77777777" w:rsidR="00AA2514" w:rsidRPr="004A3876" w:rsidRDefault="00AA2514" w:rsidP="00AA2514">
      <w:pPr>
        <w:ind w:left="540" w:hanging="480"/>
        <w:rPr>
          <w:sz w:val="20"/>
          <w:szCs w:val="20"/>
          <w:lang w:val="en-US"/>
        </w:rPr>
      </w:pPr>
      <w:r w:rsidRPr="004A3876">
        <w:rPr>
          <w:sz w:val="20"/>
          <w:szCs w:val="20"/>
          <w:lang w:val="en-US"/>
        </w:rPr>
        <w:t>Berbel J, Gutiérrez-Martín C, Rodríguez-Díaz JA, et al (2015) Literature Review on Rebound Effect of Water Saving Measures and Analysis of a Spanish Case Study. Water Resour Manag 29:663–678. https://doi.org/10.1007/s11269-014-0839-0</w:t>
      </w:r>
    </w:p>
    <w:p w14:paraId="5D13FF18" w14:textId="77777777" w:rsidR="00AA2514" w:rsidRPr="004A3876" w:rsidRDefault="00AA2514" w:rsidP="00AA2514">
      <w:pPr>
        <w:ind w:left="540" w:hanging="480"/>
        <w:rPr>
          <w:sz w:val="20"/>
          <w:szCs w:val="20"/>
          <w:lang w:val="en-US"/>
        </w:rPr>
      </w:pPr>
      <w:r w:rsidRPr="004A3876">
        <w:rPr>
          <w:sz w:val="20"/>
          <w:szCs w:val="20"/>
          <w:lang w:val="en-US"/>
        </w:rPr>
        <w:t>Grafton RQ, Williams J, Perry CJ, et al (2018) The paradox of irrigation efficiency. Sci (1979) 361:748–750. https://doi.org/10.1126/science.aat9314</w:t>
      </w:r>
    </w:p>
    <w:p w14:paraId="609BA6EF" w14:textId="77777777" w:rsidR="00AA2514" w:rsidRPr="004A3876" w:rsidRDefault="00AA2514" w:rsidP="00AA2514">
      <w:pPr>
        <w:ind w:left="540" w:hanging="480"/>
        <w:rPr>
          <w:sz w:val="20"/>
          <w:szCs w:val="20"/>
          <w:lang w:val="en-US"/>
        </w:rPr>
      </w:pPr>
      <w:r w:rsidRPr="004A3876">
        <w:rPr>
          <w:sz w:val="20"/>
          <w:szCs w:val="20"/>
          <w:lang w:val="en-US"/>
        </w:rPr>
        <w:t xml:space="preserve">Scott CA, Vicuña S, Blanco-Gutiérrez I, et al (2014) Irrigation efficiency and water-policy implications for river basin resilience. Hydrol Earth Syst Sci 18:1339–1348. </w:t>
      </w:r>
      <w:hyperlink r:id="rId6">
        <w:r w:rsidRPr="004A3876">
          <w:rPr>
            <w:color w:val="0000FF"/>
            <w:sz w:val="20"/>
            <w:szCs w:val="20"/>
            <w:u w:val="single"/>
            <w:lang w:val="en-US"/>
          </w:rPr>
          <w:t>https://doi.org/10.5194/hess-18-1339-2014</w:t>
        </w:r>
      </w:hyperlink>
    </w:p>
    <w:p w14:paraId="569CE9B1" w14:textId="77777777" w:rsidR="00AA2514" w:rsidRPr="004A3876" w:rsidRDefault="00AA2514" w:rsidP="00AA2514">
      <w:pPr>
        <w:ind w:left="540" w:hanging="480"/>
        <w:rPr>
          <w:sz w:val="20"/>
          <w:szCs w:val="20"/>
          <w:lang w:val="pt-BR"/>
        </w:rPr>
      </w:pPr>
      <w:r w:rsidRPr="004A3876">
        <w:rPr>
          <w:sz w:val="20"/>
          <w:szCs w:val="20"/>
          <w:lang w:val="en-US"/>
        </w:rPr>
        <w:t xml:space="preserve">Kallis G (2010) Coevolution in water resource development. </w:t>
      </w:r>
      <w:r w:rsidRPr="004A3876">
        <w:rPr>
          <w:sz w:val="20"/>
          <w:szCs w:val="20"/>
          <w:lang w:val="pt-BR"/>
        </w:rPr>
        <w:t>Ecol Econ 69:796–809. https://doi.org/10.1016/j.ecolecon.2008.07.025</w:t>
      </w:r>
    </w:p>
    <w:p w14:paraId="4399124D" w14:textId="6ECA21DE" w:rsidR="008F69E7" w:rsidRPr="004A3876" w:rsidRDefault="00AA2514" w:rsidP="008F69E7">
      <w:pPr>
        <w:ind w:left="540" w:hanging="480"/>
        <w:rPr>
          <w:sz w:val="20"/>
          <w:szCs w:val="20"/>
          <w:lang w:val="en-US"/>
        </w:rPr>
      </w:pPr>
      <w:r w:rsidRPr="004A3876">
        <w:rPr>
          <w:sz w:val="20"/>
          <w:szCs w:val="20"/>
          <w:lang w:val="en-US"/>
        </w:rPr>
        <w:t>Gohari A, Eslamian S, Mirchi A, et al (2013) Water transfer as a solution to water shortage: A fix that can Backfire. J Hydrol (Amst) 491:23–39. https://doi.org/10.1016/j.jhydrol.2013.03.021</w:t>
      </w:r>
    </w:p>
    <w:p w14:paraId="024430FD" w14:textId="77777777" w:rsidR="00AA2514" w:rsidRPr="004A3876" w:rsidRDefault="00AA2514" w:rsidP="00AA2514">
      <w:pPr>
        <w:ind w:left="540" w:hanging="480"/>
        <w:rPr>
          <w:sz w:val="20"/>
          <w:szCs w:val="20"/>
          <w:lang w:val="en-US"/>
        </w:rPr>
      </w:pPr>
      <w:r w:rsidRPr="004A3876">
        <w:rPr>
          <w:sz w:val="20"/>
          <w:szCs w:val="20"/>
          <w:lang w:val="en-US"/>
        </w:rPr>
        <w:lastRenderedPageBreak/>
        <w:t>Kidwai A, Saraph A (2016) Use of Archetypal Structures in Urban Dynamics. Syst Pract Action Res 29:583–595. https://doi.org/10.1007/s11213-016-9382-7</w:t>
      </w:r>
    </w:p>
    <w:p w14:paraId="1317D953" w14:textId="77777777" w:rsidR="00AA2514" w:rsidRPr="004A3876" w:rsidRDefault="00AA2514" w:rsidP="00AA2514">
      <w:pPr>
        <w:ind w:left="540" w:hanging="480"/>
        <w:rPr>
          <w:sz w:val="20"/>
          <w:szCs w:val="20"/>
          <w:lang w:val="en-US"/>
        </w:rPr>
      </w:pPr>
      <w:r w:rsidRPr="004A3876">
        <w:rPr>
          <w:sz w:val="20"/>
          <w:szCs w:val="20"/>
          <w:lang w:val="en-US"/>
        </w:rPr>
        <w:t>Burby RJ (2006) Hurricane Katrina and the Paradoxes of Government Disaster Policy: Bringing About Wise Governmental Decisions for Hazardous Areas. Ann Am Acad Pol Soc Sci 604:171–191. https://doi.org/10.1177/0002716205284676</w:t>
      </w:r>
    </w:p>
    <w:p w14:paraId="61626752" w14:textId="77777777" w:rsidR="00AA2514" w:rsidRPr="004A3876" w:rsidRDefault="00AA2514" w:rsidP="00AA2514">
      <w:pPr>
        <w:ind w:left="540" w:hanging="480"/>
        <w:rPr>
          <w:sz w:val="20"/>
          <w:szCs w:val="20"/>
          <w:lang w:val="en-US"/>
        </w:rPr>
      </w:pPr>
      <w:r w:rsidRPr="004A3876">
        <w:rPr>
          <w:sz w:val="20"/>
          <w:szCs w:val="20"/>
          <w:lang w:val="en-US"/>
        </w:rPr>
        <w:t>White GF (1945) Human Ajustment to floods: A Geographical aproach to the flood problem in the United States. Doctoral, University of Chicago</w:t>
      </w:r>
    </w:p>
    <w:p w14:paraId="3A16C541" w14:textId="77777777" w:rsidR="00AA2514" w:rsidRPr="004A3876" w:rsidRDefault="00AA2514" w:rsidP="00AA2514">
      <w:pPr>
        <w:ind w:left="540" w:hanging="480"/>
        <w:rPr>
          <w:sz w:val="20"/>
          <w:szCs w:val="20"/>
          <w:lang w:val="en-US"/>
        </w:rPr>
      </w:pPr>
      <w:r w:rsidRPr="004A3876">
        <w:rPr>
          <w:sz w:val="20"/>
          <w:szCs w:val="20"/>
          <w:lang w:val="en-US"/>
        </w:rPr>
        <w:t>Tobin GA (1995) The levee love affair: a stormy relationship? J Am Water Resour Assoc 31:359–367. https://doi.org/10.1111/j.1752-1688.1995.tb04025.x</w:t>
      </w:r>
    </w:p>
    <w:p w14:paraId="39579DEB" w14:textId="7100D26D" w:rsidR="00AA2514" w:rsidRPr="00C6715F" w:rsidRDefault="00AA2514" w:rsidP="00AA2514">
      <w:pPr>
        <w:ind w:left="540" w:hanging="480"/>
        <w:rPr>
          <w:sz w:val="20"/>
          <w:szCs w:val="20"/>
          <w:lang w:val="en-US"/>
        </w:rPr>
      </w:pPr>
      <w:r w:rsidRPr="004A3876">
        <w:rPr>
          <w:sz w:val="20"/>
          <w:szCs w:val="20"/>
          <w:lang w:val="en-US"/>
        </w:rPr>
        <w:t>Di Baldassarre G, Wanders N, AghaKouchak A, et al (2018) Water shortages worsened by reservoir effects. Nat Sustain 1:617–622. https://doi.org/10.1038/s41893-018-0159-0</w:t>
      </w:r>
    </w:p>
    <w:p w14:paraId="4D8347C8" w14:textId="0DCB4CE6" w:rsidR="00C16AED" w:rsidRPr="00AA2514" w:rsidRDefault="00C16AED" w:rsidP="006C1093">
      <w:pPr>
        <w:rPr>
          <w:lang w:val="en-US"/>
        </w:rPr>
      </w:pPr>
    </w:p>
    <w:sectPr w:rsidR="00C16AED" w:rsidRPr="00AA2514" w:rsidSect="003C17A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0D36F6"/>
    <w:multiLevelType w:val="multilevel"/>
    <w:tmpl w:val="62968B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G2MDG0NDAxMjS2sDRS0lEKTi0uzszPAykwrAUAFbzQcSwAAAA="/>
  </w:docVars>
  <w:rsids>
    <w:rsidRoot w:val="00DC5214"/>
    <w:rsid w:val="000A432D"/>
    <w:rsid w:val="002017A9"/>
    <w:rsid w:val="002E0947"/>
    <w:rsid w:val="003C17A4"/>
    <w:rsid w:val="003D4CD5"/>
    <w:rsid w:val="003F409E"/>
    <w:rsid w:val="004A3876"/>
    <w:rsid w:val="006C1093"/>
    <w:rsid w:val="00771CF1"/>
    <w:rsid w:val="008D4AB4"/>
    <w:rsid w:val="008F69E7"/>
    <w:rsid w:val="00A4670D"/>
    <w:rsid w:val="00AA2514"/>
    <w:rsid w:val="00C16AED"/>
    <w:rsid w:val="00CE45B3"/>
    <w:rsid w:val="00D019AF"/>
    <w:rsid w:val="00D01ED2"/>
    <w:rsid w:val="00D273D0"/>
    <w:rsid w:val="00DC5214"/>
    <w:rsid w:val="00E42D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A06B0"/>
  <w15:chartTrackingRefBased/>
  <w15:docId w15:val="{614CA2AB-F906-41D0-865D-E32928FB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214"/>
    <w:pPr>
      <w:spacing w:after="0" w:line="360" w:lineRule="auto"/>
      <w:ind w:firstLine="709"/>
      <w:jc w:val="both"/>
    </w:pPr>
    <w:rPr>
      <w:rFonts w:ascii="Times New Roman" w:eastAsia="Batang" w:hAnsi="Times New Roman" w:cs="Times New Roman"/>
      <w:kern w:val="0"/>
      <w:sz w:val="24"/>
      <w:szCs w:val="24"/>
      <w:lang w:val="en-IE" w:eastAsia="ko-KR"/>
    </w:rPr>
  </w:style>
  <w:style w:type="paragraph" w:styleId="Heading1">
    <w:name w:val="heading 1"/>
    <w:basedOn w:val="Normal"/>
    <w:next w:val="Normal"/>
    <w:link w:val="Heading1Char"/>
    <w:uiPriority w:val="9"/>
    <w:qFormat/>
    <w:rsid w:val="004A38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5214"/>
    <w:pPr>
      <w:keepNext/>
      <w:keepLines/>
      <w:spacing w:before="40"/>
      <w:ind w:left="720" w:hanging="7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C5214"/>
    <w:rPr>
      <w:rFonts w:ascii="Times New Roman" w:eastAsia="Batang" w:hAnsi="Times New Roman" w:cs="Times New Roman"/>
      <w:b/>
      <w:kern w:val="0"/>
      <w:sz w:val="24"/>
      <w:szCs w:val="24"/>
      <w:lang w:val="en-IE" w:eastAsia="ko-KR"/>
    </w:rPr>
  </w:style>
  <w:style w:type="paragraph" w:styleId="CommentText">
    <w:name w:val="annotation text"/>
    <w:basedOn w:val="Normal"/>
    <w:link w:val="CommentTextChar"/>
    <w:uiPriority w:val="99"/>
    <w:unhideWhenUsed/>
    <w:rsid w:val="00DC5214"/>
    <w:pPr>
      <w:spacing w:line="240" w:lineRule="auto"/>
    </w:pPr>
    <w:rPr>
      <w:sz w:val="20"/>
      <w:szCs w:val="20"/>
    </w:rPr>
  </w:style>
  <w:style w:type="character" w:customStyle="1" w:styleId="CommentTextChar">
    <w:name w:val="Comment Text Char"/>
    <w:basedOn w:val="DefaultParagraphFont"/>
    <w:link w:val="CommentText"/>
    <w:uiPriority w:val="99"/>
    <w:rsid w:val="00DC5214"/>
    <w:rPr>
      <w:rFonts w:ascii="Times New Roman" w:eastAsia="Batang" w:hAnsi="Times New Roman" w:cs="Times New Roman"/>
      <w:kern w:val="0"/>
      <w:sz w:val="20"/>
      <w:szCs w:val="20"/>
      <w:lang w:val="en-IE" w:eastAsia="ko-KR"/>
    </w:rPr>
  </w:style>
  <w:style w:type="character" w:styleId="CommentReference">
    <w:name w:val="annotation reference"/>
    <w:uiPriority w:val="99"/>
    <w:semiHidden/>
    <w:unhideWhenUsed/>
    <w:rsid w:val="00DC5214"/>
    <w:rPr>
      <w:sz w:val="16"/>
      <w:szCs w:val="16"/>
    </w:rPr>
  </w:style>
  <w:style w:type="character" w:styleId="Hyperlink">
    <w:name w:val="Hyperlink"/>
    <w:uiPriority w:val="99"/>
    <w:unhideWhenUsed/>
    <w:rsid w:val="00DC5214"/>
    <w:rPr>
      <w:color w:val="0000FF"/>
      <w:u w:val="single"/>
    </w:rPr>
  </w:style>
  <w:style w:type="character" w:customStyle="1" w:styleId="value">
    <w:name w:val="value"/>
    <w:rsid w:val="00DC5214"/>
  </w:style>
  <w:style w:type="paragraph" w:styleId="Bibliography">
    <w:name w:val="Bibliography"/>
    <w:basedOn w:val="Normal"/>
    <w:next w:val="Normal"/>
    <w:uiPriority w:val="37"/>
    <w:unhideWhenUsed/>
    <w:rsid w:val="00C16AED"/>
    <w:pPr>
      <w:spacing w:after="240" w:line="240" w:lineRule="auto"/>
      <w:ind w:left="720" w:hanging="720"/>
    </w:pPr>
  </w:style>
  <w:style w:type="character" w:customStyle="1" w:styleId="UnresolvedMention">
    <w:name w:val="Unresolved Mention"/>
    <w:basedOn w:val="DefaultParagraphFont"/>
    <w:uiPriority w:val="99"/>
    <w:semiHidden/>
    <w:unhideWhenUsed/>
    <w:rsid w:val="008F69E7"/>
    <w:rPr>
      <w:color w:val="605E5C"/>
      <w:shd w:val="clear" w:color="auto" w:fill="E1DFDD"/>
    </w:rPr>
  </w:style>
  <w:style w:type="character" w:customStyle="1" w:styleId="Heading1Char">
    <w:name w:val="Heading 1 Char"/>
    <w:basedOn w:val="DefaultParagraphFont"/>
    <w:link w:val="Heading1"/>
    <w:uiPriority w:val="9"/>
    <w:rsid w:val="004A3876"/>
    <w:rPr>
      <w:rFonts w:asciiTheme="majorHAnsi" w:eastAsiaTheme="majorEastAsia" w:hAnsiTheme="majorHAnsi" w:cstheme="majorBidi"/>
      <w:color w:val="2F5496" w:themeColor="accent1" w:themeShade="BF"/>
      <w:kern w:val="0"/>
      <w:sz w:val="32"/>
      <w:szCs w:val="32"/>
      <w:lang w:val="en-IE"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156094">
      <w:bodyDiv w:val="1"/>
      <w:marLeft w:val="0"/>
      <w:marRight w:val="0"/>
      <w:marTop w:val="0"/>
      <w:marBottom w:val="0"/>
      <w:divBdr>
        <w:top w:val="none" w:sz="0" w:space="0" w:color="auto"/>
        <w:left w:val="none" w:sz="0" w:space="0" w:color="auto"/>
        <w:bottom w:val="none" w:sz="0" w:space="0" w:color="auto"/>
        <w:right w:val="none" w:sz="0" w:space="0" w:color="auto"/>
      </w:divBdr>
    </w:div>
    <w:div w:id="180769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5194/hess-18-1339-20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0C23E-DB4D-4099-856C-7CF36B4F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1609</Words>
  <Characters>9177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Fusinato</dc:creator>
  <cp:keywords/>
  <dc:description/>
  <cp:lastModifiedBy>Mariana de Brito</cp:lastModifiedBy>
  <cp:revision>3</cp:revision>
  <dcterms:created xsi:type="dcterms:W3CDTF">2024-06-30T17:23:00Z</dcterms:created>
  <dcterms:modified xsi:type="dcterms:W3CDTF">2024-07-02T08:59:00Z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id="YQxJzAUa"/&gt;&lt;style id="http://www.zotero.org/styles/natural-hazards" hasBibliography="1" bibliographyStyleHasBeenSet="1"/&gt;&lt;prefs&gt;&lt;pref name="fieldType" value="Field"/&gt;&lt;/prefs&gt;&lt;/data&gt;</vt:lpwstr>
  </property>
</Properties>
</file>