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6E1B76" w14:textId="0F1F1461" w:rsidR="002452A2" w:rsidRPr="00295AEF" w:rsidRDefault="00295AEF">
      <w:pPr>
        <w:rPr>
          <w:rFonts w:ascii="Calibri" w:hAnsi="Calibri" w:cs="Calibri"/>
          <w:b/>
          <w:bCs/>
          <w:u w:val="single"/>
        </w:rPr>
      </w:pPr>
      <w:r w:rsidRPr="00295AEF">
        <w:rPr>
          <w:rFonts w:ascii="Calibri" w:hAnsi="Calibri" w:cs="Calibri"/>
          <w:b/>
          <w:bCs/>
          <w:u w:val="single"/>
        </w:rPr>
        <w:t>Supplementary Information – definitions of resilience provided by research participants</w:t>
      </w:r>
    </w:p>
    <w:p w14:paraId="499CE91C" w14:textId="77777777" w:rsidR="00295AEF" w:rsidRPr="00295AEF" w:rsidRDefault="00295AEF">
      <w:pPr>
        <w:rPr>
          <w:rFonts w:ascii="Calibri" w:hAnsi="Calibri" w:cs="Calibri"/>
        </w:rPr>
      </w:pPr>
    </w:p>
    <w:tbl>
      <w:tblPr>
        <w:tblStyle w:val="PlainTable2"/>
        <w:tblW w:w="5000" w:type="pct"/>
        <w:tblLook w:val="04A0" w:firstRow="1" w:lastRow="0" w:firstColumn="1" w:lastColumn="0" w:noHBand="0" w:noVBand="1"/>
      </w:tblPr>
      <w:tblGrid>
        <w:gridCol w:w="952"/>
        <w:gridCol w:w="2063"/>
        <w:gridCol w:w="2378"/>
        <w:gridCol w:w="6820"/>
        <w:gridCol w:w="1745"/>
      </w:tblGrid>
      <w:tr w:rsidR="00295AEF" w:rsidRPr="00295AEF" w14:paraId="3DD67E0B" w14:textId="77777777" w:rsidTr="007016D8">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341" w:type="pct"/>
            <w:shd w:val="clear" w:color="auto" w:fill="BFBFBF" w:themeFill="background1" w:themeFillShade="BF"/>
            <w:vAlign w:val="center"/>
            <w:hideMark/>
          </w:tcPr>
          <w:p w14:paraId="0F19920A" w14:textId="77777777" w:rsidR="00295AEF" w:rsidRPr="00295AEF" w:rsidRDefault="00295AEF" w:rsidP="007016D8">
            <w:pPr>
              <w:spacing w:before="0" w:after="0" w:line="240" w:lineRule="auto"/>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Code</w:t>
            </w:r>
          </w:p>
        </w:tc>
        <w:tc>
          <w:tcPr>
            <w:tcW w:w="739" w:type="pct"/>
            <w:shd w:val="clear" w:color="auto" w:fill="BFBFBF" w:themeFill="background1" w:themeFillShade="BF"/>
            <w:vAlign w:val="center"/>
            <w:hideMark/>
          </w:tcPr>
          <w:p w14:paraId="630430D2" w14:textId="77777777" w:rsidR="00295AEF" w:rsidRPr="00295AEF" w:rsidRDefault="00295AEF" w:rsidP="007016D8">
            <w:pPr>
              <w:spacing w:before="0" w:after="0"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Role</w:t>
            </w:r>
          </w:p>
        </w:tc>
        <w:tc>
          <w:tcPr>
            <w:tcW w:w="852" w:type="pct"/>
            <w:shd w:val="clear" w:color="auto" w:fill="BFBFBF" w:themeFill="background1" w:themeFillShade="BF"/>
            <w:vAlign w:val="center"/>
            <w:hideMark/>
          </w:tcPr>
          <w:p w14:paraId="32D1C20E" w14:textId="77777777" w:rsidR="00295AEF" w:rsidRPr="00295AEF" w:rsidRDefault="00295AEF" w:rsidP="007016D8">
            <w:pPr>
              <w:spacing w:before="0" w:after="0"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Organisation</w:t>
            </w:r>
          </w:p>
        </w:tc>
        <w:tc>
          <w:tcPr>
            <w:tcW w:w="2443" w:type="pct"/>
            <w:shd w:val="clear" w:color="auto" w:fill="BFBFBF" w:themeFill="background1" w:themeFillShade="BF"/>
            <w:vAlign w:val="center"/>
            <w:hideMark/>
          </w:tcPr>
          <w:p w14:paraId="340E5DCA" w14:textId="77777777" w:rsidR="00295AEF" w:rsidRPr="00295AEF" w:rsidRDefault="00295AEF" w:rsidP="007016D8">
            <w:pPr>
              <w:spacing w:before="0" w:after="0"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Definition</w:t>
            </w:r>
          </w:p>
        </w:tc>
        <w:tc>
          <w:tcPr>
            <w:tcW w:w="625" w:type="pct"/>
            <w:shd w:val="clear" w:color="auto" w:fill="BFBFBF" w:themeFill="background1" w:themeFillShade="BF"/>
            <w:vAlign w:val="center"/>
            <w:hideMark/>
          </w:tcPr>
          <w:p w14:paraId="2630EBE5" w14:textId="77777777" w:rsidR="00295AEF" w:rsidRPr="00295AEF" w:rsidRDefault="00295AEF" w:rsidP="007016D8">
            <w:pPr>
              <w:spacing w:before="0" w:after="0"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Characteristics</w:t>
            </w:r>
          </w:p>
        </w:tc>
      </w:tr>
      <w:tr w:rsidR="00295AEF" w:rsidRPr="00295AEF" w14:paraId="2F1CEA51" w14:textId="77777777" w:rsidTr="007016D8">
        <w:trPr>
          <w:cnfStyle w:val="000000100000" w:firstRow="0" w:lastRow="0" w:firstColumn="0" w:lastColumn="0" w:oddVBand="0" w:evenVBand="0" w:oddHBand="1" w:evenHBand="0" w:firstRowFirstColumn="0" w:firstRowLastColumn="0" w:lastRowFirstColumn="0" w:lastRowLastColumn="0"/>
          <w:trHeight w:val="805"/>
        </w:trPr>
        <w:tc>
          <w:tcPr>
            <w:cnfStyle w:val="001000000000" w:firstRow="0" w:lastRow="0" w:firstColumn="1" w:lastColumn="0" w:oddVBand="0" w:evenVBand="0" w:oddHBand="0" w:evenHBand="0" w:firstRowFirstColumn="0" w:firstRowLastColumn="0" w:lastRowFirstColumn="0" w:lastRowLastColumn="0"/>
            <w:tcW w:w="341" w:type="pct"/>
            <w:vAlign w:val="center"/>
            <w:hideMark/>
          </w:tcPr>
          <w:p w14:paraId="68AE3B45" w14:textId="77777777" w:rsidR="00295AEF" w:rsidRPr="00295AEF" w:rsidRDefault="00295AEF" w:rsidP="007016D8">
            <w:pPr>
              <w:spacing w:before="0" w:after="0" w:line="240" w:lineRule="auto"/>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RO89</w:t>
            </w:r>
          </w:p>
        </w:tc>
        <w:tc>
          <w:tcPr>
            <w:tcW w:w="739" w:type="pct"/>
            <w:vAlign w:val="center"/>
            <w:hideMark/>
          </w:tcPr>
          <w:p w14:paraId="7F24A6A5"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Chair of LRF</w:t>
            </w:r>
          </w:p>
        </w:tc>
        <w:tc>
          <w:tcPr>
            <w:tcW w:w="852" w:type="pct"/>
            <w:vAlign w:val="center"/>
            <w:hideMark/>
          </w:tcPr>
          <w:p w14:paraId="3C1A0D50"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LRF, Local Authority</w:t>
            </w:r>
          </w:p>
        </w:tc>
        <w:tc>
          <w:tcPr>
            <w:tcW w:w="2443" w:type="pct"/>
            <w:vAlign w:val="center"/>
            <w:hideMark/>
          </w:tcPr>
          <w:p w14:paraId="4E7D9C30"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i/>
                <w:iCs/>
                <w:color w:val="000000"/>
                <w:sz w:val="20"/>
                <w:szCs w:val="20"/>
                <w:lang w:eastAsia="en-GB"/>
              </w:rPr>
            </w:pPr>
            <w:r w:rsidRPr="00295AEF">
              <w:rPr>
                <w:rFonts w:ascii="Calibri" w:eastAsia="Times New Roman" w:hAnsi="Calibri" w:cs="Calibri"/>
                <w:i/>
                <w:iCs/>
                <w:color w:val="000000"/>
                <w:sz w:val="20"/>
                <w:szCs w:val="20"/>
                <w:lang w:eastAsia="en-GB"/>
              </w:rPr>
              <w:t>It's the ability of the community impacted to get through.</w:t>
            </w:r>
          </w:p>
        </w:tc>
        <w:tc>
          <w:tcPr>
            <w:tcW w:w="625" w:type="pct"/>
            <w:vAlign w:val="center"/>
            <w:hideMark/>
          </w:tcPr>
          <w:p w14:paraId="43DDCD61"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Robustness, Survival</w:t>
            </w:r>
          </w:p>
        </w:tc>
      </w:tr>
      <w:tr w:rsidR="00295AEF" w:rsidRPr="00295AEF" w14:paraId="583F638B" w14:textId="77777777" w:rsidTr="007016D8">
        <w:trPr>
          <w:trHeight w:val="957"/>
        </w:trPr>
        <w:tc>
          <w:tcPr>
            <w:cnfStyle w:val="001000000000" w:firstRow="0" w:lastRow="0" w:firstColumn="1" w:lastColumn="0" w:oddVBand="0" w:evenVBand="0" w:oddHBand="0" w:evenHBand="0" w:firstRowFirstColumn="0" w:firstRowLastColumn="0" w:lastRowFirstColumn="0" w:lastRowLastColumn="0"/>
            <w:tcW w:w="341" w:type="pct"/>
            <w:vAlign w:val="center"/>
            <w:hideMark/>
          </w:tcPr>
          <w:p w14:paraId="0355E45F" w14:textId="77777777" w:rsidR="00295AEF" w:rsidRPr="00295AEF" w:rsidRDefault="00295AEF" w:rsidP="007016D8">
            <w:pPr>
              <w:spacing w:before="0" w:after="0" w:line="240" w:lineRule="auto"/>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WJ292</w:t>
            </w:r>
          </w:p>
        </w:tc>
        <w:tc>
          <w:tcPr>
            <w:tcW w:w="739" w:type="pct"/>
            <w:vAlign w:val="center"/>
            <w:hideMark/>
          </w:tcPr>
          <w:p w14:paraId="1126B3CE"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Emergency Preparedness, Resilience and Response Manager</w:t>
            </w:r>
          </w:p>
        </w:tc>
        <w:tc>
          <w:tcPr>
            <w:tcW w:w="852" w:type="pct"/>
            <w:vAlign w:val="center"/>
            <w:hideMark/>
          </w:tcPr>
          <w:p w14:paraId="14CCAE85"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Ambulance Service</w:t>
            </w:r>
          </w:p>
        </w:tc>
        <w:tc>
          <w:tcPr>
            <w:tcW w:w="2443" w:type="pct"/>
            <w:vAlign w:val="center"/>
            <w:hideMark/>
          </w:tcPr>
          <w:p w14:paraId="0B4FDF23"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i/>
                <w:iCs/>
                <w:color w:val="000000"/>
                <w:sz w:val="20"/>
                <w:szCs w:val="20"/>
                <w:lang w:eastAsia="en-GB"/>
              </w:rPr>
            </w:pPr>
            <w:r w:rsidRPr="00295AEF">
              <w:rPr>
                <w:rFonts w:ascii="Calibri" w:eastAsia="Times New Roman" w:hAnsi="Calibri" w:cs="Calibri"/>
                <w:i/>
                <w:iCs/>
                <w:color w:val="000000"/>
                <w:sz w:val="20"/>
                <w:szCs w:val="20"/>
                <w:lang w:eastAsia="en-GB"/>
              </w:rPr>
              <w:t xml:space="preserve">It means that you've got to be ready for everything, you've got to be prepared for any emergency or anything that comes your way […] you know your business continuity plan. </w:t>
            </w:r>
          </w:p>
        </w:tc>
        <w:tc>
          <w:tcPr>
            <w:tcW w:w="625" w:type="pct"/>
            <w:vAlign w:val="center"/>
            <w:hideMark/>
          </w:tcPr>
          <w:p w14:paraId="12300BBF"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Systems, Business Continuity</w:t>
            </w:r>
          </w:p>
        </w:tc>
      </w:tr>
      <w:tr w:rsidR="00295AEF" w:rsidRPr="00295AEF" w14:paraId="5777BB47" w14:textId="77777777" w:rsidTr="007016D8">
        <w:trPr>
          <w:cnfStyle w:val="000000100000" w:firstRow="0" w:lastRow="0" w:firstColumn="0" w:lastColumn="0" w:oddVBand="0" w:evenVBand="0" w:oddHBand="1" w:evenHBand="0" w:firstRowFirstColumn="0" w:firstRowLastColumn="0" w:lastRowFirstColumn="0" w:lastRowLastColumn="0"/>
          <w:trHeight w:val="1126"/>
        </w:trPr>
        <w:tc>
          <w:tcPr>
            <w:cnfStyle w:val="001000000000" w:firstRow="0" w:lastRow="0" w:firstColumn="1" w:lastColumn="0" w:oddVBand="0" w:evenVBand="0" w:oddHBand="0" w:evenHBand="0" w:firstRowFirstColumn="0" w:firstRowLastColumn="0" w:lastRowFirstColumn="0" w:lastRowLastColumn="0"/>
            <w:tcW w:w="341" w:type="pct"/>
            <w:vAlign w:val="center"/>
            <w:hideMark/>
          </w:tcPr>
          <w:p w14:paraId="12DABE70" w14:textId="77777777" w:rsidR="00295AEF" w:rsidRPr="00295AEF" w:rsidRDefault="00295AEF" w:rsidP="007016D8">
            <w:pPr>
              <w:spacing w:before="0" w:after="0" w:line="240" w:lineRule="auto"/>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DZ320</w:t>
            </w:r>
          </w:p>
        </w:tc>
        <w:tc>
          <w:tcPr>
            <w:tcW w:w="739" w:type="pct"/>
            <w:vAlign w:val="center"/>
            <w:hideMark/>
          </w:tcPr>
          <w:p w14:paraId="6CC89A96"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Emergency and Business Continuity Planning Officer</w:t>
            </w:r>
          </w:p>
        </w:tc>
        <w:tc>
          <w:tcPr>
            <w:tcW w:w="852" w:type="pct"/>
            <w:vAlign w:val="center"/>
            <w:hideMark/>
          </w:tcPr>
          <w:p w14:paraId="66DF6CC4"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NHS Foundation Trust</w:t>
            </w:r>
          </w:p>
        </w:tc>
        <w:tc>
          <w:tcPr>
            <w:tcW w:w="2443" w:type="pct"/>
            <w:vAlign w:val="center"/>
            <w:hideMark/>
          </w:tcPr>
          <w:p w14:paraId="245C9A35"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i/>
                <w:iCs/>
                <w:color w:val="000000"/>
                <w:sz w:val="20"/>
                <w:szCs w:val="20"/>
                <w:lang w:eastAsia="en-GB"/>
              </w:rPr>
            </w:pPr>
            <w:r w:rsidRPr="00295AEF">
              <w:rPr>
                <w:rFonts w:ascii="Calibri" w:eastAsia="Times New Roman" w:hAnsi="Calibri" w:cs="Calibri"/>
                <w:i/>
                <w:iCs/>
                <w:color w:val="000000"/>
                <w:sz w:val="20"/>
                <w:szCs w:val="20"/>
                <w:lang w:eastAsia="en-GB"/>
              </w:rPr>
              <w:t>We are looking at maintaining our operational capabilities where we can certainly those critical kind of functions within the trust which enable us to provide the health support to people that we need to.</w:t>
            </w:r>
          </w:p>
        </w:tc>
        <w:tc>
          <w:tcPr>
            <w:tcW w:w="625" w:type="pct"/>
            <w:vAlign w:val="center"/>
            <w:hideMark/>
          </w:tcPr>
          <w:p w14:paraId="0F94B887"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Robustness, Systems, Business Continuity</w:t>
            </w:r>
          </w:p>
        </w:tc>
      </w:tr>
      <w:tr w:rsidR="00295AEF" w:rsidRPr="00295AEF" w14:paraId="08C1E412" w14:textId="77777777" w:rsidTr="007016D8">
        <w:trPr>
          <w:trHeight w:val="1276"/>
        </w:trPr>
        <w:tc>
          <w:tcPr>
            <w:cnfStyle w:val="001000000000" w:firstRow="0" w:lastRow="0" w:firstColumn="1" w:lastColumn="0" w:oddVBand="0" w:evenVBand="0" w:oddHBand="0" w:evenHBand="0" w:firstRowFirstColumn="0" w:firstRowLastColumn="0" w:lastRowFirstColumn="0" w:lastRowLastColumn="0"/>
            <w:tcW w:w="341" w:type="pct"/>
            <w:vAlign w:val="center"/>
            <w:hideMark/>
          </w:tcPr>
          <w:p w14:paraId="27588164" w14:textId="77777777" w:rsidR="00295AEF" w:rsidRPr="00295AEF" w:rsidRDefault="00295AEF" w:rsidP="007016D8">
            <w:pPr>
              <w:spacing w:before="0" w:after="0" w:line="240" w:lineRule="auto"/>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TD334</w:t>
            </w:r>
          </w:p>
        </w:tc>
        <w:tc>
          <w:tcPr>
            <w:tcW w:w="739" w:type="pct"/>
            <w:vAlign w:val="center"/>
            <w:hideMark/>
          </w:tcPr>
          <w:p w14:paraId="096890B4"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Community Resilience Officer</w:t>
            </w:r>
          </w:p>
        </w:tc>
        <w:tc>
          <w:tcPr>
            <w:tcW w:w="852" w:type="pct"/>
            <w:vAlign w:val="center"/>
            <w:hideMark/>
          </w:tcPr>
          <w:p w14:paraId="0B8405C9"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Environment Agency</w:t>
            </w:r>
          </w:p>
        </w:tc>
        <w:tc>
          <w:tcPr>
            <w:tcW w:w="2443" w:type="pct"/>
            <w:vAlign w:val="center"/>
            <w:hideMark/>
          </w:tcPr>
          <w:p w14:paraId="62DEB2EE"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i/>
                <w:iCs/>
                <w:color w:val="000000"/>
                <w:sz w:val="20"/>
                <w:szCs w:val="20"/>
                <w:lang w:eastAsia="en-GB"/>
              </w:rPr>
            </w:pPr>
            <w:r w:rsidRPr="00295AEF">
              <w:rPr>
                <w:rFonts w:ascii="Calibri" w:eastAsia="Times New Roman" w:hAnsi="Calibri" w:cs="Calibri"/>
                <w:i/>
                <w:iCs/>
                <w:color w:val="000000"/>
                <w:sz w:val="20"/>
                <w:szCs w:val="20"/>
                <w:lang w:eastAsia="en-GB"/>
              </w:rPr>
              <w:t xml:space="preserve">Communities which are well aware, educated and given the tools to ensure their own safety, where possible safeguard their well-being during crisis events, but also to be able to bounce back to pre-crisis state fairly quickly with minimal damage to their lives and their homes and everything around that. </w:t>
            </w:r>
          </w:p>
        </w:tc>
        <w:tc>
          <w:tcPr>
            <w:tcW w:w="625" w:type="pct"/>
            <w:vAlign w:val="center"/>
            <w:hideMark/>
          </w:tcPr>
          <w:p w14:paraId="1483362C"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Robustness, Bounce-Back</w:t>
            </w:r>
          </w:p>
        </w:tc>
      </w:tr>
      <w:tr w:rsidR="00295AEF" w:rsidRPr="00295AEF" w14:paraId="48EAA9A6" w14:textId="77777777" w:rsidTr="007016D8">
        <w:trPr>
          <w:cnfStyle w:val="000000100000" w:firstRow="0" w:lastRow="0" w:firstColumn="0" w:lastColumn="0" w:oddVBand="0" w:evenVBand="0" w:oddHBand="1" w:evenHBand="0" w:firstRowFirstColumn="0" w:firstRowLastColumn="0" w:lastRowFirstColumn="0" w:lastRowLastColumn="0"/>
          <w:trHeight w:val="1670"/>
        </w:trPr>
        <w:tc>
          <w:tcPr>
            <w:cnfStyle w:val="001000000000" w:firstRow="0" w:lastRow="0" w:firstColumn="1" w:lastColumn="0" w:oddVBand="0" w:evenVBand="0" w:oddHBand="0" w:evenHBand="0" w:firstRowFirstColumn="0" w:firstRowLastColumn="0" w:lastRowFirstColumn="0" w:lastRowLastColumn="0"/>
            <w:tcW w:w="341" w:type="pct"/>
            <w:vAlign w:val="center"/>
            <w:hideMark/>
          </w:tcPr>
          <w:p w14:paraId="11572EDB" w14:textId="77777777" w:rsidR="00295AEF" w:rsidRPr="00295AEF" w:rsidRDefault="00295AEF" w:rsidP="007016D8">
            <w:pPr>
              <w:spacing w:before="0" w:after="0" w:line="240" w:lineRule="auto"/>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ZE99</w:t>
            </w:r>
          </w:p>
        </w:tc>
        <w:tc>
          <w:tcPr>
            <w:tcW w:w="739" w:type="pct"/>
            <w:vAlign w:val="center"/>
            <w:hideMark/>
          </w:tcPr>
          <w:p w14:paraId="58AD3065"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Senior Manager, Emergency Preparedness, Resilience and Response</w:t>
            </w:r>
          </w:p>
        </w:tc>
        <w:tc>
          <w:tcPr>
            <w:tcW w:w="852" w:type="pct"/>
            <w:vAlign w:val="center"/>
            <w:hideMark/>
          </w:tcPr>
          <w:p w14:paraId="07266C4F"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NHS Foundation Trust</w:t>
            </w:r>
          </w:p>
        </w:tc>
        <w:tc>
          <w:tcPr>
            <w:tcW w:w="2443" w:type="pct"/>
            <w:vAlign w:val="center"/>
            <w:hideMark/>
          </w:tcPr>
          <w:p w14:paraId="6815CF77"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i/>
                <w:iCs/>
                <w:color w:val="000000"/>
                <w:sz w:val="20"/>
                <w:szCs w:val="20"/>
                <w:lang w:eastAsia="en-GB"/>
              </w:rPr>
            </w:pPr>
            <w:r w:rsidRPr="00295AEF">
              <w:rPr>
                <w:rFonts w:ascii="Calibri" w:eastAsia="Times New Roman" w:hAnsi="Calibri" w:cs="Calibri"/>
                <w:i/>
                <w:iCs/>
                <w:color w:val="000000"/>
                <w:sz w:val="20"/>
                <w:szCs w:val="20"/>
                <w:lang w:eastAsia="en-GB"/>
              </w:rPr>
              <w:t>Prior to COVID, resilience was seen as business continuity. It was that that organisational resilience, how we managed to carry on in the face of disruptive events […] over the last two years it started to expand to include the resilience of staff, the resilience of estates, to actually carry out the role. […] on top of that the resilience of staff themselves too. Are they able to carry on and do their job and bounce back from what they're involved with</w:t>
            </w:r>
          </w:p>
        </w:tc>
        <w:tc>
          <w:tcPr>
            <w:tcW w:w="625" w:type="pct"/>
            <w:vAlign w:val="center"/>
            <w:hideMark/>
          </w:tcPr>
          <w:p w14:paraId="27C4EDFC"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Systems, Robustness, Bounce-Back</w:t>
            </w:r>
          </w:p>
        </w:tc>
      </w:tr>
      <w:tr w:rsidR="00295AEF" w:rsidRPr="00295AEF" w14:paraId="6BE2FDEE" w14:textId="77777777" w:rsidTr="007016D8">
        <w:trPr>
          <w:trHeight w:val="1123"/>
        </w:trPr>
        <w:tc>
          <w:tcPr>
            <w:cnfStyle w:val="001000000000" w:firstRow="0" w:lastRow="0" w:firstColumn="1" w:lastColumn="0" w:oddVBand="0" w:evenVBand="0" w:oddHBand="0" w:evenHBand="0" w:firstRowFirstColumn="0" w:firstRowLastColumn="0" w:lastRowFirstColumn="0" w:lastRowLastColumn="0"/>
            <w:tcW w:w="341" w:type="pct"/>
            <w:vAlign w:val="center"/>
            <w:hideMark/>
          </w:tcPr>
          <w:p w14:paraId="6D7B1B9F" w14:textId="77777777" w:rsidR="00295AEF" w:rsidRPr="00295AEF" w:rsidRDefault="00295AEF" w:rsidP="007016D8">
            <w:pPr>
              <w:spacing w:before="0" w:after="0" w:line="240" w:lineRule="auto"/>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EH413</w:t>
            </w:r>
          </w:p>
        </w:tc>
        <w:tc>
          <w:tcPr>
            <w:tcW w:w="739" w:type="pct"/>
            <w:vAlign w:val="center"/>
            <w:hideMark/>
          </w:tcPr>
          <w:p w14:paraId="26DF8632"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Community Development Officer Manager</w:t>
            </w:r>
          </w:p>
        </w:tc>
        <w:tc>
          <w:tcPr>
            <w:tcW w:w="852" w:type="pct"/>
            <w:vAlign w:val="center"/>
            <w:hideMark/>
          </w:tcPr>
          <w:p w14:paraId="682BE123"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Local Authority</w:t>
            </w:r>
          </w:p>
        </w:tc>
        <w:tc>
          <w:tcPr>
            <w:tcW w:w="2443" w:type="pct"/>
            <w:vAlign w:val="center"/>
            <w:hideMark/>
          </w:tcPr>
          <w:p w14:paraId="7668E5A9"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i/>
                <w:iCs/>
                <w:color w:val="000000"/>
                <w:sz w:val="20"/>
                <w:szCs w:val="20"/>
                <w:lang w:eastAsia="en-GB"/>
              </w:rPr>
            </w:pPr>
            <w:r w:rsidRPr="00295AEF">
              <w:rPr>
                <w:rFonts w:ascii="Calibri" w:eastAsia="Times New Roman" w:hAnsi="Calibri" w:cs="Calibri"/>
                <w:i/>
                <w:iCs/>
                <w:color w:val="000000"/>
                <w:sz w:val="20"/>
                <w:szCs w:val="20"/>
                <w:lang w:eastAsia="en-GB"/>
              </w:rPr>
              <w:t>Resilience, means to me a strong community, that has depth. [...] resilience, you can smell resilience when it emerges</w:t>
            </w:r>
          </w:p>
        </w:tc>
        <w:tc>
          <w:tcPr>
            <w:tcW w:w="625" w:type="pct"/>
            <w:vAlign w:val="center"/>
            <w:hideMark/>
          </w:tcPr>
          <w:p w14:paraId="313F7E74"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Community, Connections, Intangibles</w:t>
            </w:r>
          </w:p>
        </w:tc>
      </w:tr>
      <w:tr w:rsidR="00295AEF" w:rsidRPr="00295AEF" w14:paraId="3EF2B15C" w14:textId="77777777" w:rsidTr="007016D8">
        <w:trPr>
          <w:cnfStyle w:val="000000100000" w:firstRow="0" w:lastRow="0" w:firstColumn="0" w:lastColumn="0" w:oddVBand="0" w:evenVBand="0" w:oddHBand="1" w:evenHBand="0" w:firstRowFirstColumn="0" w:firstRowLastColumn="0" w:lastRowFirstColumn="0" w:lastRowLastColumn="0"/>
          <w:trHeight w:val="1201"/>
        </w:trPr>
        <w:tc>
          <w:tcPr>
            <w:cnfStyle w:val="001000000000" w:firstRow="0" w:lastRow="0" w:firstColumn="1" w:lastColumn="0" w:oddVBand="0" w:evenVBand="0" w:oddHBand="0" w:evenHBand="0" w:firstRowFirstColumn="0" w:firstRowLastColumn="0" w:lastRowFirstColumn="0" w:lastRowLastColumn="0"/>
            <w:tcW w:w="341" w:type="pct"/>
            <w:vAlign w:val="center"/>
            <w:hideMark/>
          </w:tcPr>
          <w:p w14:paraId="7E3492D6" w14:textId="77777777" w:rsidR="00295AEF" w:rsidRPr="00295AEF" w:rsidRDefault="00295AEF" w:rsidP="007016D8">
            <w:pPr>
              <w:spacing w:before="0" w:after="0" w:line="240" w:lineRule="auto"/>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lastRenderedPageBreak/>
              <w:t>WV24</w:t>
            </w:r>
          </w:p>
        </w:tc>
        <w:tc>
          <w:tcPr>
            <w:tcW w:w="739" w:type="pct"/>
            <w:vAlign w:val="center"/>
            <w:hideMark/>
          </w:tcPr>
          <w:p w14:paraId="41F213DA"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Emergency Response Officer</w:t>
            </w:r>
          </w:p>
        </w:tc>
        <w:tc>
          <w:tcPr>
            <w:tcW w:w="852" w:type="pct"/>
            <w:vAlign w:val="center"/>
            <w:hideMark/>
          </w:tcPr>
          <w:p w14:paraId="7EF072A0"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British Red Cross</w:t>
            </w:r>
          </w:p>
        </w:tc>
        <w:tc>
          <w:tcPr>
            <w:tcW w:w="2443" w:type="pct"/>
            <w:vAlign w:val="center"/>
            <w:hideMark/>
          </w:tcPr>
          <w:p w14:paraId="696A5B8F"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i/>
                <w:iCs/>
                <w:color w:val="000000"/>
                <w:sz w:val="20"/>
                <w:szCs w:val="20"/>
                <w:lang w:eastAsia="en-GB"/>
              </w:rPr>
            </w:pPr>
            <w:r w:rsidRPr="00295AEF">
              <w:rPr>
                <w:rFonts w:ascii="Calibri" w:eastAsia="Times New Roman" w:hAnsi="Calibri" w:cs="Calibri"/>
                <w:i/>
                <w:iCs/>
                <w:color w:val="000000"/>
                <w:sz w:val="20"/>
                <w:szCs w:val="20"/>
                <w:lang w:eastAsia="en-GB"/>
              </w:rPr>
              <w:t>there's [a diagram] which has resilience in the centre and around it's a circle and then that represents at the top emergency response to an incident; there's then the recovery, there's then the learning from that, and then there's the preparedness going back to then the incident and in that some we would consider that resilience.</w:t>
            </w:r>
          </w:p>
        </w:tc>
        <w:tc>
          <w:tcPr>
            <w:tcW w:w="625" w:type="pct"/>
            <w:vAlign w:val="center"/>
            <w:hideMark/>
          </w:tcPr>
          <w:p w14:paraId="30476B78"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Emergency Response and Recovery</w:t>
            </w:r>
          </w:p>
        </w:tc>
      </w:tr>
      <w:tr w:rsidR="00295AEF" w:rsidRPr="00295AEF" w14:paraId="7F7910C0" w14:textId="77777777" w:rsidTr="007016D8">
        <w:trPr>
          <w:trHeight w:val="1626"/>
        </w:trPr>
        <w:tc>
          <w:tcPr>
            <w:cnfStyle w:val="001000000000" w:firstRow="0" w:lastRow="0" w:firstColumn="1" w:lastColumn="0" w:oddVBand="0" w:evenVBand="0" w:oddHBand="0" w:evenHBand="0" w:firstRowFirstColumn="0" w:firstRowLastColumn="0" w:lastRowFirstColumn="0" w:lastRowLastColumn="0"/>
            <w:tcW w:w="341" w:type="pct"/>
            <w:vAlign w:val="center"/>
            <w:hideMark/>
          </w:tcPr>
          <w:p w14:paraId="7F8AFD4B" w14:textId="77777777" w:rsidR="00295AEF" w:rsidRPr="00295AEF" w:rsidRDefault="00295AEF" w:rsidP="007016D8">
            <w:pPr>
              <w:spacing w:before="0" w:after="0" w:line="240" w:lineRule="auto"/>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VY190</w:t>
            </w:r>
          </w:p>
        </w:tc>
        <w:tc>
          <w:tcPr>
            <w:tcW w:w="739" w:type="pct"/>
            <w:vAlign w:val="center"/>
            <w:hideMark/>
          </w:tcPr>
          <w:p w14:paraId="12243583"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Area Manager – Prevention Protection and Engagement</w:t>
            </w:r>
          </w:p>
        </w:tc>
        <w:tc>
          <w:tcPr>
            <w:tcW w:w="852" w:type="pct"/>
            <w:vAlign w:val="center"/>
            <w:hideMark/>
          </w:tcPr>
          <w:p w14:paraId="1225A175"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Fire and Rescue Service</w:t>
            </w:r>
          </w:p>
        </w:tc>
        <w:tc>
          <w:tcPr>
            <w:tcW w:w="2443" w:type="pct"/>
            <w:vAlign w:val="center"/>
            <w:hideMark/>
          </w:tcPr>
          <w:p w14:paraId="48AFC831"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i/>
                <w:iCs/>
                <w:color w:val="000000"/>
                <w:sz w:val="20"/>
                <w:szCs w:val="20"/>
                <w:lang w:eastAsia="en-GB"/>
              </w:rPr>
            </w:pPr>
            <w:r w:rsidRPr="00295AEF">
              <w:rPr>
                <w:rFonts w:ascii="Calibri" w:eastAsia="Times New Roman" w:hAnsi="Calibri" w:cs="Calibri"/>
                <w:i/>
                <w:iCs/>
                <w:color w:val="000000"/>
                <w:sz w:val="20"/>
                <w:szCs w:val="20"/>
                <w:lang w:eastAsia="en-GB"/>
              </w:rPr>
              <w:t xml:space="preserve">The systems and the arrangements in place to respond to national level incidents […] For us, the basic understanding of that is the bounce back ability, so it in response to the critical incident, it's that the resilience […] How prepared are we as an organisation to be able to deal with that? And when we've dealt with it, how prepared are we to support the recovery as well? </w:t>
            </w:r>
          </w:p>
        </w:tc>
        <w:tc>
          <w:tcPr>
            <w:tcW w:w="625" w:type="pct"/>
            <w:vAlign w:val="center"/>
            <w:hideMark/>
          </w:tcPr>
          <w:p w14:paraId="1A9FCC9B"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Systems, Bounce-Back, Recovery</w:t>
            </w:r>
          </w:p>
        </w:tc>
      </w:tr>
      <w:tr w:rsidR="00295AEF" w:rsidRPr="00295AEF" w14:paraId="752FF29B" w14:textId="77777777" w:rsidTr="007016D8">
        <w:trPr>
          <w:cnfStyle w:val="000000100000" w:firstRow="0" w:lastRow="0" w:firstColumn="0" w:lastColumn="0" w:oddVBand="0" w:evenVBand="0" w:oddHBand="1" w:evenHBand="0" w:firstRowFirstColumn="0" w:firstRowLastColumn="0" w:lastRowFirstColumn="0" w:lastRowLastColumn="0"/>
          <w:trHeight w:val="1975"/>
        </w:trPr>
        <w:tc>
          <w:tcPr>
            <w:cnfStyle w:val="001000000000" w:firstRow="0" w:lastRow="0" w:firstColumn="1" w:lastColumn="0" w:oddVBand="0" w:evenVBand="0" w:oddHBand="0" w:evenHBand="0" w:firstRowFirstColumn="0" w:firstRowLastColumn="0" w:lastRowFirstColumn="0" w:lastRowLastColumn="0"/>
            <w:tcW w:w="341" w:type="pct"/>
            <w:vAlign w:val="center"/>
            <w:hideMark/>
          </w:tcPr>
          <w:p w14:paraId="628489AA" w14:textId="77777777" w:rsidR="00295AEF" w:rsidRPr="00295AEF" w:rsidRDefault="00295AEF" w:rsidP="007016D8">
            <w:pPr>
              <w:spacing w:before="0" w:after="0" w:line="240" w:lineRule="auto"/>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CI427</w:t>
            </w:r>
          </w:p>
        </w:tc>
        <w:tc>
          <w:tcPr>
            <w:tcW w:w="739" w:type="pct"/>
            <w:vAlign w:val="center"/>
            <w:hideMark/>
          </w:tcPr>
          <w:p w14:paraId="11A2189A"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Chief Executive</w:t>
            </w:r>
          </w:p>
        </w:tc>
        <w:tc>
          <w:tcPr>
            <w:tcW w:w="852" w:type="pct"/>
            <w:vAlign w:val="center"/>
            <w:hideMark/>
          </w:tcPr>
          <w:p w14:paraId="12967742"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Third Sector Body</w:t>
            </w:r>
          </w:p>
        </w:tc>
        <w:tc>
          <w:tcPr>
            <w:tcW w:w="2443" w:type="pct"/>
            <w:vAlign w:val="center"/>
            <w:hideMark/>
          </w:tcPr>
          <w:p w14:paraId="3169D201"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i/>
                <w:iCs/>
                <w:color w:val="000000"/>
                <w:sz w:val="20"/>
                <w:szCs w:val="20"/>
                <w:lang w:eastAsia="en-GB"/>
              </w:rPr>
            </w:pPr>
            <w:r w:rsidRPr="00295AEF">
              <w:rPr>
                <w:rFonts w:ascii="Calibri" w:eastAsia="Times New Roman" w:hAnsi="Calibri" w:cs="Calibri"/>
                <w:i/>
                <w:iCs/>
                <w:color w:val="000000"/>
                <w:sz w:val="20"/>
                <w:szCs w:val="20"/>
                <w:lang w:eastAsia="en-GB"/>
              </w:rPr>
              <w:t>So I guess there's just a general issue with the term resilience because it means lots of different things to us and I think I will shorthand for resilience is much more about the resilience of individuals to bounce back from issues that are kind of having a negative impact in some way shape or form […] but I guess specifically in terms of the LRF thinking about resilience around communities at large to be able to withstand the emergencies that might exist or risks that might exist within their communities</w:t>
            </w:r>
          </w:p>
        </w:tc>
        <w:tc>
          <w:tcPr>
            <w:tcW w:w="625" w:type="pct"/>
            <w:vAlign w:val="center"/>
            <w:hideMark/>
          </w:tcPr>
          <w:p w14:paraId="43AA3E97"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Community, Bounce-Back, Stressors</w:t>
            </w:r>
          </w:p>
        </w:tc>
      </w:tr>
      <w:tr w:rsidR="00295AEF" w:rsidRPr="00295AEF" w14:paraId="7C924B53" w14:textId="77777777" w:rsidTr="007016D8">
        <w:trPr>
          <w:trHeight w:val="1379"/>
        </w:trPr>
        <w:tc>
          <w:tcPr>
            <w:cnfStyle w:val="001000000000" w:firstRow="0" w:lastRow="0" w:firstColumn="1" w:lastColumn="0" w:oddVBand="0" w:evenVBand="0" w:oddHBand="0" w:evenHBand="0" w:firstRowFirstColumn="0" w:firstRowLastColumn="0" w:lastRowFirstColumn="0" w:lastRowLastColumn="0"/>
            <w:tcW w:w="341" w:type="pct"/>
            <w:vAlign w:val="center"/>
            <w:hideMark/>
          </w:tcPr>
          <w:p w14:paraId="4B7B16A6" w14:textId="77777777" w:rsidR="00295AEF" w:rsidRPr="00295AEF" w:rsidRDefault="00295AEF" w:rsidP="007016D8">
            <w:pPr>
              <w:spacing w:before="0" w:after="0" w:line="240" w:lineRule="auto"/>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OB151</w:t>
            </w:r>
          </w:p>
        </w:tc>
        <w:tc>
          <w:tcPr>
            <w:tcW w:w="739" w:type="pct"/>
            <w:vAlign w:val="center"/>
            <w:hideMark/>
          </w:tcPr>
          <w:p w14:paraId="4C20BF56"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Head of Assurance</w:t>
            </w:r>
          </w:p>
        </w:tc>
        <w:tc>
          <w:tcPr>
            <w:tcW w:w="852" w:type="pct"/>
            <w:vAlign w:val="center"/>
            <w:hideMark/>
          </w:tcPr>
          <w:p w14:paraId="1F5928B3"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Housing Association</w:t>
            </w:r>
          </w:p>
        </w:tc>
        <w:tc>
          <w:tcPr>
            <w:tcW w:w="2443" w:type="pct"/>
            <w:vAlign w:val="center"/>
            <w:hideMark/>
          </w:tcPr>
          <w:p w14:paraId="3A7B286E"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i/>
                <w:iCs/>
                <w:color w:val="000000"/>
                <w:sz w:val="20"/>
                <w:szCs w:val="20"/>
                <w:lang w:eastAsia="en-GB"/>
              </w:rPr>
            </w:pPr>
            <w:r w:rsidRPr="00295AEF">
              <w:rPr>
                <w:rFonts w:ascii="Calibri" w:eastAsia="Times New Roman" w:hAnsi="Calibri" w:cs="Calibri"/>
                <w:i/>
                <w:iCs/>
                <w:color w:val="000000"/>
                <w:sz w:val="20"/>
                <w:szCs w:val="20"/>
                <w:lang w:eastAsia="en-GB"/>
              </w:rPr>
              <w:t xml:space="preserve">We don't have it [a definition of resilience] built into any documents. I don't. […] I don't use resilience. I talk about local resilience managers and resilience coordinators, but haven't defined what we're trying to achieve. </w:t>
            </w:r>
          </w:p>
        </w:tc>
        <w:tc>
          <w:tcPr>
            <w:tcW w:w="625" w:type="pct"/>
            <w:vAlign w:val="center"/>
            <w:hideMark/>
          </w:tcPr>
          <w:p w14:paraId="21CACFCA"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Business Continuity</w:t>
            </w:r>
          </w:p>
        </w:tc>
      </w:tr>
      <w:tr w:rsidR="00295AEF" w:rsidRPr="00295AEF" w14:paraId="0AE1D420" w14:textId="77777777" w:rsidTr="007016D8">
        <w:trPr>
          <w:cnfStyle w:val="000000100000" w:firstRow="0" w:lastRow="0" w:firstColumn="0" w:lastColumn="0" w:oddVBand="0" w:evenVBand="0" w:oddHBand="1" w:evenHBand="0" w:firstRowFirstColumn="0" w:firstRowLastColumn="0" w:lastRowFirstColumn="0" w:lastRowLastColumn="0"/>
          <w:trHeight w:val="1285"/>
        </w:trPr>
        <w:tc>
          <w:tcPr>
            <w:cnfStyle w:val="001000000000" w:firstRow="0" w:lastRow="0" w:firstColumn="1" w:lastColumn="0" w:oddVBand="0" w:evenVBand="0" w:oddHBand="0" w:evenHBand="0" w:firstRowFirstColumn="0" w:firstRowLastColumn="0" w:lastRowFirstColumn="0" w:lastRowLastColumn="0"/>
            <w:tcW w:w="341" w:type="pct"/>
            <w:vAlign w:val="center"/>
            <w:hideMark/>
          </w:tcPr>
          <w:p w14:paraId="1360B248" w14:textId="77777777" w:rsidR="00295AEF" w:rsidRPr="00295AEF" w:rsidRDefault="00295AEF" w:rsidP="007016D8">
            <w:pPr>
              <w:spacing w:before="0" w:after="0" w:line="240" w:lineRule="auto"/>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EG259</w:t>
            </w:r>
          </w:p>
        </w:tc>
        <w:tc>
          <w:tcPr>
            <w:tcW w:w="739" w:type="pct"/>
            <w:vAlign w:val="center"/>
            <w:hideMark/>
          </w:tcPr>
          <w:p w14:paraId="7FA422D5"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Head of communities</w:t>
            </w:r>
          </w:p>
        </w:tc>
        <w:tc>
          <w:tcPr>
            <w:tcW w:w="852" w:type="pct"/>
            <w:vAlign w:val="center"/>
            <w:hideMark/>
          </w:tcPr>
          <w:p w14:paraId="56D94BCD"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Housing Association</w:t>
            </w:r>
          </w:p>
        </w:tc>
        <w:tc>
          <w:tcPr>
            <w:tcW w:w="2443" w:type="pct"/>
            <w:vAlign w:val="center"/>
            <w:hideMark/>
          </w:tcPr>
          <w:p w14:paraId="693DCC37"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i/>
                <w:iCs/>
                <w:color w:val="000000"/>
                <w:sz w:val="20"/>
                <w:szCs w:val="20"/>
                <w:lang w:eastAsia="en-GB"/>
              </w:rPr>
            </w:pPr>
            <w:r w:rsidRPr="00295AEF">
              <w:rPr>
                <w:rFonts w:ascii="Calibri" w:eastAsia="Times New Roman" w:hAnsi="Calibri" w:cs="Calibri"/>
                <w:i/>
                <w:iCs/>
                <w:color w:val="000000"/>
                <w:sz w:val="20"/>
                <w:szCs w:val="20"/>
                <w:lang w:eastAsia="en-GB"/>
              </w:rPr>
              <w:t xml:space="preserve">So resilience for me is very much about, it's about flexibility. It's a community that's able to adapt and it's about communities that are able to kind of face a challenge and not need necessarily huge interventions from organisations like us or local authorities or that kind of thing. </w:t>
            </w:r>
          </w:p>
        </w:tc>
        <w:tc>
          <w:tcPr>
            <w:tcW w:w="625" w:type="pct"/>
            <w:vAlign w:val="center"/>
            <w:hideMark/>
          </w:tcPr>
          <w:p w14:paraId="02D04488"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Community, Adaptation, Self-Reliance, Mutual Aid</w:t>
            </w:r>
          </w:p>
        </w:tc>
      </w:tr>
      <w:tr w:rsidR="00295AEF" w:rsidRPr="00295AEF" w14:paraId="5C44C7D0" w14:textId="77777777" w:rsidTr="007016D8">
        <w:trPr>
          <w:trHeight w:val="340"/>
        </w:trPr>
        <w:tc>
          <w:tcPr>
            <w:cnfStyle w:val="001000000000" w:firstRow="0" w:lastRow="0" w:firstColumn="1" w:lastColumn="0" w:oddVBand="0" w:evenVBand="0" w:oddHBand="0" w:evenHBand="0" w:firstRowFirstColumn="0" w:firstRowLastColumn="0" w:lastRowFirstColumn="0" w:lastRowLastColumn="0"/>
            <w:tcW w:w="341" w:type="pct"/>
            <w:shd w:val="clear" w:color="auto" w:fill="D9D9D9" w:themeFill="background1" w:themeFillShade="D9"/>
            <w:noWrap/>
            <w:vAlign w:val="center"/>
          </w:tcPr>
          <w:p w14:paraId="14938461" w14:textId="77777777" w:rsidR="00295AEF" w:rsidRPr="00295AEF" w:rsidRDefault="00295AEF" w:rsidP="007016D8">
            <w:pPr>
              <w:spacing w:before="0" w:after="0" w:line="240" w:lineRule="auto"/>
              <w:rPr>
                <w:rFonts w:ascii="Calibri" w:eastAsia="Times New Roman" w:hAnsi="Calibri" w:cs="Calibri"/>
                <w:color w:val="000000"/>
                <w:sz w:val="20"/>
                <w:szCs w:val="20"/>
                <w:lang w:eastAsia="en-GB"/>
              </w:rPr>
            </w:pPr>
          </w:p>
        </w:tc>
        <w:tc>
          <w:tcPr>
            <w:tcW w:w="739" w:type="pct"/>
            <w:shd w:val="clear" w:color="auto" w:fill="D9D9D9" w:themeFill="background1" w:themeFillShade="D9"/>
            <w:vAlign w:val="center"/>
          </w:tcPr>
          <w:p w14:paraId="7A4A42E9"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tcW w:w="852" w:type="pct"/>
            <w:shd w:val="clear" w:color="auto" w:fill="D9D9D9" w:themeFill="background1" w:themeFillShade="D9"/>
            <w:noWrap/>
            <w:vAlign w:val="center"/>
          </w:tcPr>
          <w:p w14:paraId="0DF5D2C1"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tcW w:w="2443" w:type="pct"/>
            <w:shd w:val="clear" w:color="auto" w:fill="D9D9D9" w:themeFill="background1" w:themeFillShade="D9"/>
            <w:vAlign w:val="center"/>
          </w:tcPr>
          <w:p w14:paraId="2AA2F9C6"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i/>
                <w:iCs/>
                <w:color w:val="000000"/>
                <w:sz w:val="20"/>
                <w:szCs w:val="20"/>
                <w:lang w:eastAsia="en-GB"/>
              </w:rPr>
            </w:pPr>
          </w:p>
        </w:tc>
        <w:tc>
          <w:tcPr>
            <w:tcW w:w="625" w:type="pct"/>
            <w:shd w:val="clear" w:color="auto" w:fill="D9D9D9" w:themeFill="background1" w:themeFillShade="D9"/>
            <w:vAlign w:val="center"/>
          </w:tcPr>
          <w:p w14:paraId="4954FB98"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r>
      <w:tr w:rsidR="00295AEF" w:rsidRPr="00295AEF" w14:paraId="4077F8B8" w14:textId="77777777" w:rsidTr="007016D8">
        <w:trPr>
          <w:cnfStyle w:val="000000100000" w:firstRow="0" w:lastRow="0" w:firstColumn="0" w:lastColumn="0" w:oddVBand="0" w:evenVBand="0" w:oddHBand="1" w:evenHBand="0" w:firstRowFirstColumn="0" w:firstRowLastColumn="0" w:lastRowFirstColumn="0" w:lastRowLastColumn="0"/>
          <w:trHeight w:val="1201"/>
        </w:trPr>
        <w:tc>
          <w:tcPr>
            <w:cnfStyle w:val="001000000000" w:firstRow="0" w:lastRow="0" w:firstColumn="1" w:lastColumn="0" w:oddVBand="0" w:evenVBand="0" w:oddHBand="0" w:evenHBand="0" w:firstRowFirstColumn="0" w:firstRowLastColumn="0" w:lastRowFirstColumn="0" w:lastRowLastColumn="0"/>
            <w:tcW w:w="341" w:type="pct"/>
            <w:noWrap/>
            <w:vAlign w:val="center"/>
            <w:hideMark/>
          </w:tcPr>
          <w:p w14:paraId="55B26F59" w14:textId="77777777" w:rsidR="00295AEF" w:rsidRPr="00295AEF" w:rsidRDefault="00295AEF" w:rsidP="007016D8">
            <w:pPr>
              <w:spacing w:before="0" w:after="0" w:line="240" w:lineRule="auto"/>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lastRenderedPageBreak/>
              <w:t>UY442</w:t>
            </w:r>
          </w:p>
        </w:tc>
        <w:tc>
          <w:tcPr>
            <w:tcW w:w="739" w:type="pct"/>
            <w:vAlign w:val="center"/>
          </w:tcPr>
          <w:p w14:paraId="39667BAE"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Local Resident</w:t>
            </w:r>
          </w:p>
        </w:tc>
        <w:tc>
          <w:tcPr>
            <w:tcW w:w="852" w:type="pct"/>
            <w:noWrap/>
            <w:vAlign w:val="center"/>
            <w:hideMark/>
          </w:tcPr>
          <w:p w14:paraId="2BA38D97"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Yarm</w:t>
            </w:r>
          </w:p>
        </w:tc>
        <w:tc>
          <w:tcPr>
            <w:tcW w:w="2443" w:type="pct"/>
            <w:vAlign w:val="center"/>
            <w:hideMark/>
          </w:tcPr>
          <w:p w14:paraId="3C7BA95B"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i/>
                <w:iCs/>
                <w:color w:val="000000"/>
                <w:sz w:val="20"/>
                <w:szCs w:val="20"/>
                <w:lang w:eastAsia="en-GB"/>
              </w:rPr>
            </w:pPr>
            <w:r w:rsidRPr="00295AEF">
              <w:rPr>
                <w:rFonts w:ascii="Calibri" w:eastAsia="Times New Roman" w:hAnsi="Calibri" w:cs="Calibri"/>
                <w:i/>
                <w:iCs/>
                <w:color w:val="000000"/>
                <w:sz w:val="20"/>
                <w:szCs w:val="20"/>
                <w:lang w:eastAsia="en-GB"/>
              </w:rPr>
              <w:t>Community resilience is being able to tackle whatever is thrown at you. I'm not saying cope, and I'm not saying put right, but to actually try and find a solution, it's the ability to work together to try and find a solution.</w:t>
            </w:r>
          </w:p>
        </w:tc>
        <w:tc>
          <w:tcPr>
            <w:tcW w:w="625" w:type="pct"/>
            <w:vAlign w:val="center"/>
            <w:hideMark/>
          </w:tcPr>
          <w:p w14:paraId="6F1CD72E"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Adaptation, Collective Action</w:t>
            </w:r>
          </w:p>
        </w:tc>
      </w:tr>
      <w:tr w:rsidR="00295AEF" w:rsidRPr="00295AEF" w14:paraId="04A95A41" w14:textId="77777777" w:rsidTr="007016D8">
        <w:trPr>
          <w:trHeight w:val="917"/>
        </w:trPr>
        <w:tc>
          <w:tcPr>
            <w:cnfStyle w:val="001000000000" w:firstRow="0" w:lastRow="0" w:firstColumn="1" w:lastColumn="0" w:oddVBand="0" w:evenVBand="0" w:oddHBand="0" w:evenHBand="0" w:firstRowFirstColumn="0" w:firstRowLastColumn="0" w:lastRowFirstColumn="0" w:lastRowLastColumn="0"/>
            <w:tcW w:w="341" w:type="pct"/>
            <w:noWrap/>
            <w:vAlign w:val="center"/>
            <w:hideMark/>
          </w:tcPr>
          <w:p w14:paraId="558D922B" w14:textId="77777777" w:rsidR="00295AEF" w:rsidRPr="00295AEF" w:rsidRDefault="00295AEF" w:rsidP="007016D8">
            <w:pPr>
              <w:spacing w:before="0" w:after="0" w:line="240" w:lineRule="auto"/>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YX12</w:t>
            </w:r>
          </w:p>
        </w:tc>
        <w:tc>
          <w:tcPr>
            <w:tcW w:w="739" w:type="pct"/>
            <w:vAlign w:val="center"/>
          </w:tcPr>
          <w:p w14:paraId="332D67F8"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Local Resident</w:t>
            </w:r>
          </w:p>
        </w:tc>
        <w:tc>
          <w:tcPr>
            <w:tcW w:w="852" w:type="pct"/>
            <w:noWrap/>
            <w:vAlign w:val="center"/>
            <w:hideMark/>
          </w:tcPr>
          <w:p w14:paraId="6FFA6198"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Yarm</w:t>
            </w:r>
          </w:p>
        </w:tc>
        <w:tc>
          <w:tcPr>
            <w:tcW w:w="2443" w:type="pct"/>
            <w:vAlign w:val="center"/>
            <w:hideMark/>
          </w:tcPr>
          <w:p w14:paraId="737EEF83"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i/>
                <w:iCs/>
                <w:color w:val="000000"/>
                <w:sz w:val="20"/>
                <w:szCs w:val="20"/>
                <w:lang w:eastAsia="en-GB"/>
              </w:rPr>
            </w:pPr>
            <w:r w:rsidRPr="00295AEF">
              <w:rPr>
                <w:rFonts w:ascii="Calibri" w:eastAsia="Times New Roman" w:hAnsi="Calibri" w:cs="Calibri"/>
                <w:i/>
                <w:iCs/>
                <w:color w:val="000000"/>
                <w:sz w:val="20"/>
                <w:szCs w:val="20"/>
                <w:lang w:eastAsia="en-GB"/>
              </w:rPr>
              <w:t>Strength in numbers, ability to bounce back in the event of setback, strong relationships and working together towards the same goal. […] Thinking in a similar way, so moving together [...] working together for united purpose. Not being overcome by something.</w:t>
            </w:r>
          </w:p>
        </w:tc>
        <w:tc>
          <w:tcPr>
            <w:tcW w:w="625" w:type="pct"/>
            <w:vAlign w:val="center"/>
            <w:hideMark/>
          </w:tcPr>
          <w:p w14:paraId="67B778FC"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Collective Action, Bounce-Back, Strong Relationships</w:t>
            </w:r>
          </w:p>
        </w:tc>
      </w:tr>
      <w:tr w:rsidR="00295AEF" w:rsidRPr="00295AEF" w14:paraId="488C4936" w14:textId="77777777" w:rsidTr="007016D8">
        <w:trPr>
          <w:cnfStyle w:val="000000100000" w:firstRow="0" w:lastRow="0" w:firstColumn="0" w:lastColumn="0" w:oddVBand="0" w:evenVBand="0" w:oddHBand="1" w:evenHBand="0" w:firstRowFirstColumn="0" w:firstRowLastColumn="0" w:lastRowFirstColumn="0" w:lastRowLastColumn="0"/>
          <w:trHeight w:val="1823"/>
        </w:trPr>
        <w:tc>
          <w:tcPr>
            <w:cnfStyle w:val="001000000000" w:firstRow="0" w:lastRow="0" w:firstColumn="1" w:lastColumn="0" w:oddVBand="0" w:evenVBand="0" w:oddHBand="0" w:evenHBand="0" w:firstRowFirstColumn="0" w:firstRowLastColumn="0" w:lastRowFirstColumn="0" w:lastRowLastColumn="0"/>
            <w:tcW w:w="341" w:type="pct"/>
            <w:noWrap/>
            <w:vAlign w:val="center"/>
            <w:hideMark/>
          </w:tcPr>
          <w:p w14:paraId="6FF82901" w14:textId="77777777" w:rsidR="00295AEF" w:rsidRPr="00295AEF" w:rsidRDefault="00295AEF" w:rsidP="007016D8">
            <w:pPr>
              <w:spacing w:before="0" w:after="0" w:line="240" w:lineRule="auto"/>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LE180</w:t>
            </w:r>
          </w:p>
        </w:tc>
        <w:tc>
          <w:tcPr>
            <w:tcW w:w="739" w:type="pct"/>
            <w:vAlign w:val="center"/>
          </w:tcPr>
          <w:p w14:paraId="1E4A10D0"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Local Resident</w:t>
            </w:r>
          </w:p>
        </w:tc>
        <w:tc>
          <w:tcPr>
            <w:tcW w:w="852" w:type="pct"/>
            <w:noWrap/>
            <w:vAlign w:val="center"/>
            <w:hideMark/>
          </w:tcPr>
          <w:p w14:paraId="1A73C25F"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Port Clarence</w:t>
            </w:r>
          </w:p>
        </w:tc>
        <w:tc>
          <w:tcPr>
            <w:tcW w:w="2443" w:type="pct"/>
            <w:vAlign w:val="center"/>
            <w:hideMark/>
          </w:tcPr>
          <w:p w14:paraId="65F482F0"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i/>
                <w:iCs/>
                <w:color w:val="000000"/>
                <w:sz w:val="20"/>
                <w:szCs w:val="20"/>
                <w:lang w:eastAsia="en-GB"/>
              </w:rPr>
            </w:pPr>
            <w:r w:rsidRPr="00295AEF">
              <w:rPr>
                <w:rFonts w:ascii="Calibri" w:eastAsia="Times New Roman" w:hAnsi="Calibri" w:cs="Calibri"/>
                <w:i/>
                <w:iCs/>
                <w:color w:val="000000"/>
                <w:sz w:val="20"/>
                <w:szCs w:val="20"/>
                <w:lang w:eastAsia="en-GB"/>
              </w:rPr>
              <w:t>Like I think it would probably mean people that don't want to share their information or things that are happening within their area. But I think that you're really resilient when people don't want to share information [...] I think that's what resilience would mean to me […] Like people like if somebody knew information that required help from a police officer, do you give that information, because you live in a close community? You don't know how that information sharing is going to affect you.</w:t>
            </w:r>
          </w:p>
        </w:tc>
        <w:tc>
          <w:tcPr>
            <w:tcW w:w="625" w:type="pct"/>
            <w:vAlign w:val="center"/>
            <w:hideMark/>
          </w:tcPr>
          <w:p w14:paraId="70501584"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Strong Relationships</w:t>
            </w:r>
          </w:p>
          <w:p w14:paraId="4B564B1C"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Self Sufficiency</w:t>
            </w:r>
          </w:p>
        </w:tc>
      </w:tr>
      <w:tr w:rsidR="00295AEF" w:rsidRPr="00295AEF" w14:paraId="1115C7D6" w14:textId="77777777" w:rsidTr="007016D8">
        <w:trPr>
          <w:trHeight w:val="340"/>
        </w:trPr>
        <w:tc>
          <w:tcPr>
            <w:cnfStyle w:val="001000000000" w:firstRow="0" w:lastRow="0" w:firstColumn="1" w:lastColumn="0" w:oddVBand="0" w:evenVBand="0" w:oddHBand="0" w:evenHBand="0" w:firstRowFirstColumn="0" w:firstRowLastColumn="0" w:lastRowFirstColumn="0" w:lastRowLastColumn="0"/>
            <w:tcW w:w="341" w:type="pct"/>
            <w:noWrap/>
            <w:vAlign w:val="center"/>
            <w:hideMark/>
          </w:tcPr>
          <w:p w14:paraId="48E186DE" w14:textId="77777777" w:rsidR="00295AEF" w:rsidRPr="00295AEF" w:rsidRDefault="00295AEF" w:rsidP="007016D8">
            <w:pPr>
              <w:spacing w:before="0" w:after="0" w:line="240" w:lineRule="auto"/>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AO373</w:t>
            </w:r>
          </w:p>
        </w:tc>
        <w:tc>
          <w:tcPr>
            <w:tcW w:w="739" w:type="pct"/>
            <w:vAlign w:val="center"/>
          </w:tcPr>
          <w:p w14:paraId="0EFFBBDB"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Local Resident</w:t>
            </w:r>
          </w:p>
        </w:tc>
        <w:tc>
          <w:tcPr>
            <w:tcW w:w="852" w:type="pct"/>
            <w:noWrap/>
            <w:vAlign w:val="center"/>
            <w:hideMark/>
          </w:tcPr>
          <w:p w14:paraId="03D685CC"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Port Clarence</w:t>
            </w:r>
          </w:p>
        </w:tc>
        <w:tc>
          <w:tcPr>
            <w:tcW w:w="2443" w:type="pct"/>
            <w:vAlign w:val="center"/>
            <w:hideMark/>
          </w:tcPr>
          <w:p w14:paraId="57D7904A"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i/>
                <w:iCs/>
                <w:color w:val="000000"/>
                <w:sz w:val="20"/>
                <w:szCs w:val="20"/>
                <w:lang w:eastAsia="en-GB"/>
              </w:rPr>
            </w:pPr>
            <w:r w:rsidRPr="00295AEF">
              <w:rPr>
                <w:rFonts w:ascii="Calibri" w:eastAsia="Times New Roman" w:hAnsi="Calibri" w:cs="Calibri"/>
                <w:i/>
                <w:iCs/>
                <w:color w:val="000000"/>
                <w:sz w:val="20"/>
                <w:szCs w:val="20"/>
                <w:lang w:eastAsia="en-GB"/>
              </w:rPr>
              <w:t>I don't know. I really don't know.</w:t>
            </w:r>
          </w:p>
        </w:tc>
        <w:tc>
          <w:tcPr>
            <w:tcW w:w="625" w:type="pct"/>
            <w:vAlign w:val="center"/>
            <w:hideMark/>
          </w:tcPr>
          <w:p w14:paraId="03C75508"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N/A</w:t>
            </w:r>
          </w:p>
        </w:tc>
      </w:tr>
      <w:tr w:rsidR="00295AEF" w:rsidRPr="00295AEF" w14:paraId="1959A1BF" w14:textId="77777777" w:rsidTr="007016D8">
        <w:trPr>
          <w:cnfStyle w:val="000000100000" w:firstRow="0" w:lastRow="0" w:firstColumn="0" w:lastColumn="0" w:oddVBand="0" w:evenVBand="0" w:oddHBand="1" w:evenHBand="0" w:firstRowFirstColumn="0" w:firstRowLastColumn="0" w:lastRowFirstColumn="0" w:lastRowLastColumn="0"/>
          <w:trHeight w:val="1059"/>
        </w:trPr>
        <w:tc>
          <w:tcPr>
            <w:cnfStyle w:val="001000000000" w:firstRow="0" w:lastRow="0" w:firstColumn="1" w:lastColumn="0" w:oddVBand="0" w:evenVBand="0" w:oddHBand="0" w:evenHBand="0" w:firstRowFirstColumn="0" w:firstRowLastColumn="0" w:lastRowFirstColumn="0" w:lastRowLastColumn="0"/>
            <w:tcW w:w="341" w:type="pct"/>
            <w:noWrap/>
            <w:vAlign w:val="center"/>
            <w:hideMark/>
          </w:tcPr>
          <w:p w14:paraId="0BA00B80" w14:textId="77777777" w:rsidR="00295AEF" w:rsidRPr="00295AEF" w:rsidRDefault="00295AEF" w:rsidP="007016D8">
            <w:pPr>
              <w:spacing w:before="0" w:after="0" w:line="240" w:lineRule="auto"/>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SP187</w:t>
            </w:r>
          </w:p>
        </w:tc>
        <w:tc>
          <w:tcPr>
            <w:tcW w:w="739" w:type="pct"/>
            <w:vAlign w:val="center"/>
          </w:tcPr>
          <w:p w14:paraId="15E5EE2A"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Local Resident</w:t>
            </w:r>
          </w:p>
        </w:tc>
        <w:tc>
          <w:tcPr>
            <w:tcW w:w="852" w:type="pct"/>
            <w:noWrap/>
            <w:vAlign w:val="center"/>
            <w:hideMark/>
          </w:tcPr>
          <w:p w14:paraId="30EE91BB"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Yarm</w:t>
            </w:r>
          </w:p>
        </w:tc>
        <w:tc>
          <w:tcPr>
            <w:tcW w:w="2443" w:type="pct"/>
            <w:vAlign w:val="center"/>
            <w:hideMark/>
          </w:tcPr>
          <w:p w14:paraId="4B598FEB"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i/>
                <w:iCs/>
                <w:color w:val="000000"/>
                <w:sz w:val="20"/>
                <w:szCs w:val="20"/>
                <w:lang w:eastAsia="en-GB"/>
              </w:rPr>
            </w:pPr>
            <w:r w:rsidRPr="00295AEF">
              <w:rPr>
                <w:rFonts w:ascii="Calibri" w:eastAsia="Times New Roman" w:hAnsi="Calibri" w:cs="Calibri"/>
                <w:i/>
                <w:iCs/>
                <w:color w:val="000000"/>
                <w:sz w:val="20"/>
                <w:szCs w:val="20"/>
                <w:lang w:eastAsia="en-GB"/>
              </w:rPr>
              <w:t>a community that could withstand, you know, situations that come along and bounce back from them I guess, and the method in which they would be able to sort of build themselves up again and be resilient to them.</w:t>
            </w:r>
          </w:p>
        </w:tc>
        <w:tc>
          <w:tcPr>
            <w:tcW w:w="625" w:type="pct"/>
            <w:vAlign w:val="center"/>
            <w:hideMark/>
          </w:tcPr>
          <w:p w14:paraId="45F3142B"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Working Together, Bounce-Back, Recovery</w:t>
            </w:r>
          </w:p>
        </w:tc>
      </w:tr>
      <w:tr w:rsidR="00295AEF" w:rsidRPr="00295AEF" w14:paraId="4A371075" w14:textId="77777777" w:rsidTr="007016D8">
        <w:trPr>
          <w:trHeight w:val="1020"/>
        </w:trPr>
        <w:tc>
          <w:tcPr>
            <w:cnfStyle w:val="001000000000" w:firstRow="0" w:lastRow="0" w:firstColumn="1" w:lastColumn="0" w:oddVBand="0" w:evenVBand="0" w:oddHBand="0" w:evenHBand="0" w:firstRowFirstColumn="0" w:firstRowLastColumn="0" w:lastRowFirstColumn="0" w:lastRowLastColumn="0"/>
            <w:tcW w:w="341" w:type="pct"/>
            <w:noWrap/>
            <w:vAlign w:val="center"/>
            <w:hideMark/>
          </w:tcPr>
          <w:p w14:paraId="1E9ED3FC" w14:textId="77777777" w:rsidR="00295AEF" w:rsidRPr="00295AEF" w:rsidRDefault="00295AEF" w:rsidP="007016D8">
            <w:pPr>
              <w:spacing w:before="0" w:after="0" w:line="240" w:lineRule="auto"/>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FI144</w:t>
            </w:r>
          </w:p>
        </w:tc>
        <w:tc>
          <w:tcPr>
            <w:tcW w:w="739" w:type="pct"/>
            <w:vAlign w:val="center"/>
          </w:tcPr>
          <w:p w14:paraId="4E373BD8"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Local Resident</w:t>
            </w:r>
          </w:p>
        </w:tc>
        <w:tc>
          <w:tcPr>
            <w:tcW w:w="852" w:type="pct"/>
            <w:noWrap/>
            <w:vAlign w:val="center"/>
            <w:hideMark/>
          </w:tcPr>
          <w:p w14:paraId="37FFAA61"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Yarm</w:t>
            </w:r>
          </w:p>
        </w:tc>
        <w:tc>
          <w:tcPr>
            <w:tcW w:w="2443" w:type="pct"/>
            <w:vAlign w:val="center"/>
            <w:hideMark/>
          </w:tcPr>
          <w:p w14:paraId="66382E11"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i/>
                <w:iCs/>
                <w:color w:val="000000"/>
                <w:sz w:val="20"/>
                <w:szCs w:val="20"/>
                <w:lang w:eastAsia="en-GB"/>
              </w:rPr>
            </w:pPr>
            <w:r w:rsidRPr="00295AEF">
              <w:rPr>
                <w:rFonts w:ascii="Calibri" w:eastAsia="Times New Roman" w:hAnsi="Calibri" w:cs="Calibri"/>
                <w:i/>
                <w:iCs/>
                <w:color w:val="000000"/>
                <w:sz w:val="20"/>
                <w:szCs w:val="20"/>
                <w:lang w:eastAsia="en-GB"/>
              </w:rPr>
              <w:t>Resilience is your ability to adapt and continue to function as best you can in place when outside factors, change the norm, whatever that factor may be.</w:t>
            </w:r>
          </w:p>
        </w:tc>
        <w:tc>
          <w:tcPr>
            <w:tcW w:w="625" w:type="pct"/>
            <w:vAlign w:val="center"/>
            <w:hideMark/>
          </w:tcPr>
          <w:p w14:paraId="144C326C" w14:textId="77777777" w:rsidR="00295AEF" w:rsidRPr="00295AEF" w:rsidRDefault="00295AEF" w:rsidP="007016D8">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Robustness, Adaptation, Personal Characteristic</w:t>
            </w:r>
          </w:p>
        </w:tc>
      </w:tr>
      <w:tr w:rsidR="00295AEF" w:rsidRPr="00295AEF" w14:paraId="52258D9D" w14:textId="77777777" w:rsidTr="007016D8">
        <w:trPr>
          <w:cnfStyle w:val="000000100000" w:firstRow="0" w:lastRow="0" w:firstColumn="0" w:lastColumn="0" w:oddVBand="0" w:evenVBand="0" w:oddHBand="1" w:evenHBand="0" w:firstRowFirstColumn="0" w:firstRowLastColumn="0" w:lastRowFirstColumn="0" w:lastRowLastColumn="0"/>
          <w:trHeight w:val="1375"/>
        </w:trPr>
        <w:tc>
          <w:tcPr>
            <w:cnfStyle w:val="001000000000" w:firstRow="0" w:lastRow="0" w:firstColumn="1" w:lastColumn="0" w:oddVBand="0" w:evenVBand="0" w:oddHBand="0" w:evenHBand="0" w:firstRowFirstColumn="0" w:firstRowLastColumn="0" w:lastRowFirstColumn="0" w:lastRowLastColumn="0"/>
            <w:tcW w:w="341" w:type="pct"/>
            <w:noWrap/>
            <w:vAlign w:val="center"/>
            <w:hideMark/>
          </w:tcPr>
          <w:p w14:paraId="3D7F2D53" w14:textId="77777777" w:rsidR="00295AEF" w:rsidRPr="00295AEF" w:rsidRDefault="00295AEF" w:rsidP="007016D8">
            <w:pPr>
              <w:spacing w:before="0" w:after="0" w:line="240" w:lineRule="auto"/>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OH182</w:t>
            </w:r>
          </w:p>
        </w:tc>
        <w:tc>
          <w:tcPr>
            <w:tcW w:w="739" w:type="pct"/>
            <w:vAlign w:val="center"/>
          </w:tcPr>
          <w:p w14:paraId="52FA944E"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Local Resident</w:t>
            </w:r>
          </w:p>
        </w:tc>
        <w:tc>
          <w:tcPr>
            <w:tcW w:w="852" w:type="pct"/>
            <w:noWrap/>
            <w:vAlign w:val="center"/>
            <w:hideMark/>
          </w:tcPr>
          <w:p w14:paraId="7218554A"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Yarm</w:t>
            </w:r>
          </w:p>
        </w:tc>
        <w:tc>
          <w:tcPr>
            <w:tcW w:w="2443" w:type="pct"/>
            <w:vAlign w:val="center"/>
            <w:hideMark/>
          </w:tcPr>
          <w:p w14:paraId="2A8CF9BC"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i/>
                <w:iCs/>
                <w:color w:val="000000"/>
                <w:sz w:val="20"/>
                <w:szCs w:val="20"/>
                <w:lang w:eastAsia="en-GB"/>
              </w:rPr>
            </w:pPr>
            <w:r w:rsidRPr="00295AEF">
              <w:rPr>
                <w:rFonts w:ascii="Calibri" w:eastAsia="Times New Roman" w:hAnsi="Calibri" w:cs="Calibri"/>
                <w:i/>
                <w:iCs/>
                <w:color w:val="000000"/>
                <w:sz w:val="20"/>
                <w:szCs w:val="20"/>
                <w:lang w:eastAsia="en-GB"/>
              </w:rPr>
              <w:t>A community that's resilient is a community that can cope with, you know, whatever happens. So a community that can navigate its way through some things. But yeah, to me, a resilient community is a community that goes, “you know what, it's happened. How do we navigate through it together and get through it?”</w:t>
            </w:r>
          </w:p>
        </w:tc>
        <w:tc>
          <w:tcPr>
            <w:tcW w:w="625" w:type="pct"/>
            <w:vAlign w:val="center"/>
            <w:hideMark/>
          </w:tcPr>
          <w:p w14:paraId="7D5572E4" w14:textId="77777777" w:rsidR="00295AEF" w:rsidRPr="00295AEF" w:rsidRDefault="00295AEF" w:rsidP="007016D8">
            <w:pPr>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295AEF">
              <w:rPr>
                <w:rFonts w:ascii="Calibri" w:eastAsia="Times New Roman" w:hAnsi="Calibri" w:cs="Calibri"/>
                <w:color w:val="000000"/>
                <w:sz w:val="20"/>
                <w:szCs w:val="20"/>
                <w:lang w:eastAsia="en-GB"/>
              </w:rPr>
              <w:t>Coping, Adaptation, Collective Action</w:t>
            </w:r>
          </w:p>
        </w:tc>
      </w:tr>
    </w:tbl>
    <w:p w14:paraId="73F4BD92" w14:textId="77777777" w:rsidR="00295AEF" w:rsidRPr="00295AEF" w:rsidRDefault="00295AEF">
      <w:pPr>
        <w:rPr>
          <w:rFonts w:ascii="Calibri" w:hAnsi="Calibri" w:cs="Calibri"/>
        </w:rPr>
      </w:pPr>
    </w:p>
    <w:sectPr w:rsidR="00295AEF" w:rsidRPr="00295AEF" w:rsidSect="00295AE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AEF"/>
    <w:rsid w:val="002452A2"/>
    <w:rsid w:val="00295AEF"/>
    <w:rsid w:val="0063399C"/>
    <w:rsid w:val="00BB5078"/>
    <w:rsid w:val="00FE3F0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B25B4"/>
  <w15:chartTrackingRefBased/>
  <w15:docId w15:val="{D78FAE2C-EDFD-4203-A17D-F0EF0FD6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AEF"/>
    <w:pPr>
      <w:spacing w:before="120" w:after="120" w:line="360" w:lineRule="auto"/>
    </w:pPr>
    <w:rPr>
      <w:rFonts w:ascii="Times New Roman" w:hAnsi="Times New Roman"/>
      <w:sz w:val="24"/>
      <w:szCs w:val="24"/>
    </w:rPr>
  </w:style>
  <w:style w:type="paragraph" w:styleId="Heading1">
    <w:name w:val="heading 1"/>
    <w:basedOn w:val="Normal"/>
    <w:next w:val="Normal"/>
    <w:link w:val="Heading1Char"/>
    <w:uiPriority w:val="9"/>
    <w:qFormat/>
    <w:rsid w:val="00295AEF"/>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5AEF"/>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5AEF"/>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5AEF"/>
    <w:pPr>
      <w:keepNext/>
      <w:keepLines/>
      <w:spacing w:before="80" w:after="40" w:line="259" w:lineRule="auto"/>
      <w:outlineLvl w:val="3"/>
    </w:pPr>
    <w:rPr>
      <w:rFonts w:asciiTheme="minorHAnsi" w:eastAsiaTheme="majorEastAsia" w:hAnsiTheme="minorHAnsi"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295AEF"/>
    <w:pPr>
      <w:keepNext/>
      <w:keepLines/>
      <w:spacing w:before="80" w:after="40" w:line="259" w:lineRule="auto"/>
      <w:outlineLvl w:val="4"/>
    </w:pPr>
    <w:rPr>
      <w:rFonts w:asciiTheme="minorHAnsi" w:eastAsiaTheme="majorEastAsia" w:hAnsiTheme="minorHAnsi"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295AEF"/>
    <w:pPr>
      <w:keepNext/>
      <w:keepLines/>
      <w:spacing w:before="40" w:after="0" w:line="259" w:lineRule="auto"/>
      <w:outlineLvl w:val="5"/>
    </w:pPr>
    <w:rPr>
      <w:rFonts w:asciiTheme="minorHAnsi" w:eastAsiaTheme="majorEastAsia" w:hAnsiTheme="minorHAnsi"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295AEF"/>
    <w:pPr>
      <w:keepNext/>
      <w:keepLines/>
      <w:spacing w:before="40" w:after="0" w:line="259" w:lineRule="auto"/>
      <w:outlineLvl w:val="6"/>
    </w:pPr>
    <w:rPr>
      <w:rFonts w:asciiTheme="minorHAnsi" w:eastAsiaTheme="majorEastAsia" w:hAnsiTheme="minorHAnsi"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295AEF"/>
    <w:pPr>
      <w:keepNext/>
      <w:keepLines/>
      <w:spacing w:before="0" w:after="0" w:line="259" w:lineRule="auto"/>
      <w:outlineLvl w:val="7"/>
    </w:pPr>
    <w:rPr>
      <w:rFonts w:asciiTheme="minorHAnsi" w:eastAsiaTheme="majorEastAsia" w:hAnsiTheme="minorHAnsi"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295AEF"/>
    <w:pPr>
      <w:keepNext/>
      <w:keepLines/>
      <w:spacing w:before="0" w:after="0" w:line="259" w:lineRule="auto"/>
      <w:outlineLvl w:val="8"/>
    </w:pPr>
    <w:rPr>
      <w:rFonts w:asciiTheme="minorHAnsi" w:eastAsiaTheme="majorEastAsia" w:hAnsiTheme="minorHAnsi"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A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5A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5A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5A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5A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5A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A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A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AEF"/>
    <w:rPr>
      <w:rFonts w:eastAsiaTheme="majorEastAsia" w:cstheme="majorBidi"/>
      <w:color w:val="272727" w:themeColor="text1" w:themeTint="D8"/>
    </w:rPr>
  </w:style>
  <w:style w:type="paragraph" w:styleId="Title">
    <w:name w:val="Title"/>
    <w:basedOn w:val="Normal"/>
    <w:next w:val="Normal"/>
    <w:link w:val="TitleChar"/>
    <w:uiPriority w:val="10"/>
    <w:qFormat/>
    <w:rsid w:val="00295AEF"/>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5A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5A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5A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5AEF"/>
    <w:pPr>
      <w:spacing w:before="160"/>
      <w:jc w:val="center"/>
    </w:pPr>
    <w:rPr>
      <w:i/>
      <w:iCs/>
      <w:color w:val="404040" w:themeColor="text1" w:themeTint="BF"/>
    </w:rPr>
  </w:style>
  <w:style w:type="character" w:customStyle="1" w:styleId="QuoteChar">
    <w:name w:val="Quote Char"/>
    <w:basedOn w:val="DefaultParagraphFont"/>
    <w:link w:val="Quote"/>
    <w:uiPriority w:val="29"/>
    <w:rsid w:val="00295AEF"/>
    <w:rPr>
      <w:i/>
      <w:iCs/>
      <w:color w:val="404040" w:themeColor="text1" w:themeTint="BF"/>
    </w:rPr>
  </w:style>
  <w:style w:type="paragraph" w:styleId="ListParagraph">
    <w:name w:val="List Paragraph"/>
    <w:basedOn w:val="Normal"/>
    <w:uiPriority w:val="34"/>
    <w:qFormat/>
    <w:rsid w:val="00295AEF"/>
    <w:pPr>
      <w:ind w:left="720"/>
      <w:contextualSpacing/>
    </w:pPr>
  </w:style>
  <w:style w:type="character" w:styleId="IntenseEmphasis">
    <w:name w:val="Intense Emphasis"/>
    <w:basedOn w:val="DefaultParagraphFont"/>
    <w:uiPriority w:val="21"/>
    <w:qFormat/>
    <w:rsid w:val="00295AEF"/>
    <w:rPr>
      <w:i/>
      <w:iCs/>
      <w:color w:val="0F4761" w:themeColor="accent1" w:themeShade="BF"/>
    </w:rPr>
  </w:style>
  <w:style w:type="paragraph" w:styleId="IntenseQuote">
    <w:name w:val="Intense Quote"/>
    <w:basedOn w:val="Normal"/>
    <w:next w:val="Normal"/>
    <w:link w:val="IntenseQuoteChar"/>
    <w:uiPriority w:val="30"/>
    <w:qFormat/>
    <w:rsid w:val="00295A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5AEF"/>
    <w:rPr>
      <w:i/>
      <w:iCs/>
      <w:color w:val="0F4761" w:themeColor="accent1" w:themeShade="BF"/>
    </w:rPr>
  </w:style>
  <w:style w:type="character" w:styleId="IntenseReference">
    <w:name w:val="Intense Reference"/>
    <w:basedOn w:val="DefaultParagraphFont"/>
    <w:uiPriority w:val="32"/>
    <w:qFormat/>
    <w:rsid w:val="00295AEF"/>
    <w:rPr>
      <w:b/>
      <w:bCs/>
      <w:smallCaps/>
      <w:color w:val="0F4761" w:themeColor="accent1" w:themeShade="BF"/>
      <w:spacing w:val="5"/>
    </w:rPr>
  </w:style>
  <w:style w:type="table" w:styleId="PlainTable2">
    <w:name w:val="Plain Table 2"/>
    <w:basedOn w:val="TableNormal"/>
    <w:uiPriority w:val="42"/>
    <w:rsid w:val="00295AEF"/>
    <w:pPr>
      <w:spacing w:after="0" w:line="240" w:lineRule="auto"/>
    </w:pPr>
    <w:rPr>
      <w:kern w:val="0"/>
      <w:sz w:val="24"/>
      <w:szCs w:val="24"/>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953</Words>
  <Characters>5434</Characters>
  <Application>Microsoft Office Word</Application>
  <DocSecurity>0</DocSecurity>
  <Lines>45</Lines>
  <Paragraphs>12</Paragraphs>
  <ScaleCrop>false</ScaleCrop>
  <Company/>
  <LinksUpToDate>false</LinksUpToDate>
  <CharactersWithSpaces>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Rollason</dc:creator>
  <cp:keywords/>
  <dc:description/>
  <cp:lastModifiedBy>Ed Rollason</cp:lastModifiedBy>
  <cp:revision>1</cp:revision>
  <dcterms:created xsi:type="dcterms:W3CDTF">2024-06-07T14:15:00Z</dcterms:created>
  <dcterms:modified xsi:type="dcterms:W3CDTF">2024-06-07T14:17:00Z</dcterms:modified>
</cp:coreProperties>
</file>