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449E" w14:textId="77777777" w:rsidR="00F0701A" w:rsidRDefault="00F0701A" w:rsidP="00F0701A">
      <w:pPr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0093AF7F" wp14:editId="3CC058BB">
            <wp:extent cx="5879939" cy="4518574"/>
            <wp:effectExtent l="0" t="0" r="63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362" cy="454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C479B" w14:textId="59BD21F2" w:rsidR="00F0701A" w:rsidRDefault="00F0701A" w:rsidP="00BD1EE9">
      <w:pPr>
        <w:pStyle w:val="Caption"/>
        <w:jc w:val="center"/>
        <w:rPr>
          <w:rFonts w:cs="Times New Roman"/>
        </w:rPr>
      </w:pPr>
      <w:bookmarkStart w:id="0" w:name="_Ref204851486"/>
      <w:r>
        <w:t xml:space="preserve">Figure </w:t>
      </w:r>
      <w:bookmarkEnd w:id="0"/>
      <w:r>
        <w:t xml:space="preserve">S1 </w:t>
      </w:r>
      <w:r w:rsidR="00BD1EE9" w:rsidRPr="00BD1EE9">
        <w:t>Maximum water-surface elevation (WSE) for all six synthetic storms under the SIR scenario: (a) Storm 290, (b) Storm 237, (c) Storm 297, (d) Storm 276, (e) Storm 432, and (f) Storm 620. Black lines represent storm tracks.</w:t>
      </w:r>
    </w:p>
    <w:p w14:paraId="62C9C113" w14:textId="77777777" w:rsidR="00F0701A" w:rsidRDefault="00F0701A" w:rsidP="00F0701A">
      <w:pPr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4728BDF4" wp14:editId="010C1B47">
            <wp:extent cx="4898390" cy="37642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CF97" w14:textId="170D4B18" w:rsidR="00F0701A" w:rsidRDefault="00F0701A" w:rsidP="00BD1EE9">
      <w:pPr>
        <w:pStyle w:val="Caption"/>
        <w:jc w:val="center"/>
      </w:pPr>
      <w:bookmarkStart w:id="1" w:name="_Ref204851729"/>
      <w:r>
        <w:t xml:space="preserve">Figure </w:t>
      </w:r>
      <w:bookmarkEnd w:id="1"/>
      <w:r>
        <w:t xml:space="preserve">S2 </w:t>
      </w:r>
      <w:r w:rsidR="00BD1EE9" w:rsidRPr="00BD1EE9">
        <w:t>Maximum water-surface elevation (WSE) for all six synthetic storms under the NIR scenario: (a) Storm 290, (b) Storm 237, (c) Storm 297, (d) Storm 276, (e) Storm 432, and (f) Storm 620. Black lines represent storm tracks.</w:t>
      </w:r>
    </w:p>
    <w:p w14:paraId="740694B5" w14:textId="77777777" w:rsidR="00BD1EE9" w:rsidRPr="00BD1EE9" w:rsidRDefault="00BD1EE9" w:rsidP="00BD1EE9"/>
    <w:p w14:paraId="0B84352F" w14:textId="77777777" w:rsidR="00F0701A" w:rsidRDefault="00F0701A" w:rsidP="00F0701A">
      <w:r>
        <w:rPr>
          <w:noProof/>
        </w:rPr>
        <w:lastRenderedPageBreak/>
        <w:drawing>
          <wp:inline distT="0" distB="0" distL="0" distR="0" wp14:anchorId="11D225FE" wp14:editId="46082C22">
            <wp:extent cx="4898390" cy="37642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08C4" w14:textId="70427F4E" w:rsidR="00F0701A" w:rsidRDefault="00F0701A" w:rsidP="00BD1EE9">
      <w:pPr>
        <w:pStyle w:val="Caption"/>
        <w:jc w:val="center"/>
      </w:pPr>
      <w:bookmarkStart w:id="2" w:name="_Ref204851846"/>
      <w:r>
        <w:t xml:space="preserve">Figure </w:t>
      </w:r>
      <w:bookmarkEnd w:id="2"/>
      <w:r>
        <w:t xml:space="preserve">S3 </w:t>
      </w:r>
      <w:r w:rsidR="00BD1EE9" w:rsidRPr="00BD1EE9">
        <w:t>Maximum water-surface elevation (WSE) for all six synthetic storms under the AIR scenario: (a) Storm 290, (b) Storm 237, (c) Storm 297, (d) Storm 276, (e) Storm 432, and (f) Storm 620. Black lines represent storm tracks.</w:t>
      </w:r>
    </w:p>
    <w:p w14:paraId="515D2706" w14:textId="77777777" w:rsidR="008705E3" w:rsidRDefault="008705E3"/>
    <w:sectPr w:rsidR="00870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0D"/>
    <w:rsid w:val="008705E3"/>
    <w:rsid w:val="00AD3A0D"/>
    <w:rsid w:val="00BD1EE9"/>
    <w:rsid w:val="00F0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A957"/>
  <w15:chartTrackingRefBased/>
  <w15:docId w15:val="{64A822B3-5CE4-40C3-AD77-479BC6C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01A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0701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0D316-4EE4-42D5-A65F-04162575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Gupta</dc:creator>
  <cp:keywords/>
  <dc:description/>
  <cp:lastModifiedBy>Aditya Gupta</cp:lastModifiedBy>
  <cp:revision>3</cp:revision>
  <dcterms:created xsi:type="dcterms:W3CDTF">2026-05-15T17:52:00Z</dcterms:created>
  <dcterms:modified xsi:type="dcterms:W3CDTF">2026-06-11T14:50:00Z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b2876fe0-50f0-4ca3-98f3-434063291f91</vt:lpwstr>
  </property>
</Properties>
</file>