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2CFCF" w14:textId="77777777" w:rsidR="00717F86" w:rsidRDefault="00000000" w:rsidP="003B288D">
      <w:pPr>
        <w:keepNext/>
        <w:ind w:firstLine="0"/>
        <w:jc w:val="center"/>
      </w:pPr>
      <w:r>
        <w:rPr>
          <w:b/>
          <w:sz w:val="32"/>
        </w:rPr>
        <w:t>SUPPLEMENTARY MATERIAL I</w:t>
      </w:r>
    </w:p>
    <w:p w14:paraId="387B1AF5" w14:textId="77777777" w:rsidR="00717F86" w:rsidRDefault="00000000" w:rsidP="003B288D">
      <w:pPr>
        <w:keepNext/>
        <w:ind w:firstLine="0"/>
        <w:jc w:val="center"/>
      </w:pPr>
      <w:r>
        <w:rPr>
          <w:b/>
          <w:sz w:val="28"/>
        </w:rPr>
        <w:t>Precipitation Index Definitions and Spatial Trend Maps</w:t>
      </w:r>
    </w:p>
    <w:p w14:paraId="65C5EBEA" w14:textId="4CC7255A" w:rsidR="00717F86" w:rsidRDefault="00000000" w:rsidP="003B288D">
      <w:pPr>
        <w:ind w:firstLine="0"/>
      </w:pPr>
      <w:r>
        <w:rPr>
          <w:b/>
          <w:i/>
        </w:rPr>
        <w:t xml:space="preserve">Associated manuscript. </w:t>
      </w:r>
      <w:r w:rsidR="003B288D" w:rsidRPr="003B288D">
        <w:rPr>
          <w:b/>
          <w:i/>
        </w:rPr>
        <w:t>Urban Expansion Across a Mountain-to-Coastal Gradient and Its Implications for Hydrogeomorphic Risk in Port-au-Prince, Haiti</w:t>
      </w:r>
    </w:p>
    <w:p w14:paraId="74F851B6" w14:textId="77777777" w:rsidR="00717F86" w:rsidRDefault="00000000">
      <w:pPr>
        <w:ind w:firstLine="0"/>
      </w:pPr>
      <w:r>
        <w:t>This supplementary material documents the hydroclimatic indices and the complete sequence of spatial trend maps cited in the associated manuscript. Table S1 states the definition, operational expression, unit, temporal application, and magnitude estimator for each index. CHIRPS, ERA5, ERA5-Land, AgERA5, and PERSIANN-CDR were analysed from 1983 to 2024 after harmonization to the approximately 0.05° CHIRPS grid. The 1983 to 2013 interval was used only to establish the fixed percentile threshold for R99p. Statistical significance in every panel is based on the two-sided Mann-Kendall test with p below 0.05. Hatching is restricted to cells that satisfy this criterion.</w:t>
      </w:r>
    </w:p>
    <w:p w14:paraId="517E75E5" w14:textId="77777777" w:rsidR="00B40A1D" w:rsidRDefault="00B40A1D">
      <w:pPr>
        <w:ind w:firstLine="0"/>
      </w:pPr>
    </w:p>
    <w:p w14:paraId="7563ADEC" w14:textId="77777777" w:rsidR="00717F86" w:rsidRDefault="00000000" w:rsidP="00B40A1D">
      <w:pPr>
        <w:keepNext/>
        <w:spacing w:line="240" w:lineRule="auto"/>
        <w:ind w:firstLine="0"/>
      </w:pPr>
      <w:r w:rsidRPr="00B40A1D">
        <w:rPr>
          <w:b/>
          <w:bCs/>
        </w:rPr>
        <w:t>Table S1</w:t>
      </w:r>
      <w:r>
        <w:t>. Definitions, computational rules, units, temporal applications, and trend magnitude estimators for the precipitation indices.</w:t>
      </w:r>
    </w:p>
    <w:tbl>
      <w:tblPr>
        <w:tblStyle w:val="Tabelacomgrade"/>
        <w:tblW w:w="8416" w:type="dxa"/>
        <w:jc w:val="center"/>
        <w:tblBorders>
          <w:left w:val="none" w:sz="0" w:space="0" w:color="auto"/>
          <w:right w:val="none" w:sz="0" w:space="0" w:color="auto"/>
        </w:tblBorders>
        <w:tblLayout w:type="fixed"/>
        <w:tblLook w:val="04A0" w:firstRow="1" w:lastRow="0" w:firstColumn="1" w:lastColumn="0" w:noHBand="0" w:noVBand="1"/>
      </w:tblPr>
      <w:tblGrid>
        <w:gridCol w:w="905"/>
        <w:gridCol w:w="1899"/>
        <w:gridCol w:w="2169"/>
        <w:gridCol w:w="764"/>
        <w:gridCol w:w="1088"/>
        <w:gridCol w:w="1591"/>
      </w:tblGrid>
      <w:tr w:rsidR="00717F86" w14:paraId="3824F1E1" w14:textId="77777777" w:rsidTr="00B40A1D">
        <w:trPr>
          <w:cantSplit/>
          <w:tblHeader/>
          <w:jc w:val="center"/>
        </w:trPr>
        <w:tc>
          <w:tcPr>
            <w:tcW w:w="905" w:type="dxa"/>
            <w:tcMar>
              <w:top w:w="60" w:type="dxa"/>
              <w:left w:w="70" w:type="dxa"/>
              <w:bottom w:w="60" w:type="dxa"/>
              <w:right w:w="70" w:type="dxa"/>
            </w:tcMar>
            <w:vAlign w:val="center"/>
          </w:tcPr>
          <w:p w14:paraId="0C142BDA" w14:textId="77777777" w:rsidR="00717F86" w:rsidRDefault="00000000" w:rsidP="00B40A1D">
            <w:pPr>
              <w:spacing w:line="240" w:lineRule="auto"/>
              <w:ind w:firstLine="0"/>
              <w:jc w:val="center"/>
            </w:pPr>
            <w:r>
              <w:rPr>
                <w:b/>
                <w:sz w:val="17"/>
              </w:rPr>
              <w:t>Index</w:t>
            </w:r>
          </w:p>
        </w:tc>
        <w:tc>
          <w:tcPr>
            <w:tcW w:w="1899" w:type="dxa"/>
            <w:tcMar>
              <w:top w:w="60" w:type="dxa"/>
              <w:left w:w="70" w:type="dxa"/>
              <w:bottom w:w="60" w:type="dxa"/>
              <w:right w:w="70" w:type="dxa"/>
            </w:tcMar>
            <w:vAlign w:val="center"/>
          </w:tcPr>
          <w:p w14:paraId="7CE2FA12" w14:textId="77777777" w:rsidR="00717F86" w:rsidRDefault="00000000" w:rsidP="00B40A1D">
            <w:pPr>
              <w:spacing w:line="240" w:lineRule="auto"/>
              <w:ind w:firstLine="0"/>
              <w:jc w:val="center"/>
            </w:pPr>
            <w:r>
              <w:rPr>
                <w:b/>
                <w:sz w:val="17"/>
              </w:rPr>
              <w:t>Definition</w:t>
            </w:r>
          </w:p>
        </w:tc>
        <w:tc>
          <w:tcPr>
            <w:tcW w:w="2169" w:type="dxa"/>
            <w:tcMar>
              <w:top w:w="60" w:type="dxa"/>
              <w:left w:w="70" w:type="dxa"/>
              <w:bottom w:w="60" w:type="dxa"/>
              <w:right w:w="70" w:type="dxa"/>
            </w:tcMar>
            <w:vAlign w:val="center"/>
          </w:tcPr>
          <w:p w14:paraId="2AA0875E" w14:textId="77777777" w:rsidR="00717F86" w:rsidRDefault="00000000" w:rsidP="00B40A1D">
            <w:pPr>
              <w:spacing w:line="240" w:lineRule="auto"/>
              <w:ind w:firstLine="0"/>
              <w:jc w:val="center"/>
            </w:pPr>
            <w:r>
              <w:rPr>
                <w:b/>
                <w:sz w:val="17"/>
              </w:rPr>
              <w:t>Operational rule</w:t>
            </w:r>
          </w:p>
        </w:tc>
        <w:tc>
          <w:tcPr>
            <w:tcW w:w="764" w:type="dxa"/>
            <w:tcMar>
              <w:top w:w="60" w:type="dxa"/>
              <w:left w:w="70" w:type="dxa"/>
              <w:bottom w:w="60" w:type="dxa"/>
              <w:right w:w="70" w:type="dxa"/>
            </w:tcMar>
            <w:vAlign w:val="center"/>
          </w:tcPr>
          <w:p w14:paraId="6B75DA51" w14:textId="77777777" w:rsidR="00717F86" w:rsidRDefault="00000000" w:rsidP="00B40A1D">
            <w:pPr>
              <w:spacing w:line="240" w:lineRule="auto"/>
              <w:ind w:firstLine="0"/>
              <w:jc w:val="center"/>
            </w:pPr>
            <w:r>
              <w:rPr>
                <w:b/>
                <w:sz w:val="17"/>
              </w:rPr>
              <w:t>Unit</w:t>
            </w:r>
          </w:p>
        </w:tc>
        <w:tc>
          <w:tcPr>
            <w:tcW w:w="1088" w:type="dxa"/>
            <w:tcMar>
              <w:top w:w="60" w:type="dxa"/>
              <w:left w:w="70" w:type="dxa"/>
              <w:bottom w:w="60" w:type="dxa"/>
              <w:right w:w="70" w:type="dxa"/>
            </w:tcMar>
            <w:vAlign w:val="center"/>
          </w:tcPr>
          <w:p w14:paraId="234545F8" w14:textId="77777777" w:rsidR="00717F86" w:rsidRDefault="00000000" w:rsidP="00B40A1D">
            <w:pPr>
              <w:spacing w:line="240" w:lineRule="auto"/>
              <w:ind w:firstLine="0"/>
              <w:jc w:val="center"/>
            </w:pPr>
            <w:r>
              <w:rPr>
                <w:b/>
                <w:sz w:val="17"/>
              </w:rPr>
              <w:t>Estimator</w:t>
            </w:r>
          </w:p>
        </w:tc>
        <w:tc>
          <w:tcPr>
            <w:tcW w:w="1591" w:type="dxa"/>
            <w:tcMar>
              <w:top w:w="60" w:type="dxa"/>
              <w:left w:w="70" w:type="dxa"/>
              <w:bottom w:w="60" w:type="dxa"/>
              <w:right w:w="70" w:type="dxa"/>
            </w:tcMar>
            <w:vAlign w:val="center"/>
          </w:tcPr>
          <w:p w14:paraId="339A0E57" w14:textId="77777777" w:rsidR="00717F86" w:rsidRDefault="00000000" w:rsidP="00B40A1D">
            <w:pPr>
              <w:spacing w:line="240" w:lineRule="auto"/>
              <w:ind w:firstLine="0"/>
              <w:jc w:val="center"/>
            </w:pPr>
            <w:r>
              <w:rPr>
                <w:b/>
                <w:sz w:val="17"/>
              </w:rPr>
              <w:t>Scale and figure</w:t>
            </w:r>
          </w:p>
        </w:tc>
      </w:tr>
      <w:tr w:rsidR="00717F86" w14:paraId="18506C75" w14:textId="77777777" w:rsidTr="00B40A1D">
        <w:trPr>
          <w:cantSplit/>
          <w:jc w:val="center"/>
        </w:trPr>
        <w:tc>
          <w:tcPr>
            <w:tcW w:w="905" w:type="dxa"/>
            <w:tcMar>
              <w:top w:w="60" w:type="dxa"/>
              <w:left w:w="70" w:type="dxa"/>
              <w:bottom w:w="60" w:type="dxa"/>
              <w:right w:w="70" w:type="dxa"/>
            </w:tcMar>
            <w:vAlign w:val="center"/>
          </w:tcPr>
          <w:p w14:paraId="7C600925" w14:textId="77777777" w:rsidR="00717F86" w:rsidRDefault="00000000" w:rsidP="00B40A1D">
            <w:pPr>
              <w:spacing w:line="240" w:lineRule="auto"/>
              <w:ind w:firstLine="0"/>
              <w:jc w:val="center"/>
            </w:pPr>
            <w:r>
              <w:rPr>
                <w:sz w:val="17"/>
              </w:rPr>
              <w:t>PRCPTOT</w:t>
            </w:r>
          </w:p>
        </w:tc>
        <w:tc>
          <w:tcPr>
            <w:tcW w:w="1899" w:type="dxa"/>
            <w:tcMar>
              <w:top w:w="60" w:type="dxa"/>
              <w:left w:w="70" w:type="dxa"/>
              <w:bottom w:w="60" w:type="dxa"/>
              <w:right w:w="70" w:type="dxa"/>
            </w:tcMar>
            <w:vAlign w:val="center"/>
          </w:tcPr>
          <w:p w14:paraId="0B4BCA6E" w14:textId="77777777" w:rsidR="00717F86" w:rsidRDefault="00000000" w:rsidP="00B40A1D">
            <w:pPr>
              <w:spacing w:line="240" w:lineRule="auto"/>
              <w:ind w:firstLine="0"/>
              <w:jc w:val="center"/>
            </w:pPr>
            <w:r>
              <w:rPr>
                <w:sz w:val="17"/>
              </w:rPr>
              <w:t>Total precipitation accumulated on wet days</w:t>
            </w:r>
          </w:p>
        </w:tc>
        <w:tc>
          <w:tcPr>
            <w:tcW w:w="2169" w:type="dxa"/>
            <w:tcMar>
              <w:top w:w="60" w:type="dxa"/>
              <w:left w:w="70" w:type="dxa"/>
              <w:bottom w:w="60" w:type="dxa"/>
              <w:right w:w="70" w:type="dxa"/>
            </w:tcMar>
            <w:vAlign w:val="center"/>
          </w:tcPr>
          <w:p w14:paraId="75A18658" w14:textId="77777777" w:rsidR="00717F86" w:rsidRDefault="00000000" w:rsidP="00B40A1D">
            <w:pPr>
              <w:spacing w:line="240" w:lineRule="auto"/>
              <w:ind w:firstLine="0"/>
              <w:jc w:val="center"/>
            </w:pPr>
            <w:r>
              <w:rPr>
                <w:sz w:val="17"/>
              </w:rPr>
              <w:t>Sum of RR on days with RR ≥ 1 mm</w:t>
            </w:r>
          </w:p>
        </w:tc>
        <w:tc>
          <w:tcPr>
            <w:tcW w:w="764" w:type="dxa"/>
            <w:tcMar>
              <w:top w:w="60" w:type="dxa"/>
              <w:left w:w="70" w:type="dxa"/>
              <w:bottom w:w="60" w:type="dxa"/>
              <w:right w:w="70" w:type="dxa"/>
            </w:tcMar>
            <w:vAlign w:val="center"/>
          </w:tcPr>
          <w:p w14:paraId="50ABDA80" w14:textId="77777777" w:rsidR="00717F86" w:rsidRDefault="00000000" w:rsidP="00B40A1D">
            <w:pPr>
              <w:spacing w:line="240" w:lineRule="auto"/>
              <w:ind w:firstLine="0"/>
              <w:jc w:val="center"/>
            </w:pPr>
            <w:r>
              <w:rPr>
                <w:sz w:val="17"/>
              </w:rPr>
              <w:t>mm</w:t>
            </w:r>
          </w:p>
        </w:tc>
        <w:tc>
          <w:tcPr>
            <w:tcW w:w="1088" w:type="dxa"/>
            <w:tcMar>
              <w:top w:w="60" w:type="dxa"/>
              <w:left w:w="70" w:type="dxa"/>
              <w:bottom w:w="60" w:type="dxa"/>
              <w:right w:w="70" w:type="dxa"/>
            </w:tcMar>
            <w:vAlign w:val="center"/>
          </w:tcPr>
          <w:p w14:paraId="6BEA3624" w14:textId="77777777" w:rsidR="00717F86" w:rsidRDefault="00000000" w:rsidP="00B40A1D">
            <w:pPr>
              <w:spacing w:line="240" w:lineRule="auto"/>
              <w:ind w:firstLine="0"/>
              <w:jc w:val="center"/>
            </w:pPr>
            <w:r>
              <w:rPr>
                <w:sz w:val="17"/>
              </w:rPr>
              <w:t>Sen slope</w:t>
            </w:r>
          </w:p>
        </w:tc>
        <w:tc>
          <w:tcPr>
            <w:tcW w:w="1591" w:type="dxa"/>
            <w:tcMar>
              <w:top w:w="60" w:type="dxa"/>
              <w:left w:w="70" w:type="dxa"/>
              <w:bottom w:w="60" w:type="dxa"/>
              <w:right w:w="70" w:type="dxa"/>
            </w:tcMar>
            <w:vAlign w:val="center"/>
          </w:tcPr>
          <w:p w14:paraId="132BF486" w14:textId="77777777" w:rsidR="00717F86" w:rsidRDefault="00000000" w:rsidP="00B40A1D">
            <w:pPr>
              <w:spacing w:line="240" w:lineRule="auto"/>
              <w:ind w:firstLine="0"/>
              <w:jc w:val="center"/>
            </w:pPr>
            <w:r>
              <w:rPr>
                <w:sz w:val="17"/>
              </w:rPr>
              <w:t>Annual in Figure S1</w:t>
            </w:r>
          </w:p>
        </w:tc>
      </w:tr>
      <w:tr w:rsidR="00717F86" w14:paraId="52281861" w14:textId="77777777" w:rsidTr="00B40A1D">
        <w:trPr>
          <w:cantSplit/>
          <w:jc w:val="center"/>
        </w:trPr>
        <w:tc>
          <w:tcPr>
            <w:tcW w:w="905" w:type="dxa"/>
            <w:tcMar>
              <w:top w:w="60" w:type="dxa"/>
              <w:left w:w="70" w:type="dxa"/>
              <w:bottom w:w="60" w:type="dxa"/>
              <w:right w:w="70" w:type="dxa"/>
            </w:tcMar>
            <w:vAlign w:val="center"/>
          </w:tcPr>
          <w:p w14:paraId="605D8BAF" w14:textId="77777777" w:rsidR="00717F86" w:rsidRDefault="00000000" w:rsidP="00B40A1D">
            <w:pPr>
              <w:spacing w:line="240" w:lineRule="auto"/>
              <w:ind w:firstLine="0"/>
              <w:jc w:val="center"/>
            </w:pPr>
            <w:r>
              <w:rPr>
                <w:sz w:val="17"/>
              </w:rPr>
              <w:t>CDD</w:t>
            </w:r>
          </w:p>
        </w:tc>
        <w:tc>
          <w:tcPr>
            <w:tcW w:w="1899" w:type="dxa"/>
            <w:tcMar>
              <w:top w:w="60" w:type="dxa"/>
              <w:left w:w="70" w:type="dxa"/>
              <w:bottom w:w="60" w:type="dxa"/>
              <w:right w:w="70" w:type="dxa"/>
            </w:tcMar>
            <w:vAlign w:val="center"/>
          </w:tcPr>
          <w:p w14:paraId="7FC4A7D7" w14:textId="77777777" w:rsidR="00717F86" w:rsidRDefault="00000000" w:rsidP="00B40A1D">
            <w:pPr>
              <w:spacing w:line="240" w:lineRule="auto"/>
              <w:ind w:firstLine="0"/>
              <w:jc w:val="center"/>
            </w:pPr>
            <w:r>
              <w:rPr>
                <w:sz w:val="17"/>
              </w:rPr>
              <w:t>Maximum number of consecutive dry days</w:t>
            </w:r>
          </w:p>
        </w:tc>
        <w:tc>
          <w:tcPr>
            <w:tcW w:w="2169" w:type="dxa"/>
            <w:tcMar>
              <w:top w:w="60" w:type="dxa"/>
              <w:left w:w="70" w:type="dxa"/>
              <w:bottom w:w="60" w:type="dxa"/>
              <w:right w:w="70" w:type="dxa"/>
            </w:tcMar>
            <w:vAlign w:val="center"/>
          </w:tcPr>
          <w:p w14:paraId="3667D932" w14:textId="77777777" w:rsidR="00717F86" w:rsidRDefault="00000000" w:rsidP="00B40A1D">
            <w:pPr>
              <w:spacing w:line="240" w:lineRule="auto"/>
              <w:ind w:firstLine="0"/>
              <w:jc w:val="center"/>
            </w:pPr>
            <w:r>
              <w:rPr>
                <w:sz w:val="17"/>
              </w:rPr>
              <w:t>Longest sequence with RR &lt; 1 mm</w:t>
            </w:r>
          </w:p>
        </w:tc>
        <w:tc>
          <w:tcPr>
            <w:tcW w:w="764" w:type="dxa"/>
            <w:tcMar>
              <w:top w:w="60" w:type="dxa"/>
              <w:left w:w="70" w:type="dxa"/>
              <w:bottom w:w="60" w:type="dxa"/>
              <w:right w:w="70" w:type="dxa"/>
            </w:tcMar>
            <w:vAlign w:val="center"/>
          </w:tcPr>
          <w:p w14:paraId="490410D4" w14:textId="77777777" w:rsidR="00717F86" w:rsidRDefault="00000000" w:rsidP="00B40A1D">
            <w:pPr>
              <w:spacing w:line="240" w:lineRule="auto"/>
              <w:ind w:firstLine="0"/>
              <w:jc w:val="center"/>
            </w:pPr>
            <w:r>
              <w:rPr>
                <w:sz w:val="17"/>
              </w:rPr>
              <w:t>days</w:t>
            </w:r>
          </w:p>
        </w:tc>
        <w:tc>
          <w:tcPr>
            <w:tcW w:w="1088" w:type="dxa"/>
            <w:tcMar>
              <w:top w:w="60" w:type="dxa"/>
              <w:left w:w="70" w:type="dxa"/>
              <w:bottom w:w="60" w:type="dxa"/>
              <w:right w:w="70" w:type="dxa"/>
            </w:tcMar>
            <w:vAlign w:val="center"/>
          </w:tcPr>
          <w:p w14:paraId="3C0681AA" w14:textId="77777777" w:rsidR="00717F86" w:rsidRDefault="00000000" w:rsidP="00B40A1D">
            <w:pPr>
              <w:spacing w:line="240" w:lineRule="auto"/>
              <w:ind w:firstLine="0"/>
              <w:jc w:val="center"/>
            </w:pPr>
            <w:r>
              <w:rPr>
                <w:sz w:val="17"/>
              </w:rPr>
              <w:t>Sen slope</w:t>
            </w:r>
          </w:p>
        </w:tc>
        <w:tc>
          <w:tcPr>
            <w:tcW w:w="1591" w:type="dxa"/>
            <w:tcMar>
              <w:top w:w="60" w:type="dxa"/>
              <w:left w:w="70" w:type="dxa"/>
              <w:bottom w:w="60" w:type="dxa"/>
              <w:right w:w="70" w:type="dxa"/>
            </w:tcMar>
            <w:vAlign w:val="center"/>
          </w:tcPr>
          <w:p w14:paraId="60A918C5" w14:textId="77777777" w:rsidR="00717F86" w:rsidRDefault="00000000" w:rsidP="00B40A1D">
            <w:pPr>
              <w:spacing w:line="240" w:lineRule="auto"/>
              <w:ind w:firstLine="0"/>
              <w:jc w:val="center"/>
            </w:pPr>
            <w:r>
              <w:rPr>
                <w:sz w:val="17"/>
              </w:rPr>
              <w:t>Annual in Figure S2 and seasonal in Figure S5</w:t>
            </w:r>
          </w:p>
        </w:tc>
      </w:tr>
      <w:tr w:rsidR="00717F86" w14:paraId="223EF8F1" w14:textId="77777777" w:rsidTr="00B40A1D">
        <w:trPr>
          <w:cantSplit/>
          <w:jc w:val="center"/>
        </w:trPr>
        <w:tc>
          <w:tcPr>
            <w:tcW w:w="905" w:type="dxa"/>
            <w:tcMar>
              <w:top w:w="60" w:type="dxa"/>
              <w:left w:w="70" w:type="dxa"/>
              <w:bottom w:w="60" w:type="dxa"/>
              <w:right w:w="70" w:type="dxa"/>
            </w:tcMar>
            <w:vAlign w:val="center"/>
          </w:tcPr>
          <w:p w14:paraId="673C20C5" w14:textId="77777777" w:rsidR="00717F86" w:rsidRDefault="00000000" w:rsidP="00B40A1D">
            <w:pPr>
              <w:spacing w:line="240" w:lineRule="auto"/>
              <w:ind w:firstLine="0"/>
              <w:jc w:val="center"/>
            </w:pPr>
            <w:r>
              <w:rPr>
                <w:sz w:val="17"/>
              </w:rPr>
              <w:t>RX1Day</w:t>
            </w:r>
          </w:p>
        </w:tc>
        <w:tc>
          <w:tcPr>
            <w:tcW w:w="1899" w:type="dxa"/>
            <w:tcMar>
              <w:top w:w="60" w:type="dxa"/>
              <w:left w:w="70" w:type="dxa"/>
              <w:bottom w:w="60" w:type="dxa"/>
              <w:right w:w="70" w:type="dxa"/>
            </w:tcMar>
            <w:vAlign w:val="center"/>
          </w:tcPr>
          <w:p w14:paraId="08C2161D" w14:textId="77777777" w:rsidR="00717F86" w:rsidRDefault="00000000" w:rsidP="00B40A1D">
            <w:pPr>
              <w:spacing w:line="240" w:lineRule="auto"/>
              <w:ind w:firstLine="0"/>
              <w:jc w:val="center"/>
            </w:pPr>
            <w:r>
              <w:rPr>
                <w:sz w:val="17"/>
              </w:rPr>
              <w:t>Maximum one-day precipitation</w:t>
            </w:r>
          </w:p>
        </w:tc>
        <w:tc>
          <w:tcPr>
            <w:tcW w:w="2169" w:type="dxa"/>
            <w:tcMar>
              <w:top w:w="60" w:type="dxa"/>
              <w:left w:w="70" w:type="dxa"/>
              <w:bottom w:w="60" w:type="dxa"/>
              <w:right w:w="70" w:type="dxa"/>
            </w:tcMar>
            <w:vAlign w:val="center"/>
          </w:tcPr>
          <w:p w14:paraId="18D70345" w14:textId="77777777" w:rsidR="00717F86" w:rsidRDefault="00000000" w:rsidP="00B40A1D">
            <w:pPr>
              <w:spacing w:line="240" w:lineRule="auto"/>
              <w:ind w:firstLine="0"/>
              <w:jc w:val="center"/>
            </w:pPr>
            <w:r>
              <w:rPr>
                <w:sz w:val="17"/>
              </w:rPr>
              <w:t>Largest daily RR during August</w:t>
            </w:r>
          </w:p>
        </w:tc>
        <w:tc>
          <w:tcPr>
            <w:tcW w:w="764" w:type="dxa"/>
            <w:tcMar>
              <w:top w:w="60" w:type="dxa"/>
              <w:left w:w="70" w:type="dxa"/>
              <w:bottom w:w="60" w:type="dxa"/>
              <w:right w:w="70" w:type="dxa"/>
            </w:tcMar>
            <w:vAlign w:val="center"/>
          </w:tcPr>
          <w:p w14:paraId="0BA53268" w14:textId="77777777" w:rsidR="00717F86" w:rsidRDefault="00000000" w:rsidP="00B40A1D">
            <w:pPr>
              <w:spacing w:line="240" w:lineRule="auto"/>
              <w:ind w:firstLine="0"/>
              <w:jc w:val="center"/>
            </w:pPr>
            <w:r>
              <w:rPr>
                <w:sz w:val="17"/>
              </w:rPr>
              <w:t>mm</w:t>
            </w:r>
          </w:p>
        </w:tc>
        <w:tc>
          <w:tcPr>
            <w:tcW w:w="1088" w:type="dxa"/>
            <w:tcMar>
              <w:top w:w="60" w:type="dxa"/>
              <w:left w:w="70" w:type="dxa"/>
              <w:bottom w:w="60" w:type="dxa"/>
              <w:right w:w="70" w:type="dxa"/>
            </w:tcMar>
            <w:vAlign w:val="center"/>
          </w:tcPr>
          <w:p w14:paraId="5B8B6611" w14:textId="77777777" w:rsidR="00717F86" w:rsidRDefault="00000000" w:rsidP="00B40A1D">
            <w:pPr>
              <w:spacing w:line="240" w:lineRule="auto"/>
              <w:ind w:firstLine="0"/>
              <w:jc w:val="center"/>
            </w:pPr>
            <w:r>
              <w:rPr>
                <w:sz w:val="17"/>
              </w:rPr>
              <w:t>Sen slope</w:t>
            </w:r>
          </w:p>
        </w:tc>
        <w:tc>
          <w:tcPr>
            <w:tcW w:w="1591" w:type="dxa"/>
            <w:tcMar>
              <w:top w:w="60" w:type="dxa"/>
              <w:left w:w="70" w:type="dxa"/>
              <w:bottom w:w="60" w:type="dxa"/>
              <w:right w:w="70" w:type="dxa"/>
            </w:tcMar>
            <w:vAlign w:val="center"/>
          </w:tcPr>
          <w:p w14:paraId="0DD7936A" w14:textId="77777777" w:rsidR="00717F86" w:rsidRDefault="00000000" w:rsidP="00B40A1D">
            <w:pPr>
              <w:spacing w:line="240" w:lineRule="auto"/>
              <w:ind w:firstLine="0"/>
              <w:jc w:val="center"/>
            </w:pPr>
            <w:r>
              <w:rPr>
                <w:sz w:val="17"/>
              </w:rPr>
              <w:t>August in Figure S4</w:t>
            </w:r>
          </w:p>
        </w:tc>
      </w:tr>
      <w:tr w:rsidR="00717F86" w14:paraId="1DDE384F" w14:textId="77777777" w:rsidTr="00B40A1D">
        <w:trPr>
          <w:cantSplit/>
          <w:jc w:val="center"/>
        </w:trPr>
        <w:tc>
          <w:tcPr>
            <w:tcW w:w="905" w:type="dxa"/>
            <w:tcMar>
              <w:top w:w="60" w:type="dxa"/>
              <w:left w:w="70" w:type="dxa"/>
              <w:bottom w:w="60" w:type="dxa"/>
              <w:right w:w="70" w:type="dxa"/>
            </w:tcMar>
            <w:vAlign w:val="center"/>
          </w:tcPr>
          <w:p w14:paraId="64E0E833" w14:textId="77777777" w:rsidR="00717F86" w:rsidRDefault="00000000" w:rsidP="00B40A1D">
            <w:pPr>
              <w:spacing w:line="240" w:lineRule="auto"/>
              <w:ind w:firstLine="0"/>
              <w:jc w:val="center"/>
            </w:pPr>
            <w:r>
              <w:rPr>
                <w:sz w:val="17"/>
              </w:rPr>
              <w:t>R99p</w:t>
            </w:r>
          </w:p>
        </w:tc>
        <w:tc>
          <w:tcPr>
            <w:tcW w:w="1899" w:type="dxa"/>
            <w:tcMar>
              <w:top w:w="60" w:type="dxa"/>
              <w:left w:w="70" w:type="dxa"/>
              <w:bottom w:w="60" w:type="dxa"/>
              <w:right w:w="70" w:type="dxa"/>
            </w:tcMar>
            <w:vAlign w:val="center"/>
          </w:tcPr>
          <w:p w14:paraId="2338E4A4" w14:textId="77777777" w:rsidR="00717F86" w:rsidRDefault="00000000" w:rsidP="00B40A1D">
            <w:pPr>
              <w:spacing w:line="240" w:lineRule="auto"/>
              <w:ind w:firstLine="0"/>
              <w:jc w:val="center"/>
            </w:pPr>
            <w:r>
              <w:rPr>
                <w:sz w:val="17"/>
              </w:rPr>
              <w:t>Precipitation from extremely wet days</w:t>
            </w:r>
          </w:p>
        </w:tc>
        <w:tc>
          <w:tcPr>
            <w:tcW w:w="2169" w:type="dxa"/>
            <w:tcMar>
              <w:top w:w="60" w:type="dxa"/>
              <w:left w:w="70" w:type="dxa"/>
              <w:bottom w:w="60" w:type="dxa"/>
              <w:right w:w="70" w:type="dxa"/>
            </w:tcMar>
            <w:vAlign w:val="center"/>
          </w:tcPr>
          <w:p w14:paraId="58A82192" w14:textId="77777777" w:rsidR="00717F86" w:rsidRDefault="00000000" w:rsidP="00B40A1D">
            <w:pPr>
              <w:spacing w:line="240" w:lineRule="auto"/>
              <w:ind w:firstLine="0"/>
              <w:jc w:val="center"/>
            </w:pPr>
            <w:r>
              <w:rPr>
                <w:sz w:val="17"/>
              </w:rPr>
              <w:t>Sum of August RR above the calendar-day 99th percentile defined for 1983–2013</w:t>
            </w:r>
          </w:p>
        </w:tc>
        <w:tc>
          <w:tcPr>
            <w:tcW w:w="764" w:type="dxa"/>
            <w:tcMar>
              <w:top w:w="60" w:type="dxa"/>
              <w:left w:w="70" w:type="dxa"/>
              <w:bottom w:w="60" w:type="dxa"/>
              <w:right w:w="70" w:type="dxa"/>
            </w:tcMar>
            <w:vAlign w:val="center"/>
          </w:tcPr>
          <w:p w14:paraId="451CCE82" w14:textId="77777777" w:rsidR="00717F86" w:rsidRDefault="00000000" w:rsidP="00B40A1D">
            <w:pPr>
              <w:spacing w:line="240" w:lineRule="auto"/>
              <w:ind w:firstLine="0"/>
              <w:jc w:val="center"/>
            </w:pPr>
            <w:r>
              <w:rPr>
                <w:sz w:val="17"/>
              </w:rPr>
              <w:t>mm</w:t>
            </w:r>
          </w:p>
        </w:tc>
        <w:tc>
          <w:tcPr>
            <w:tcW w:w="1088" w:type="dxa"/>
            <w:tcMar>
              <w:top w:w="60" w:type="dxa"/>
              <w:left w:w="70" w:type="dxa"/>
              <w:bottom w:w="60" w:type="dxa"/>
              <w:right w:w="70" w:type="dxa"/>
            </w:tcMar>
            <w:vAlign w:val="center"/>
          </w:tcPr>
          <w:p w14:paraId="7D2B1D5A" w14:textId="77777777" w:rsidR="00717F86" w:rsidRDefault="00000000" w:rsidP="00B40A1D">
            <w:pPr>
              <w:spacing w:line="240" w:lineRule="auto"/>
              <w:ind w:firstLine="0"/>
              <w:jc w:val="center"/>
            </w:pPr>
            <w:r>
              <w:rPr>
                <w:sz w:val="17"/>
              </w:rPr>
              <w:t>Linear-model slope</w:t>
            </w:r>
          </w:p>
        </w:tc>
        <w:tc>
          <w:tcPr>
            <w:tcW w:w="1591" w:type="dxa"/>
            <w:tcMar>
              <w:top w:w="60" w:type="dxa"/>
              <w:left w:w="70" w:type="dxa"/>
              <w:bottom w:w="60" w:type="dxa"/>
              <w:right w:w="70" w:type="dxa"/>
            </w:tcMar>
            <w:vAlign w:val="center"/>
          </w:tcPr>
          <w:p w14:paraId="7A11F483" w14:textId="77777777" w:rsidR="00717F86" w:rsidRDefault="00000000" w:rsidP="00B40A1D">
            <w:pPr>
              <w:spacing w:line="240" w:lineRule="auto"/>
              <w:ind w:firstLine="0"/>
              <w:jc w:val="center"/>
            </w:pPr>
            <w:r>
              <w:rPr>
                <w:sz w:val="17"/>
              </w:rPr>
              <w:t>August in Figure S3</w:t>
            </w:r>
          </w:p>
        </w:tc>
      </w:tr>
      <w:tr w:rsidR="00717F86" w14:paraId="0E8944AB" w14:textId="77777777" w:rsidTr="00B40A1D">
        <w:trPr>
          <w:cantSplit/>
          <w:jc w:val="center"/>
        </w:trPr>
        <w:tc>
          <w:tcPr>
            <w:tcW w:w="905" w:type="dxa"/>
            <w:tcMar>
              <w:top w:w="60" w:type="dxa"/>
              <w:left w:w="70" w:type="dxa"/>
              <w:bottom w:w="60" w:type="dxa"/>
              <w:right w:w="70" w:type="dxa"/>
            </w:tcMar>
            <w:vAlign w:val="center"/>
          </w:tcPr>
          <w:p w14:paraId="7122E5C5" w14:textId="77777777" w:rsidR="00717F86" w:rsidRDefault="00000000" w:rsidP="00B40A1D">
            <w:pPr>
              <w:spacing w:line="240" w:lineRule="auto"/>
              <w:ind w:firstLine="0"/>
              <w:jc w:val="center"/>
            </w:pPr>
            <w:r>
              <w:rPr>
                <w:sz w:val="17"/>
              </w:rPr>
              <w:t>R60mm</w:t>
            </w:r>
          </w:p>
        </w:tc>
        <w:tc>
          <w:tcPr>
            <w:tcW w:w="1899" w:type="dxa"/>
            <w:tcMar>
              <w:top w:w="60" w:type="dxa"/>
              <w:left w:w="70" w:type="dxa"/>
              <w:bottom w:w="60" w:type="dxa"/>
              <w:right w:w="70" w:type="dxa"/>
            </w:tcMar>
            <w:vAlign w:val="center"/>
          </w:tcPr>
          <w:p w14:paraId="62D5A3CF" w14:textId="77777777" w:rsidR="00717F86" w:rsidRDefault="00000000" w:rsidP="00B40A1D">
            <w:pPr>
              <w:spacing w:line="240" w:lineRule="auto"/>
              <w:ind w:firstLine="0"/>
              <w:jc w:val="center"/>
            </w:pPr>
            <w:r>
              <w:rPr>
                <w:sz w:val="17"/>
              </w:rPr>
              <w:t>Days with RR ≥ 60 mm</w:t>
            </w:r>
          </w:p>
        </w:tc>
        <w:tc>
          <w:tcPr>
            <w:tcW w:w="2169" w:type="dxa"/>
            <w:tcMar>
              <w:top w:w="60" w:type="dxa"/>
              <w:left w:w="70" w:type="dxa"/>
              <w:bottom w:w="60" w:type="dxa"/>
              <w:right w:w="70" w:type="dxa"/>
            </w:tcMar>
            <w:vAlign w:val="center"/>
          </w:tcPr>
          <w:p w14:paraId="38FA361C" w14:textId="77777777" w:rsidR="00717F86" w:rsidRDefault="00000000" w:rsidP="00B40A1D">
            <w:pPr>
              <w:spacing w:line="240" w:lineRule="auto"/>
              <w:ind w:firstLine="0"/>
              <w:jc w:val="center"/>
            </w:pPr>
            <w:r>
              <w:rPr>
                <w:sz w:val="17"/>
              </w:rPr>
              <w:t>Count of JJA days with RR ≥ 60 mm</w:t>
            </w:r>
          </w:p>
        </w:tc>
        <w:tc>
          <w:tcPr>
            <w:tcW w:w="764" w:type="dxa"/>
            <w:tcMar>
              <w:top w:w="60" w:type="dxa"/>
              <w:left w:w="70" w:type="dxa"/>
              <w:bottom w:w="60" w:type="dxa"/>
              <w:right w:w="70" w:type="dxa"/>
            </w:tcMar>
            <w:vAlign w:val="center"/>
          </w:tcPr>
          <w:p w14:paraId="71FA97F3" w14:textId="77777777" w:rsidR="00717F86" w:rsidRDefault="00000000" w:rsidP="00B40A1D">
            <w:pPr>
              <w:spacing w:line="240" w:lineRule="auto"/>
              <w:ind w:firstLine="0"/>
              <w:jc w:val="center"/>
            </w:pPr>
            <w:r>
              <w:rPr>
                <w:sz w:val="17"/>
              </w:rPr>
              <w:t>days</w:t>
            </w:r>
          </w:p>
        </w:tc>
        <w:tc>
          <w:tcPr>
            <w:tcW w:w="1088" w:type="dxa"/>
            <w:tcMar>
              <w:top w:w="60" w:type="dxa"/>
              <w:left w:w="70" w:type="dxa"/>
              <w:bottom w:w="60" w:type="dxa"/>
              <w:right w:w="70" w:type="dxa"/>
            </w:tcMar>
            <w:vAlign w:val="center"/>
          </w:tcPr>
          <w:p w14:paraId="35A445EE" w14:textId="77777777" w:rsidR="00717F86" w:rsidRDefault="00000000" w:rsidP="00B40A1D">
            <w:pPr>
              <w:spacing w:line="240" w:lineRule="auto"/>
              <w:ind w:firstLine="0"/>
              <w:jc w:val="center"/>
            </w:pPr>
            <w:r>
              <w:rPr>
                <w:sz w:val="17"/>
              </w:rPr>
              <w:t>Linear-model slope</w:t>
            </w:r>
          </w:p>
        </w:tc>
        <w:tc>
          <w:tcPr>
            <w:tcW w:w="1591" w:type="dxa"/>
            <w:tcMar>
              <w:top w:w="60" w:type="dxa"/>
              <w:left w:w="70" w:type="dxa"/>
              <w:bottom w:w="60" w:type="dxa"/>
              <w:right w:w="70" w:type="dxa"/>
            </w:tcMar>
            <w:vAlign w:val="center"/>
          </w:tcPr>
          <w:p w14:paraId="7A1B90A7" w14:textId="77777777" w:rsidR="00717F86" w:rsidRDefault="00000000" w:rsidP="00B40A1D">
            <w:pPr>
              <w:spacing w:line="240" w:lineRule="auto"/>
              <w:ind w:firstLine="0"/>
              <w:jc w:val="center"/>
            </w:pPr>
            <w:r>
              <w:rPr>
                <w:sz w:val="17"/>
              </w:rPr>
              <w:t>JJA in Figure 10</w:t>
            </w:r>
          </w:p>
        </w:tc>
      </w:tr>
      <w:tr w:rsidR="00717F86" w14:paraId="53A1FA62" w14:textId="77777777" w:rsidTr="00B40A1D">
        <w:trPr>
          <w:cantSplit/>
          <w:jc w:val="center"/>
        </w:trPr>
        <w:tc>
          <w:tcPr>
            <w:tcW w:w="905" w:type="dxa"/>
            <w:tcMar>
              <w:top w:w="60" w:type="dxa"/>
              <w:left w:w="70" w:type="dxa"/>
              <w:bottom w:w="60" w:type="dxa"/>
              <w:right w:w="70" w:type="dxa"/>
            </w:tcMar>
            <w:vAlign w:val="center"/>
          </w:tcPr>
          <w:p w14:paraId="431BFA1C" w14:textId="77777777" w:rsidR="00717F86" w:rsidRDefault="00000000" w:rsidP="00B40A1D">
            <w:pPr>
              <w:spacing w:line="240" w:lineRule="auto"/>
              <w:ind w:firstLine="0"/>
              <w:jc w:val="center"/>
            </w:pPr>
            <w:r>
              <w:rPr>
                <w:sz w:val="17"/>
              </w:rPr>
              <w:t>R80mm</w:t>
            </w:r>
          </w:p>
        </w:tc>
        <w:tc>
          <w:tcPr>
            <w:tcW w:w="1899" w:type="dxa"/>
            <w:tcMar>
              <w:top w:w="60" w:type="dxa"/>
              <w:left w:w="70" w:type="dxa"/>
              <w:bottom w:w="60" w:type="dxa"/>
              <w:right w:w="70" w:type="dxa"/>
            </w:tcMar>
            <w:vAlign w:val="center"/>
          </w:tcPr>
          <w:p w14:paraId="2356E189" w14:textId="77777777" w:rsidR="00717F86" w:rsidRDefault="00000000" w:rsidP="00B40A1D">
            <w:pPr>
              <w:spacing w:line="240" w:lineRule="auto"/>
              <w:ind w:firstLine="0"/>
              <w:jc w:val="center"/>
            </w:pPr>
            <w:r>
              <w:rPr>
                <w:sz w:val="17"/>
              </w:rPr>
              <w:t>Days with RR ≥ 80 mm</w:t>
            </w:r>
          </w:p>
        </w:tc>
        <w:tc>
          <w:tcPr>
            <w:tcW w:w="2169" w:type="dxa"/>
            <w:tcMar>
              <w:top w:w="60" w:type="dxa"/>
              <w:left w:w="70" w:type="dxa"/>
              <w:bottom w:w="60" w:type="dxa"/>
              <w:right w:w="70" w:type="dxa"/>
            </w:tcMar>
            <w:vAlign w:val="center"/>
          </w:tcPr>
          <w:p w14:paraId="571704AF" w14:textId="77777777" w:rsidR="00717F86" w:rsidRDefault="00000000" w:rsidP="00B40A1D">
            <w:pPr>
              <w:spacing w:line="240" w:lineRule="auto"/>
              <w:ind w:firstLine="0"/>
              <w:jc w:val="center"/>
            </w:pPr>
            <w:r>
              <w:rPr>
                <w:sz w:val="17"/>
              </w:rPr>
              <w:t>Count of JJA days with RR ≥ 80 mm</w:t>
            </w:r>
          </w:p>
        </w:tc>
        <w:tc>
          <w:tcPr>
            <w:tcW w:w="764" w:type="dxa"/>
            <w:tcMar>
              <w:top w:w="60" w:type="dxa"/>
              <w:left w:w="70" w:type="dxa"/>
              <w:bottom w:w="60" w:type="dxa"/>
              <w:right w:w="70" w:type="dxa"/>
            </w:tcMar>
            <w:vAlign w:val="center"/>
          </w:tcPr>
          <w:p w14:paraId="291B8518" w14:textId="77777777" w:rsidR="00717F86" w:rsidRDefault="00000000" w:rsidP="00B40A1D">
            <w:pPr>
              <w:spacing w:line="240" w:lineRule="auto"/>
              <w:ind w:firstLine="0"/>
              <w:jc w:val="center"/>
            </w:pPr>
            <w:r>
              <w:rPr>
                <w:sz w:val="17"/>
              </w:rPr>
              <w:t>days</w:t>
            </w:r>
          </w:p>
        </w:tc>
        <w:tc>
          <w:tcPr>
            <w:tcW w:w="1088" w:type="dxa"/>
            <w:tcMar>
              <w:top w:w="60" w:type="dxa"/>
              <w:left w:w="70" w:type="dxa"/>
              <w:bottom w:w="60" w:type="dxa"/>
              <w:right w:w="70" w:type="dxa"/>
            </w:tcMar>
            <w:vAlign w:val="center"/>
          </w:tcPr>
          <w:p w14:paraId="1FCDA331" w14:textId="77777777" w:rsidR="00717F86" w:rsidRDefault="00000000" w:rsidP="00B40A1D">
            <w:pPr>
              <w:spacing w:line="240" w:lineRule="auto"/>
              <w:ind w:firstLine="0"/>
              <w:jc w:val="center"/>
            </w:pPr>
            <w:r>
              <w:rPr>
                <w:sz w:val="17"/>
              </w:rPr>
              <w:t>Linear-model slope</w:t>
            </w:r>
          </w:p>
        </w:tc>
        <w:tc>
          <w:tcPr>
            <w:tcW w:w="1591" w:type="dxa"/>
            <w:tcMar>
              <w:top w:w="60" w:type="dxa"/>
              <w:left w:w="70" w:type="dxa"/>
              <w:bottom w:w="60" w:type="dxa"/>
              <w:right w:w="70" w:type="dxa"/>
            </w:tcMar>
            <w:vAlign w:val="center"/>
          </w:tcPr>
          <w:p w14:paraId="2EFA4E7E" w14:textId="77777777" w:rsidR="00717F86" w:rsidRDefault="00000000" w:rsidP="00B40A1D">
            <w:pPr>
              <w:spacing w:line="240" w:lineRule="auto"/>
              <w:ind w:firstLine="0"/>
              <w:jc w:val="center"/>
            </w:pPr>
            <w:r>
              <w:rPr>
                <w:sz w:val="17"/>
              </w:rPr>
              <w:t>JJA in Figure 10</w:t>
            </w:r>
          </w:p>
        </w:tc>
      </w:tr>
    </w:tbl>
    <w:p w14:paraId="080F6DCD" w14:textId="0BF4629A" w:rsidR="00717F86" w:rsidRDefault="00000000">
      <w:pPr>
        <w:keepLines/>
        <w:spacing w:line="240" w:lineRule="auto"/>
        <w:ind w:firstLine="0"/>
      </w:pPr>
      <w:r>
        <w:rPr>
          <w:b/>
          <w:sz w:val="21"/>
        </w:rPr>
        <w:t>Note</w:t>
      </w:r>
      <w:r w:rsidRPr="00B40A1D">
        <w:rPr>
          <w:bCs/>
          <w:sz w:val="21"/>
        </w:rPr>
        <w:t xml:space="preserve">. </w:t>
      </w:r>
      <w:r>
        <w:rPr>
          <w:sz w:val="21"/>
        </w:rPr>
        <w:t xml:space="preserve">RR denotes daily precipitation. A wet day is defined by RR greater than or equal to 1 mm. PRCPTOT is the total precipitation accumulated on wet days and is not equivalent to the 1 mm threshold. The 1983 to 2013 interval defines only the fixed R99p threshold, whereas all trend tests use the complete 1983 to 2024 record. Sen slope is reported for PRCPTOT, CDD, and RX1Day. </w:t>
      </w:r>
      <w:r w:rsidR="00A26B94" w:rsidRPr="00A26B94">
        <w:rPr>
          <w:sz w:val="21"/>
        </w:rPr>
        <w:t>Linear-model slope is reported descriptively for R99p, R60mm, and R80mm because highly tied and zero-inflated threshold-based series can yield an exactly zero Sen slope despite a significant monotonic tendency.</w:t>
      </w:r>
      <w:r>
        <w:rPr>
          <w:sz w:val="21"/>
        </w:rPr>
        <w:t xml:space="preserve"> Inferential decisions remain based exclusively on the two-sided Mann-Kendall test with p below 0.05. Agreement among products indicates recurrence across datasets and is not treated as a substitute for validation against continuous local daily observations.</w:t>
      </w:r>
    </w:p>
    <w:p w14:paraId="52F41009" w14:textId="312EF9DF" w:rsidR="00717F86" w:rsidRDefault="00B40A1D">
      <w:pPr>
        <w:keepNext/>
        <w:keepLines/>
        <w:pageBreakBefore/>
        <w:spacing w:line="240" w:lineRule="auto"/>
        <w:ind w:firstLine="0"/>
        <w:jc w:val="center"/>
      </w:pPr>
      <w:r>
        <w:rPr>
          <w:noProof/>
        </w:rPr>
        <w:lastRenderedPageBreak/>
        <w:drawing>
          <wp:inline distT="0" distB="0" distL="0" distR="0" wp14:anchorId="7234B979" wp14:editId="2C594BD2">
            <wp:extent cx="5940000" cy="7768659"/>
            <wp:effectExtent l="0" t="0" r="3810" b="3810"/>
            <wp:docPr id="12944115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411508" name="Imagem 1294411508"/>
                    <pic:cNvPicPr/>
                  </pic:nvPicPr>
                  <pic:blipFill>
                    <a:blip r:embed="rId8"/>
                    <a:stretch>
                      <a:fillRect/>
                    </a:stretch>
                  </pic:blipFill>
                  <pic:spPr>
                    <a:xfrm>
                      <a:off x="0" y="0"/>
                      <a:ext cx="5940000" cy="7768659"/>
                    </a:xfrm>
                    <a:prstGeom prst="rect">
                      <a:avLst/>
                    </a:prstGeom>
                  </pic:spPr>
                </pic:pic>
              </a:graphicData>
            </a:graphic>
          </wp:inline>
        </w:drawing>
      </w:r>
    </w:p>
    <w:p w14:paraId="78181CCE" w14:textId="77777777" w:rsidR="00717F86" w:rsidRDefault="00000000">
      <w:pPr>
        <w:keepLines/>
        <w:spacing w:line="240" w:lineRule="auto"/>
        <w:ind w:firstLine="0"/>
      </w:pPr>
      <w:r>
        <w:rPr>
          <w:b/>
        </w:rPr>
        <w:t xml:space="preserve">Figure S1. </w:t>
      </w:r>
      <w:r>
        <w:t xml:space="preserve">Spatial distribution of annual trends in total wet-day precipitation across the Port-au-Prince Arrondissement. </w:t>
      </w:r>
      <w:r w:rsidRPr="00B40A1D">
        <w:rPr>
          <w:b/>
          <w:bCs/>
        </w:rPr>
        <w:t>Panels A</w:t>
      </w:r>
      <w:r>
        <w:t xml:space="preserve"> through </w:t>
      </w:r>
      <w:r w:rsidRPr="00B40A1D">
        <w:rPr>
          <w:b/>
          <w:bCs/>
        </w:rPr>
        <w:t>E</w:t>
      </w:r>
      <w:r>
        <w:t xml:space="preserve"> present CHIRPS, ERA5, ERA5-Land, AgERA5, and PERSIANN-CDR. Magnitude is expressed as Sen slope in millimetres per year. Hatching identifies cells with two-sided Mann–Kendall p values below 0.05.</w:t>
      </w:r>
    </w:p>
    <w:p w14:paraId="50160E7C" w14:textId="77777777" w:rsidR="00717F86" w:rsidRDefault="00000000">
      <w:pPr>
        <w:spacing w:line="240" w:lineRule="auto"/>
        <w:ind w:firstLine="0"/>
        <w:jc w:val="left"/>
      </w:pPr>
      <w:r>
        <w:br w:type="page"/>
      </w:r>
    </w:p>
    <w:p w14:paraId="79368A6D" w14:textId="403A4306" w:rsidR="00717F86" w:rsidRDefault="00B40A1D">
      <w:pPr>
        <w:keepNext/>
        <w:keepLines/>
        <w:pageBreakBefore/>
        <w:spacing w:line="240" w:lineRule="auto"/>
        <w:ind w:firstLine="0"/>
        <w:jc w:val="center"/>
      </w:pPr>
      <w:r>
        <w:rPr>
          <w:noProof/>
        </w:rPr>
        <w:lastRenderedPageBreak/>
        <w:drawing>
          <wp:inline distT="0" distB="0" distL="0" distR="0" wp14:anchorId="162A2050" wp14:editId="41DCC82C">
            <wp:extent cx="5940000" cy="7767262"/>
            <wp:effectExtent l="0" t="0" r="3810" b="5715"/>
            <wp:docPr id="1529245518"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45518" name="Imagem 1529245518"/>
                    <pic:cNvPicPr/>
                  </pic:nvPicPr>
                  <pic:blipFill>
                    <a:blip r:embed="rId9"/>
                    <a:stretch>
                      <a:fillRect/>
                    </a:stretch>
                  </pic:blipFill>
                  <pic:spPr>
                    <a:xfrm>
                      <a:off x="0" y="0"/>
                      <a:ext cx="5940000" cy="7767262"/>
                    </a:xfrm>
                    <a:prstGeom prst="rect">
                      <a:avLst/>
                    </a:prstGeom>
                  </pic:spPr>
                </pic:pic>
              </a:graphicData>
            </a:graphic>
          </wp:inline>
        </w:drawing>
      </w:r>
    </w:p>
    <w:p w14:paraId="3C698091" w14:textId="77777777" w:rsidR="00717F86" w:rsidRDefault="00000000">
      <w:pPr>
        <w:keepLines/>
        <w:spacing w:line="240" w:lineRule="auto"/>
        <w:ind w:firstLine="0"/>
      </w:pPr>
      <w:r>
        <w:rPr>
          <w:b/>
        </w:rPr>
        <w:t xml:space="preserve">Figure S2. </w:t>
      </w:r>
      <w:r>
        <w:t xml:space="preserve">Spatial distribution of annual trends in consecutive dry days across the Port-au-Prince Arrondissement. </w:t>
      </w:r>
      <w:r w:rsidRPr="00B40A1D">
        <w:rPr>
          <w:b/>
          <w:bCs/>
        </w:rPr>
        <w:t>Panels A</w:t>
      </w:r>
      <w:r>
        <w:t xml:space="preserve"> through </w:t>
      </w:r>
      <w:r w:rsidRPr="00B40A1D">
        <w:rPr>
          <w:b/>
          <w:bCs/>
        </w:rPr>
        <w:t>E</w:t>
      </w:r>
      <w:r>
        <w:t xml:space="preserve"> present CHIRPS, ERA5, ERA5-Land, AgERA5, and PERSIANN-CDR. Magnitude is expressed as Sen slope in days per year. Hatching identifies cells with two-sided Mann–Kendall p values below 0.05.</w:t>
      </w:r>
    </w:p>
    <w:p w14:paraId="36761604" w14:textId="77777777" w:rsidR="00717F86" w:rsidRDefault="00000000">
      <w:pPr>
        <w:spacing w:line="240" w:lineRule="auto"/>
        <w:ind w:firstLine="0"/>
        <w:jc w:val="left"/>
      </w:pPr>
      <w:r>
        <w:br w:type="page"/>
      </w:r>
    </w:p>
    <w:p w14:paraId="6B375B09" w14:textId="41656C70" w:rsidR="00717F86" w:rsidRDefault="00B40A1D">
      <w:pPr>
        <w:keepNext/>
        <w:keepLines/>
        <w:pageBreakBefore/>
        <w:spacing w:line="240" w:lineRule="auto"/>
        <w:ind w:firstLine="0"/>
        <w:jc w:val="center"/>
      </w:pPr>
      <w:r>
        <w:rPr>
          <w:noProof/>
        </w:rPr>
        <w:lastRenderedPageBreak/>
        <w:drawing>
          <wp:inline distT="0" distB="0" distL="0" distR="0" wp14:anchorId="6AFDDA8E" wp14:editId="19168D77">
            <wp:extent cx="5940000" cy="7769358"/>
            <wp:effectExtent l="0" t="0" r="3810" b="3175"/>
            <wp:docPr id="1652508117"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08117" name="Imagem 1652508117"/>
                    <pic:cNvPicPr/>
                  </pic:nvPicPr>
                  <pic:blipFill>
                    <a:blip r:embed="rId10"/>
                    <a:stretch>
                      <a:fillRect/>
                    </a:stretch>
                  </pic:blipFill>
                  <pic:spPr>
                    <a:xfrm>
                      <a:off x="0" y="0"/>
                      <a:ext cx="5940000" cy="7769358"/>
                    </a:xfrm>
                    <a:prstGeom prst="rect">
                      <a:avLst/>
                    </a:prstGeom>
                  </pic:spPr>
                </pic:pic>
              </a:graphicData>
            </a:graphic>
          </wp:inline>
        </w:drawing>
      </w:r>
    </w:p>
    <w:p w14:paraId="45AC6254" w14:textId="77777777" w:rsidR="00717F86" w:rsidRDefault="00000000">
      <w:pPr>
        <w:keepLines/>
        <w:spacing w:line="240" w:lineRule="auto"/>
        <w:ind w:firstLine="0"/>
      </w:pPr>
      <w:r>
        <w:rPr>
          <w:b/>
        </w:rPr>
        <w:t xml:space="preserve">Figure S3. </w:t>
      </w:r>
      <w:r>
        <w:t xml:space="preserve">Spatial distribution of August trends in precipitation accumulated on extremely wet days across the Port-au-Prince Arrondissement. </w:t>
      </w:r>
      <w:r w:rsidRPr="00B40A1D">
        <w:rPr>
          <w:b/>
          <w:bCs/>
        </w:rPr>
        <w:t>Panels A</w:t>
      </w:r>
      <w:r>
        <w:t xml:space="preserve"> through </w:t>
      </w:r>
      <w:r w:rsidRPr="00B40A1D">
        <w:rPr>
          <w:b/>
          <w:bCs/>
        </w:rPr>
        <w:t>E</w:t>
      </w:r>
      <w:r>
        <w:t xml:space="preserve"> present CHIRPS, ERA5, ERA5-Land, AgERA5, and PERSIANN-CDR. Magnitude is expressed as linear model slope in millimetres per year. Hatching identifies cells with two-sided Mann–Kendall p values below 0.05.</w:t>
      </w:r>
    </w:p>
    <w:p w14:paraId="01450650" w14:textId="77777777" w:rsidR="00717F86" w:rsidRDefault="00000000">
      <w:pPr>
        <w:spacing w:line="240" w:lineRule="auto"/>
        <w:ind w:firstLine="0"/>
        <w:jc w:val="left"/>
      </w:pPr>
      <w:r>
        <w:br w:type="page"/>
      </w:r>
    </w:p>
    <w:p w14:paraId="500FDDB7" w14:textId="0ACF7C53" w:rsidR="00717F86" w:rsidRDefault="00B40A1D">
      <w:pPr>
        <w:keepNext/>
        <w:keepLines/>
        <w:pageBreakBefore/>
        <w:spacing w:line="240" w:lineRule="auto"/>
        <w:ind w:firstLine="0"/>
        <w:jc w:val="center"/>
      </w:pPr>
      <w:r>
        <w:rPr>
          <w:noProof/>
        </w:rPr>
        <w:lastRenderedPageBreak/>
        <w:drawing>
          <wp:inline distT="0" distB="0" distL="0" distR="0" wp14:anchorId="54E12DAE" wp14:editId="4804349D">
            <wp:extent cx="5940000" cy="7765167"/>
            <wp:effectExtent l="0" t="0" r="3810" b="7620"/>
            <wp:docPr id="122052652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526524" name="Imagem 1220526524"/>
                    <pic:cNvPicPr/>
                  </pic:nvPicPr>
                  <pic:blipFill>
                    <a:blip r:embed="rId11"/>
                    <a:stretch>
                      <a:fillRect/>
                    </a:stretch>
                  </pic:blipFill>
                  <pic:spPr>
                    <a:xfrm>
                      <a:off x="0" y="0"/>
                      <a:ext cx="5940000" cy="7765167"/>
                    </a:xfrm>
                    <a:prstGeom prst="rect">
                      <a:avLst/>
                    </a:prstGeom>
                  </pic:spPr>
                </pic:pic>
              </a:graphicData>
            </a:graphic>
          </wp:inline>
        </w:drawing>
      </w:r>
    </w:p>
    <w:p w14:paraId="0BB9873B" w14:textId="77777777" w:rsidR="00717F86" w:rsidRDefault="00000000">
      <w:pPr>
        <w:keepLines/>
        <w:spacing w:line="240" w:lineRule="auto"/>
        <w:ind w:firstLine="0"/>
      </w:pPr>
      <w:r>
        <w:rPr>
          <w:b/>
        </w:rPr>
        <w:t xml:space="preserve">Figure S4. </w:t>
      </w:r>
      <w:r>
        <w:t xml:space="preserve">Spatial distribution of August trends in maximum one-day precipitation across the Port-au-Prince Arrondissement. </w:t>
      </w:r>
      <w:r w:rsidRPr="00B40A1D">
        <w:rPr>
          <w:b/>
          <w:bCs/>
        </w:rPr>
        <w:t>Panels A</w:t>
      </w:r>
      <w:r>
        <w:t xml:space="preserve"> through </w:t>
      </w:r>
      <w:r w:rsidRPr="00B40A1D">
        <w:rPr>
          <w:b/>
          <w:bCs/>
        </w:rPr>
        <w:t>E</w:t>
      </w:r>
      <w:r>
        <w:t xml:space="preserve"> present CHIRPS, ERA5, ERA5-Land, AgERA5, and PERSIANN-CDR. Magnitude is expressed as Sen slope in millimetres per year. Hatching identifies cells with two-sided Mann–Kendall p values below 0.05.</w:t>
      </w:r>
    </w:p>
    <w:p w14:paraId="6785A7E4" w14:textId="77777777" w:rsidR="00717F86" w:rsidRDefault="00000000">
      <w:pPr>
        <w:spacing w:line="240" w:lineRule="auto"/>
        <w:ind w:firstLine="0"/>
        <w:jc w:val="left"/>
      </w:pPr>
      <w:r>
        <w:br w:type="page"/>
      </w:r>
    </w:p>
    <w:p w14:paraId="053E8B94" w14:textId="46E34810" w:rsidR="00717F86" w:rsidRDefault="00B40A1D" w:rsidP="003B288D">
      <w:pPr>
        <w:keepNext/>
        <w:keepLines/>
        <w:pageBreakBefore/>
        <w:spacing w:line="240" w:lineRule="auto"/>
        <w:ind w:firstLine="0"/>
      </w:pPr>
      <w:r>
        <w:rPr>
          <w:noProof/>
        </w:rPr>
        <w:lastRenderedPageBreak/>
        <w:drawing>
          <wp:inline distT="0" distB="0" distL="0" distR="0" wp14:anchorId="2D23707F" wp14:editId="24115459">
            <wp:extent cx="5580000" cy="7985494"/>
            <wp:effectExtent l="0" t="0" r="1905" b="0"/>
            <wp:docPr id="188656596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565960" name="Imagem 1886565960"/>
                    <pic:cNvPicPr/>
                  </pic:nvPicPr>
                  <pic:blipFill>
                    <a:blip r:embed="rId12"/>
                    <a:stretch>
                      <a:fillRect/>
                    </a:stretch>
                  </pic:blipFill>
                  <pic:spPr>
                    <a:xfrm>
                      <a:off x="0" y="0"/>
                      <a:ext cx="5580000" cy="7985494"/>
                    </a:xfrm>
                    <a:prstGeom prst="rect">
                      <a:avLst/>
                    </a:prstGeom>
                  </pic:spPr>
                </pic:pic>
              </a:graphicData>
            </a:graphic>
          </wp:inline>
        </w:drawing>
      </w:r>
      <w:r>
        <w:rPr>
          <w:b/>
        </w:rPr>
        <w:t xml:space="preserve">Figure S5. </w:t>
      </w:r>
      <w:r>
        <w:t xml:space="preserve">Spatial distribution of seasonal trends in consecutive dry days during DJF and MAM across the Port-au-Prince Arrondissement. </w:t>
      </w:r>
      <w:r w:rsidRPr="00B40A1D">
        <w:rPr>
          <w:b/>
          <w:bCs/>
        </w:rPr>
        <w:t>Panels A</w:t>
      </w:r>
      <w:r>
        <w:t xml:space="preserve"> and </w:t>
      </w:r>
      <w:r w:rsidRPr="00B40A1D">
        <w:rPr>
          <w:b/>
          <w:bCs/>
        </w:rPr>
        <w:t>B</w:t>
      </w:r>
      <w:r>
        <w:t xml:space="preserve"> present ERA5. </w:t>
      </w:r>
      <w:r w:rsidRPr="00B40A1D">
        <w:rPr>
          <w:b/>
          <w:bCs/>
        </w:rPr>
        <w:t>Panels C</w:t>
      </w:r>
      <w:r>
        <w:t xml:space="preserve"> and </w:t>
      </w:r>
      <w:r w:rsidRPr="00B40A1D">
        <w:rPr>
          <w:b/>
          <w:bCs/>
        </w:rPr>
        <w:t>D</w:t>
      </w:r>
      <w:r>
        <w:t xml:space="preserve"> present ERA5-Land. </w:t>
      </w:r>
      <w:r w:rsidRPr="00B40A1D">
        <w:rPr>
          <w:b/>
          <w:bCs/>
        </w:rPr>
        <w:t>Panels E</w:t>
      </w:r>
      <w:r>
        <w:t xml:space="preserve"> and </w:t>
      </w:r>
      <w:r w:rsidRPr="00B40A1D">
        <w:rPr>
          <w:b/>
          <w:bCs/>
        </w:rPr>
        <w:t>F</w:t>
      </w:r>
      <w:r>
        <w:t xml:space="preserve"> present AgERA5. Magnitude is expressed as Sen slope in days per year. Hatching identifies cells with two-sided Mann–Kendall p values below 0.05.</w:t>
      </w:r>
    </w:p>
    <w:sectPr w:rsidR="00717F86" w:rsidSect="00034616">
      <w:headerReference w:type="default" r:id="rId13"/>
      <w:footerReference w:type="default" r:id="rId14"/>
      <w:pgSz w:w="11906" w:h="16838"/>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2E1AB" w14:textId="77777777" w:rsidR="008E601E" w:rsidRDefault="008E601E">
      <w:pPr>
        <w:spacing w:line="240" w:lineRule="auto"/>
      </w:pPr>
      <w:r>
        <w:separator/>
      </w:r>
    </w:p>
  </w:endnote>
  <w:endnote w:type="continuationSeparator" w:id="0">
    <w:p w14:paraId="22B9C125" w14:textId="77777777" w:rsidR="008E601E" w:rsidRDefault="008E60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B3E63" w14:textId="77777777" w:rsidR="00717F86" w:rsidRDefault="00717F86">
    <w:pPr>
      <w:pStyle w:val="Rodap"/>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EE4E5" w14:textId="77777777" w:rsidR="008E601E" w:rsidRDefault="008E601E">
      <w:pPr>
        <w:spacing w:line="240" w:lineRule="auto"/>
      </w:pPr>
      <w:r>
        <w:separator/>
      </w:r>
    </w:p>
  </w:footnote>
  <w:footnote w:type="continuationSeparator" w:id="0">
    <w:p w14:paraId="22ECB508" w14:textId="77777777" w:rsidR="008E601E" w:rsidRDefault="008E60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5AB5E" w14:textId="77777777" w:rsidR="00717F86" w:rsidRDefault="00000000">
    <w:pPr>
      <w:spacing w:line="240" w:lineRule="auto"/>
      <w:ind w:firstLine="0"/>
      <w:jc w:val="right"/>
    </w:pPr>
    <w:r>
      <w:rPr>
        <w:sz w:val="20"/>
      </w:rPr>
      <w:fldChar w:fldCharType="begin"/>
    </w:r>
    <w:r>
      <w:rPr>
        <w:sz w:val="20"/>
      </w:rPr>
      <w:instrText xml:space="preserve"> PAGE </w:instrText>
    </w:r>
    <w:r>
      <w:rPr>
        <w:sz w:val="20"/>
      </w:rPr>
      <w:fldChar w:fldCharType="separate"/>
    </w:r>
    <w:r w:rsidR="00B40A1D">
      <w:rPr>
        <w:noProof/>
        <w:sz w:val="20"/>
      </w:rPr>
      <w:t>1</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1437406894">
    <w:abstractNumId w:val="8"/>
  </w:num>
  <w:num w:numId="2" w16cid:durableId="208077542">
    <w:abstractNumId w:val="6"/>
  </w:num>
  <w:num w:numId="3" w16cid:durableId="1803036225">
    <w:abstractNumId w:val="5"/>
  </w:num>
  <w:num w:numId="4" w16cid:durableId="162163981">
    <w:abstractNumId w:val="4"/>
  </w:num>
  <w:num w:numId="5" w16cid:durableId="666515213">
    <w:abstractNumId w:val="7"/>
  </w:num>
  <w:num w:numId="6" w16cid:durableId="471754079">
    <w:abstractNumId w:val="3"/>
  </w:num>
  <w:num w:numId="7" w16cid:durableId="2125268720">
    <w:abstractNumId w:val="2"/>
  </w:num>
  <w:num w:numId="8" w16cid:durableId="2090156730">
    <w:abstractNumId w:val="1"/>
  </w:num>
  <w:num w:numId="9" w16cid:durableId="1213078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B288D"/>
    <w:rsid w:val="00717F86"/>
    <w:rsid w:val="008E601E"/>
    <w:rsid w:val="00A25B7E"/>
    <w:rsid w:val="00A26B94"/>
    <w:rsid w:val="00A7149E"/>
    <w:rsid w:val="00AA1D8D"/>
    <w:rsid w:val="00B40A1D"/>
    <w:rsid w:val="00B47730"/>
    <w:rsid w:val="00BF4989"/>
    <w:rsid w:val="00CB0664"/>
    <w:rsid w:val="00F0760B"/>
    <w:rsid w:val="00F563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1E11B2"/>
  <w14:defaultImageDpi w14:val="300"/>
  <w15:docId w15:val="{84EC686A-CE48-427D-B754-6454A4B40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60" w:lineRule="auto"/>
      <w:ind w:firstLine="709"/>
      <w:jc w:val="both"/>
    </w:pPr>
    <w:rPr>
      <w:rFonts w:ascii="Cambria" w:eastAsia="Cambria" w:hAnsi="Cambria" w:cs="Cambria"/>
      <w:color w:val="000000"/>
      <w:sz w:val="24"/>
    </w:rPr>
  </w:style>
  <w:style w:type="paragraph" w:styleId="Ttulo1">
    <w:name w:val="heading 1"/>
    <w:basedOn w:val="Normal"/>
    <w:next w:val="Normal"/>
    <w:link w:val="Ttulo1Char"/>
    <w:uiPriority w:val="9"/>
    <w:qFormat/>
    <w:rsid w:val="00FC693F"/>
    <w:pPr>
      <w:keepNext/>
      <w:keepLines/>
      <w:spacing w:before="480"/>
      <w:outlineLvl w:val="0"/>
    </w:pPr>
    <w:rPr>
      <w:rFonts w:asciiTheme="majorHAnsi" w:eastAsiaTheme="majorEastAsia" w:hAnsiTheme="majorHAnsi" w:cstheme="majorBidi"/>
      <w:b/>
      <w:bCs/>
      <w:sz w:val="22"/>
      <w:szCs w:val="28"/>
    </w:rPr>
  </w:style>
  <w:style w:type="paragraph" w:styleId="Ttulo2">
    <w:name w:val="heading 2"/>
    <w:basedOn w:val="Normal"/>
    <w:next w:val="Normal"/>
    <w:link w:val="Ttulo2Char"/>
    <w:uiPriority w:val="9"/>
    <w:unhideWhenUsed/>
    <w:qFormat/>
    <w:rsid w:val="00FC693F"/>
    <w:pPr>
      <w:keepNext/>
      <w:keepLines/>
      <w:spacing w:before="200"/>
      <w:outlineLvl w:val="1"/>
    </w:pPr>
    <w:rPr>
      <w:rFonts w:asciiTheme="majorHAnsi" w:eastAsiaTheme="majorEastAsia" w:hAnsiTheme="majorHAnsi" w:cstheme="majorBidi"/>
      <w:b/>
      <w:bCs/>
      <w:sz w:val="22"/>
      <w:szCs w:val="26"/>
    </w:rPr>
  </w:style>
  <w:style w:type="paragraph" w:styleId="Ttulo3">
    <w:name w:val="heading 3"/>
    <w:basedOn w:val="Normal"/>
    <w:next w:val="Normal"/>
    <w:link w:val="Ttulo3Char"/>
    <w:uiPriority w:val="9"/>
    <w:unhideWhenUsed/>
    <w:qFormat/>
    <w:rsid w:val="00FC693F"/>
    <w:pPr>
      <w:keepNext/>
      <w:keepLines/>
      <w:spacing w:before="200"/>
      <w:outlineLvl w:val="2"/>
    </w:pPr>
    <w:rPr>
      <w:rFonts w:asciiTheme="majorHAnsi" w:eastAsiaTheme="majorEastAsia" w:hAnsiTheme="majorHAnsi" w:cstheme="majorBidi"/>
      <w:b/>
      <w:bCs/>
    </w:rPr>
  </w:style>
  <w:style w:type="paragraph" w:styleId="Ttulo4">
    <w:name w:val="heading 4"/>
    <w:basedOn w:val="Normal"/>
    <w:next w:val="Normal"/>
    <w:link w:val="Ttulo4Char"/>
    <w:uiPriority w:val="9"/>
    <w:semiHidden/>
    <w:unhideWhenUsed/>
    <w:qFormat/>
    <w:rsid w:val="00FC693F"/>
    <w:pPr>
      <w:keepNext/>
      <w:keepLines/>
      <w:spacing w:before="200"/>
      <w:outlineLvl w:val="3"/>
    </w:pPr>
    <w:rPr>
      <w:rFonts w:asciiTheme="majorHAnsi" w:eastAsiaTheme="majorEastAsia" w:hAnsiTheme="majorHAnsi" w:cstheme="majorBidi"/>
      <w:b/>
      <w:bCs/>
      <w:i/>
      <w:iCs/>
    </w:rPr>
  </w:style>
  <w:style w:type="paragraph" w:styleId="Ttulo5">
    <w:name w:val="heading 5"/>
    <w:basedOn w:val="Normal"/>
    <w:next w:val="Normal"/>
    <w:link w:val="Ttulo5Char"/>
    <w:uiPriority w:val="9"/>
    <w:semiHidden/>
    <w:unhideWhenUsed/>
    <w:qFormat/>
    <w:rsid w:val="00FC693F"/>
    <w:pPr>
      <w:keepNext/>
      <w:keepLines/>
      <w:spacing w:before="200"/>
      <w:outlineLvl w:val="4"/>
    </w:pPr>
    <w:rPr>
      <w:rFonts w:asciiTheme="majorHAnsi" w:eastAsiaTheme="majorEastAsia" w:hAnsiTheme="majorHAnsi" w:cstheme="majorBidi"/>
    </w:rPr>
  </w:style>
  <w:style w:type="paragraph" w:styleId="Ttulo6">
    <w:name w:val="heading 6"/>
    <w:basedOn w:val="Normal"/>
    <w:next w:val="Normal"/>
    <w:link w:val="Ttulo6Char"/>
    <w:uiPriority w:val="9"/>
    <w:semiHidden/>
    <w:unhideWhenUsed/>
    <w:qFormat/>
    <w:rsid w:val="00FC693F"/>
    <w:pPr>
      <w:keepNext/>
      <w:keepLines/>
      <w:spacing w:before="200"/>
      <w:outlineLvl w:val="5"/>
    </w:pPr>
    <w:rPr>
      <w:rFonts w:asciiTheme="majorHAnsi" w:eastAsiaTheme="majorEastAsia" w:hAnsiTheme="majorHAnsi" w:cstheme="majorBidi"/>
      <w:i/>
      <w:iCs/>
    </w:rPr>
  </w:style>
  <w:style w:type="paragraph" w:styleId="Ttulo7">
    <w:name w:val="heading 7"/>
    <w:basedOn w:val="Normal"/>
    <w:next w:val="Normal"/>
    <w:link w:val="Ttulo7Char"/>
    <w:uiPriority w:val="9"/>
    <w:semiHidden/>
    <w:unhideWhenUsed/>
    <w:qFormat/>
    <w:rsid w:val="00FC693F"/>
    <w:pPr>
      <w:keepNext/>
      <w:keepLines/>
      <w:spacing w:before="200"/>
      <w:outlineLvl w:val="6"/>
    </w:pPr>
    <w:rPr>
      <w:rFonts w:asciiTheme="majorHAnsi" w:eastAsiaTheme="majorEastAsia" w:hAnsiTheme="majorHAnsi" w:cstheme="majorBidi"/>
      <w:i/>
      <w:iCs/>
    </w:rPr>
  </w:style>
  <w:style w:type="paragraph" w:styleId="Ttulo8">
    <w:name w:val="heading 8"/>
    <w:basedOn w:val="Normal"/>
    <w:next w:val="Normal"/>
    <w:link w:val="Ttulo8Char"/>
    <w:uiPriority w:val="9"/>
    <w:semiHidden/>
    <w:unhideWhenUsed/>
    <w:qFormat/>
    <w:rsid w:val="00FC693F"/>
    <w:pPr>
      <w:keepNext/>
      <w:keepLines/>
      <w:spacing w:before="200"/>
      <w:outlineLvl w:val="7"/>
    </w:pPr>
    <w:rPr>
      <w:rFonts w:asciiTheme="majorHAnsi" w:eastAsiaTheme="majorEastAsia" w:hAnsiTheme="majorHAnsi" w:cstheme="majorBidi"/>
      <w:sz w:val="20"/>
      <w:szCs w:val="20"/>
    </w:rPr>
  </w:style>
  <w:style w:type="paragraph" w:styleId="Ttulo9">
    <w:name w:val="heading 9"/>
    <w:basedOn w:val="Normal"/>
    <w:next w:val="Normal"/>
    <w:link w:val="Ttulo9Char"/>
    <w:uiPriority w:val="9"/>
    <w:semiHidden/>
    <w:unhideWhenUsed/>
    <w:qFormat/>
    <w:rsid w:val="00FC693F"/>
    <w:pPr>
      <w:keepNext/>
      <w:keepLines/>
      <w:spacing w:before="200"/>
      <w:outlineLvl w:val="8"/>
    </w:pPr>
    <w:rPr>
      <w:rFonts w:asciiTheme="majorHAnsi" w:eastAsiaTheme="majorEastAsia" w:hAnsiTheme="majorHAnsi" w:cstheme="majorBidi"/>
      <w:i/>
      <w:i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line="240" w:lineRule="auto"/>
    </w:pPr>
  </w:style>
  <w:style w:type="character" w:customStyle="1" w:styleId="CabealhoChar">
    <w:name w:val="Cabeçalho Char"/>
    <w:basedOn w:val="Fontepargpadro"/>
    <w:link w:val="Cabealho"/>
    <w:uiPriority w:val="99"/>
    <w:rsid w:val="00E618BF"/>
    <w:rPr>
      <w:rFonts w:ascii="Cambria" w:eastAsia="Cambria" w:hAnsi="Cambria" w:cs="Cambria"/>
      <w:color w:val="000000"/>
    </w:rPr>
  </w:style>
  <w:style w:type="paragraph" w:styleId="Rodap">
    <w:name w:val="footer"/>
    <w:basedOn w:val="Normal"/>
    <w:link w:val="RodapChar"/>
    <w:uiPriority w:val="99"/>
    <w:unhideWhenUsed/>
    <w:rsid w:val="00E618BF"/>
    <w:pPr>
      <w:tabs>
        <w:tab w:val="center" w:pos="4680"/>
        <w:tab w:val="right" w:pos="9360"/>
      </w:tabs>
      <w:spacing w:line="240" w:lineRule="auto"/>
    </w:pPr>
  </w:style>
  <w:style w:type="character" w:customStyle="1" w:styleId="RodapChar">
    <w:name w:val="Rodapé Char"/>
    <w:basedOn w:val="Fontepargpadro"/>
    <w:link w:val="Rodap"/>
    <w:uiPriority w:val="99"/>
    <w:rsid w:val="00E618BF"/>
    <w:rPr>
      <w:rFonts w:ascii="Cambria" w:eastAsia="Cambria" w:hAnsi="Cambria" w:cs="Cambria"/>
      <w:color w:val="000000"/>
    </w:rPr>
  </w:style>
  <w:style w:type="paragraph" w:styleId="SemEspaamento">
    <w:name w:val="No Spacing"/>
    <w:uiPriority w:val="1"/>
    <w:qFormat/>
    <w:rsid w:val="00FC693F"/>
    <w:pPr>
      <w:spacing w:after="0" w:line="240" w:lineRule="auto"/>
    </w:pPr>
    <w:rPr>
      <w:rFonts w:ascii="Cambria" w:eastAsia="Cambria" w:hAnsi="Cambria" w:cs="Cambria"/>
      <w:color w:val="000000"/>
    </w:r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000000"/>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000000"/>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000000"/>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000000"/>
      <w:spacing w:val="5"/>
      <w:kern w:val="28"/>
      <w:sz w:val="52"/>
      <w:szCs w:val="52"/>
    </w:rPr>
  </w:style>
  <w:style w:type="paragraph" w:styleId="Subttulo">
    <w:name w:val="Subtitle"/>
    <w:basedOn w:val="Normal"/>
    <w:next w:val="Normal"/>
    <w:link w:val="SubttuloChar"/>
    <w:uiPriority w:val="11"/>
    <w:qFormat/>
    <w:rsid w:val="00FC693F"/>
    <w:pPr>
      <w:numPr>
        <w:ilvl w:val="1"/>
      </w:numPr>
      <w:ind w:firstLine="709"/>
    </w:pPr>
    <w:rPr>
      <w:rFonts w:asciiTheme="majorHAnsi" w:eastAsiaTheme="majorEastAsia" w:hAnsiTheme="majorHAnsi" w:cstheme="majorBidi"/>
      <w:i/>
      <w:iCs/>
      <w:spacing w:val="15"/>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000000"/>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rPr>
      <w:rFonts w:ascii="Cambria" w:eastAsia="Cambria" w:hAnsi="Cambria" w:cs="Cambria"/>
      <w:color w:val="000000"/>
    </w:rPr>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rPr>
      <w:rFonts w:ascii="Cambria" w:eastAsia="Cambria" w:hAnsi="Cambria" w:cs="Cambria"/>
      <w:color w:val="000000"/>
    </w:rPr>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rFonts w:ascii="Cambria" w:eastAsia="Cambria" w:hAnsi="Cambria" w:cs="Cambria"/>
      <w:color w:val="000000"/>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ambria" w:eastAsia="Cambria" w:hAnsi="Cambria" w:cs="Cambria"/>
      <w:color w:val="000000"/>
      <w:sz w:val="20"/>
      <w:szCs w:val="20"/>
    </w:rPr>
  </w:style>
  <w:style w:type="character" w:customStyle="1" w:styleId="TextodemacroChar">
    <w:name w:val="Texto de macro Char"/>
    <w:basedOn w:val="Fontepargpadro"/>
    <w:link w:val="Textodemacro"/>
    <w:uiPriority w:val="99"/>
    <w:rsid w:val="0029639D"/>
    <w:rPr>
      <w:rFonts w:ascii="Cambria" w:eastAsia="Cambria" w:hAnsi="Cambria" w:cs="Cambria"/>
      <w:color w:val="000000"/>
      <w:sz w:val="20"/>
      <w:szCs w:val="20"/>
    </w:rPr>
  </w:style>
  <w:style w:type="paragraph" w:styleId="Citao">
    <w:name w:val="Quote"/>
    <w:basedOn w:val="Normal"/>
    <w:next w:val="Normal"/>
    <w:link w:val="CitaoChar"/>
    <w:uiPriority w:val="29"/>
    <w:qFormat/>
    <w:rsid w:val="00FC693F"/>
    <w:rPr>
      <w:i/>
      <w:iCs/>
    </w:rPr>
  </w:style>
  <w:style w:type="character" w:customStyle="1" w:styleId="CitaoChar">
    <w:name w:val="Citação Char"/>
    <w:basedOn w:val="Fontepargpadro"/>
    <w:link w:val="Citao"/>
    <w:uiPriority w:val="29"/>
    <w:rsid w:val="00FC693F"/>
    <w:rPr>
      <w:rFonts w:ascii="Cambria" w:eastAsia="Cambria" w:hAnsi="Cambria" w:cs="Cambria"/>
      <w:i/>
      <w:iCs/>
      <w:color w:val="000000"/>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000000"/>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000000"/>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000000"/>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000000"/>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000000"/>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000000"/>
      <w:sz w:val="20"/>
      <w:szCs w:val="20"/>
    </w:rPr>
  </w:style>
  <w:style w:type="paragraph" w:styleId="Legenda">
    <w:name w:val="caption"/>
    <w:basedOn w:val="Normal"/>
    <w:next w:val="Normal"/>
    <w:uiPriority w:val="35"/>
    <w:semiHidden/>
    <w:unhideWhenUsed/>
    <w:qFormat/>
    <w:rsid w:val="00FC693F"/>
    <w:pPr>
      <w:spacing w:line="240" w:lineRule="auto"/>
    </w:pPr>
    <w:rPr>
      <w:b/>
      <w:bCs/>
      <w:sz w:val="20"/>
      <w:szCs w:val="18"/>
    </w:rPr>
  </w:style>
  <w:style w:type="character" w:styleId="Forte">
    <w:name w:val="Strong"/>
    <w:basedOn w:val="Fontepargpadro"/>
    <w:uiPriority w:val="22"/>
    <w:qFormat/>
    <w:rsid w:val="00FC693F"/>
    <w:rPr>
      <w:rFonts w:ascii="Cambria" w:eastAsia="Cambria" w:hAnsi="Cambria" w:cs="Cambria"/>
      <w:b/>
      <w:bCs/>
      <w:color w:val="000000"/>
    </w:rPr>
  </w:style>
  <w:style w:type="character" w:styleId="nfase">
    <w:name w:val="Emphasis"/>
    <w:basedOn w:val="Fontepargpadro"/>
    <w:uiPriority w:val="20"/>
    <w:qFormat/>
    <w:rsid w:val="00FC693F"/>
    <w:rPr>
      <w:rFonts w:ascii="Cambria" w:eastAsia="Cambria" w:hAnsi="Cambria" w:cs="Cambria"/>
      <w:i/>
      <w:iCs/>
      <w:color w:val="000000"/>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rPr>
  </w:style>
  <w:style w:type="character" w:customStyle="1" w:styleId="CitaoIntensaChar">
    <w:name w:val="Citação Intensa Char"/>
    <w:basedOn w:val="Fontepargpadro"/>
    <w:link w:val="CitaoIntensa"/>
    <w:uiPriority w:val="30"/>
    <w:rsid w:val="00FC693F"/>
    <w:rPr>
      <w:rFonts w:ascii="Cambria" w:eastAsia="Cambria" w:hAnsi="Cambria" w:cs="Cambria"/>
      <w:b/>
      <w:bCs/>
      <w:i/>
      <w:iCs/>
      <w:color w:val="000000"/>
    </w:rPr>
  </w:style>
  <w:style w:type="character" w:styleId="nfaseSutil">
    <w:name w:val="Subtle Emphasis"/>
    <w:basedOn w:val="Fontepargpadro"/>
    <w:uiPriority w:val="19"/>
    <w:qFormat/>
    <w:rsid w:val="00FC693F"/>
    <w:rPr>
      <w:rFonts w:ascii="Cambria" w:eastAsia="Cambria" w:hAnsi="Cambria" w:cs="Cambria"/>
      <w:i/>
      <w:iCs/>
      <w:color w:val="000000"/>
    </w:rPr>
  </w:style>
  <w:style w:type="character" w:styleId="nfaseIntensa">
    <w:name w:val="Intense Emphasis"/>
    <w:basedOn w:val="Fontepargpadro"/>
    <w:uiPriority w:val="21"/>
    <w:qFormat/>
    <w:rsid w:val="00FC693F"/>
    <w:rPr>
      <w:rFonts w:ascii="Cambria" w:eastAsia="Cambria" w:hAnsi="Cambria" w:cs="Cambria"/>
      <w:b/>
      <w:bCs/>
      <w:i/>
      <w:iCs/>
      <w:color w:val="000000"/>
    </w:rPr>
  </w:style>
  <w:style w:type="character" w:styleId="RefernciaSutil">
    <w:name w:val="Subtle Reference"/>
    <w:basedOn w:val="Fontepargpadro"/>
    <w:uiPriority w:val="31"/>
    <w:qFormat/>
    <w:rsid w:val="00FC693F"/>
    <w:rPr>
      <w:rFonts w:ascii="Cambria" w:eastAsia="Cambria" w:hAnsi="Cambria" w:cs="Cambria"/>
      <w:smallCaps/>
      <w:color w:val="000000"/>
      <w:u w:val="single"/>
    </w:rPr>
  </w:style>
  <w:style w:type="character" w:styleId="RefernciaIntensa">
    <w:name w:val="Intense Reference"/>
    <w:basedOn w:val="Fontepargpadro"/>
    <w:uiPriority w:val="32"/>
    <w:qFormat/>
    <w:rsid w:val="00FC693F"/>
    <w:rPr>
      <w:rFonts w:ascii="Cambria" w:eastAsia="Cambria" w:hAnsi="Cambria" w:cs="Cambria"/>
      <w:b/>
      <w:bCs/>
      <w:smallCaps/>
      <w:color w:val="000000"/>
      <w:spacing w:val="5"/>
      <w:u w:val="single"/>
    </w:rPr>
  </w:style>
  <w:style w:type="character" w:styleId="TtulodoLivro">
    <w:name w:val="Book Title"/>
    <w:basedOn w:val="Fontepargpadro"/>
    <w:uiPriority w:val="33"/>
    <w:qFormat/>
    <w:rsid w:val="00FC693F"/>
    <w:rPr>
      <w:rFonts w:ascii="Cambria" w:eastAsia="Cambria" w:hAnsi="Cambria" w:cs="Cambria"/>
      <w:b/>
      <w:bCs/>
      <w:smallCaps/>
      <w:color w:val="000000"/>
      <w:spacing w:val="5"/>
    </w:rPr>
  </w:style>
  <w:style w:type="paragraph" w:styleId="CabealhodoSumrio">
    <w:name w:val="TOC Heading"/>
    <w:basedOn w:val="Ttulo1"/>
    <w:next w:val="Normal"/>
    <w:uiPriority w:val="39"/>
    <w:semiHidden/>
    <w:unhideWhenUsed/>
    <w:qFormat/>
    <w:rsid w:val="00FC693F"/>
    <w:pPr>
      <w:outlineLvl w:val="9"/>
    </w:pPr>
    <w:rPr>
      <w:rFonts w:ascii="Cambria" w:eastAsia="Cambria" w:hAnsi="Cambria" w:cs="Cambria"/>
    </w:rPr>
  </w:style>
  <w:style w:type="table" w:styleId="Tabelacomgrade">
    <w:name w:val="Table Grid"/>
    <w:basedOn w:val="Tabelanormal"/>
    <w:uiPriority w:val="59"/>
    <w:rsid w:val="00FC693F"/>
    <w:pPr>
      <w:spacing w:after="0" w:line="240" w:lineRule="auto"/>
    </w:pPr>
    <w:rPr>
      <w:rFonts w:ascii="Cambria" w:eastAsia="Cambria" w:hAnsi="Cambria" w:cs="Cambria"/>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rFonts w:ascii="Cambria" w:eastAsia="Cambria" w:hAnsi="Cambria" w:cs="Cambria"/>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rFonts w:ascii="Cambria" w:eastAsia="Cambria" w:hAnsi="Cambria" w:cs="Cambria"/>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rFonts w:ascii="Cambria" w:eastAsia="Cambria" w:hAnsi="Cambria" w:cs="Cambria"/>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rFonts w:ascii="Cambria" w:eastAsia="Cambria" w:hAnsi="Cambria" w:cs="Cambria"/>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rFonts w:ascii="Cambria" w:eastAsia="Cambria" w:hAnsi="Cambria" w:cs="Cambria"/>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rFonts w:ascii="Cambria" w:eastAsia="Cambria" w:hAnsi="Cambria" w:cs="Cambria"/>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rFonts w:ascii="Cambria" w:eastAsia="Cambria" w:hAnsi="Cambria" w:cs="Cambria"/>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rPr>
      <w:rFonts w:ascii="Cambria" w:eastAsia="Cambria" w:hAnsi="Cambria" w:cs="Cambria"/>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rPr>
      <w:rFonts w:ascii="Cambria" w:eastAsia="Cambria" w:hAnsi="Cambria" w:cs="Cambria"/>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rPr>
      <w:rFonts w:ascii="Cambria" w:eastAsia="Cambria" w:hAnsi="Cambria" w:cs="Cambria"/>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rPr>
      <w:rFonts w:ascii="Cambria" w:eastAsia="Cambria" w:hAnsi="Cambria" w:cs="Cambria"/>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rPr>
      <w:rFonts w:ascii="Cambria" w:eastAsia="Cambria" w:hAnsi="Cambria" w:cs="Cambria"/>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rPr>
      <w:rFonts w:ascii="Cambria" w:eastAsia="Cambria" w:hAnsi="Cambria" w:cs="Cambria"/>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rPr>
      <w:rFonts w:ascii="Cambria" w:eastAsia="Cambria" w:hAnsi="Cambria" w:cs="Cambria"/>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rPr>
      <w:rFonts w:ascii="Cambria" w:eastAsia="Cambria" w:hAnsi="Cambria" w:cs="Cambria"/>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rPr>
      <w:rFonts w:ascii="Cambria" w:eastAsia="Cambria" w:hAnsi="Cambria" w:cs="Cambria"/>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rPr>
      <w:rFonts w:ascii="Cambria" w:eastAsia="Cambria" w:hAnsi="Cambria" w:cs="Cambria"/>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rPr>
      <w:rFonts w:ascii="Cambria" w:eastAsia="Cambria" w:hAnsi="Cambria" w:cs="Cambria"/>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rPr>
      <w:rFonts w:ascii="Cambria" w:eastAsia="Cambria" w:hAnsi="Cambria" w:cs="Cambria"/>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rPr>
      <w:rFonts w:ascii="Cambria" w:eastAsia="Cambria" w:hAnsi="Cambria" w:cs="Cambria"/>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rPr>
      <w:rFonts w:ascii="Cambria" w:eastAsia="Cambria" w:hAnsi="Cambria" w:cs="Cambria"/>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rPr>
      <w:rFonts w:ascii="Cambria" w:eastAsia="Cambria" w:hAnsi="Cambria" w:cs="Cambria"/>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rPr>
      <w:rFonts w:ascii="Cambria" w:eastAsia="Cambria" w:hAnsi="Cambria" w:cs="Cambria"/>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rPr>
      <w:rFonts w:ascii="Cambria" w:eastAsia="Cambria" w:hAnsi="Cambria" w:cs="Cambria"/>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rPr>
      <w:rFonts w:ascii="Cambria" w:eastAsia="Cambria" w:hAnsi="Cambria" w:cs="Cambria"/>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rPr>
      <w:rFonts w:ascii="Cambria" w:eastAsia="Cambria" w:hAnsi="Cambria" w:cs="Cambria"/>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rPr>
      <w:rFonts w:ascii="Cambria" w:eastAsia="Cambria" w:hAnsi="Cambria" w:cs="Cambria"/>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rPr>
      <w:rFonts w:ascii="Cambria" w:eastAsia="Cambria" w:hAnsi="Cambria" w:cs="Cambria"/>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rPr>
      <w:rFonts w:ascii="Cambria" w:eastAsia="Cambria" w:hAnsi="Cambria" w:cs="Cambria"/>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rPr>
      <w:rFonts w:ascii="Cambria" w:eastAsia="Cambria" w:hAnsi="Cambria" w:cs="Cambria"/>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rPr>
      <w:rFonts w:ascii="Cambria" w:eastAsia="Cambria" w:hAnsi="Cambria" w:cs="Cambria"/>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rPr>
      <w:rFonts w:ascii="Cambria" w:eastAsia="Cambria" w:hAnsi="Cambria" w:cs="Cambria"/>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rPr>
      <w:rFonts w:ascii="Cambria" w:eastAsia="Cambria" w:hAnsi="Cambria" w:cs="Cambria"/>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rPr>
      <w:rFonts w:ascii="Cambria" w:eastAsia="Cambria" w:hAnsi="Cambria" w:cs="Cambria"/>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rPr>
      <w:rFonts w:ascii="Cambria" w:eastAsia="Cambria" w:hAnsi="Cambria" w:cs="Cambria"/>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rFonts w:ascii="Cambria" w:eastAsia="Cambria" w:hAnsi="Cambria" w:cs="Cambria"/>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rFonts w:ascii="Cambria" w:eastAsia="Cambria" w:hAnsi="Cambria" w:cs="Cambria"/>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rFonts w:ascii="Cambria" w:eastAsia="Cambria" w:hAnsi="Cambria" w:cs="Cambria"/>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rFonts w:ascii="Cambria" w:eastAsia="Cambria" w:hAnsi="Cambria" w:cs="Cambria"/>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rFonts w:ascii="Cambria" w:eastAsia="Cambria" w:hAnsi="Cambria" w:cs="Cambria"/>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rFonts w:ascii="Cambria" w:eastAsia="Cambria" w:hAnsi="Cambria" w:cs="Cambria"/>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rFonts w:ascii="Cambria" w:eastAsia="Cambria" w:hAnsi="Cambria" w:cs="Cambria"/>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rPr>
      <w:rFonts w:ascii="Cambria" w:eastAsia="Cambria" w:hAnsi="Cambria" w:cs="Cambria"/>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rPr>
      <w:rFonts w:ascii="Cambria" w:eastAsia="Cambria" w:hAnsi="Cambria" w:cs="Cambria"/>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rPr>
      <w:rFonts w:ascii="Cambria" w:eastAsia="Cambria" w:hAnsi="Cambria" w:cs="Cambria"/>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rPr>
      <w:rFonts w:ascii="Cambria" w:eastAsia="Cambria" w:hAnsi="Cambria" w:cs="Cambria"/>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rPr>
      <w:rFonts w:ascii="Cambria" w:eastAsia="Cambria" w:hAnsi="Cambria" w:cs="Cambria"/>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rPr>
      <w:rFonts w:ascii="Cambria" w:eastAsia="Cambria" w:hAnsi="Cambria" w:cs="Cambria"/>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rPr>
      <w:rFonts w:ascii="Cambria" w:eastAsia="Cambria" w:hAnsi="Cambria" w:cs="Cambria"/>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rPr>
      <w:rFonts w:ascii="Cambria" w:eastAsia="Cambria" w:hAnsi="Cambria" w:cs="Cambria"/>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rPr>
      <w:rFonts w:ascii="Cambria" w:eastAsia="Cambria" w:hAnsi="Cambria" w:cs="Cambria"/>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rPr>
      <w:rFonts w:ascii="Cambria" w:eastAsia="Cambria" w:hAnsi="Cambria" w:cs="Cambria"/>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rPr>
      <w:rFonts w:ascii="Cambria" w:eastAsia="Cambria" w:hAnsi="Cambria" w:cs="Cambria"/>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rPr>
      <w:rFonts w:ascii="Cambria" w:eastAsia="Cambria" w:hAnsi="Cambria" w:cs="Cambria"/>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rPr>
      <w:rFonts w:ascii="Cambria" w:eastAsia="Cambria" w:hAnsi="Cambria" w:cs="Cambria"/>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rPr>
      <w:rFonts w:ascii="Cambria" w:eastAsia="Cambria" w:hAnsi="Cambria" w:cs="Cambria"/>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rFonts w:ascii="Cambria" w:eastAsia="Cambria" w:hAnsi="Cambria" w:cs="Cambria"/>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rFonts w:ascii="Cambria" w:eastAsia="Cambria" w:hAnsi="Cambria" w:cs="Cambria"/>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rFonts w:ascii="Cambria" w:eastAsia="Cambria" w:hAnsi="Cambria" w:cs="Cambria"/>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rFonts w:ascii="Cambria" w:eastAsia="Cambria" w:hAnsi="Cambria" w:cs="Cambria"/>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rFonts w:ascii="Cambria" w:eastAsia="Cambria" w:hAnsi="Cambria" w:cs="Cambria"/>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rFonts w:ascii="Cambria" w:eastAsia="Cambria" w:hAnsi="Cambria" w:cs="Cambria"/>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rFonts w:ascii="Cambria" w:eastAsia="Cambria" w:hAnsi="Cambria" w:cs="Cambria"/>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rFonts w:ascii="Cambria" w:eastAsia="Cambria" w:hAnsi="Cambria" w:cs="Cambria"/>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rFonts w:ascii="Cambria" w:eastAsia="Cambria" w:hAnsi="Cambria" w:cs="Cambria"/>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rFonts w:ascii="Cambria" w:eastAsia="Cambria" w:hAnsi="Cambria" w:cs="Cambria"/>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rFonts w:ascii="Cambria" w:eastAsia="Cambria" w:hAnsi="Cambria" w:cs="Cambria"/>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rFonts w:ascii="Cambria" w:eastAsia="Cambria" w:hAnsi="Cambria" w:cs="Cambria"/>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rFonts w:ascii="Cambria" w:eastAsia="Cambria" w:hAnsi="Cambria" w:cs="Cambria"/>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rFonts w:ascii="Cambria" w:eastAsia="Cambria" w:hAnsi="Cambria" w:cs="Cambria"/>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rFonts w:ascii="Cambria" w:eastAsia="Cambria" w:hAnsi="Cambria" w:cs="Cambria"/>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rFonts w:ascii="Cambria" w:eastAsia="Cambria" w:hAnsi="Cambria" w:cs="Cambria"/>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rFonts w:ascii="Cambria" w:eastAsia="Cambria" w:hAnsi="Cambria" w:cs="Cambria"/>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rFonts w:ascii="Cambria" w:eastAsia="Cambria" w:hAnsi="Cambria" w:cs="Cambria"/>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rFonts w:ascii="Cambria" w:eastAsia="Cambria" w:hAnsi="Cambria" w:cs="Cambria"/>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rFonts w:ascii="Cambria" w:eastAsia="Cambria" w:hAnsi="Cambria" w:cs="Cambria"/>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rFonts w:ascii="Cambria" w:eastAsia="Cambria" w:hAnsi="Cambria" w:cs="Cambria"/>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rFonts w:ascii="Cambria" w:eastAsia="Cambria" w:hAnsi="Cambria" w:cs="Cambria"/>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rFonts w:ascii="Cambria" w:eastAsia="Cambria" w:hAnsi="Cambria" w:cs="Cambria"/>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rFonts w:ascii="Cambria" w:eastAsia="Cambria" w:hAnsi="Cambria" w:cs="Cambria"/>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rFonts w:ascii="Cambria" w:eastAsia="Cambria" w:hAnsi="Cambria" w:cs="Cambria"/>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rFonts w:ascii="Cambria" w:eastAsia="Cambria" w:hAnsi="Cambria" w:cs="Cambria"/>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rFonts w:ascii="Cambria" w:eastAsia="Cambria" w:hAnsi="Cambria" w:cs="Cambria"/>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rFonts w:ascii="Cambria" w:eastAsia="Cambria" w:hAnsi="Cambria" w:cs="Cambria"/>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I</dc:title>
  <dc:subject>Urban Expansion Across Mountain-to-Coastal Gradients as a Multiplier of Compound Environmental Risk</dc:subject>
  <dc:creator>Renesky Jean Mary and coauthors</dc:creator>
  <cp:keywords/>
  <dc:description>generated by python-docx</dc:description>
  <cp:lastModifiedBy>Revisor</cp:lastModifiedBy>
  <cp:revision>4</cp:revision>
  <dcterms:created xsi:type="dcterms:W3CDTF">2013-12-23T23:15:00Z</dcterms:created>
  <dcterms:modified xsi:type="dcterms:W3CDTF">2026-08-06T20:18:00Z</dcterms:modified>
  <cp:category/>
</cp:coreProperties>
</file>