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1F62" w:rsidRPr="0021184B" w:rsidRDefault="00041F62" w:rsidP="00041F62">
      <w:pPr>
        <w:pStyle w:val="Heading1"/>
        <w:numPr>
          <w:ilvl w:val="0"/>
          <w:numId w:val="0"/>
        </w:numPr>
        <w:ind w:left="432" w:hanging="432"/>
        <w:rPr>
          <w:lang w:val="en-GB"/>
        </w:rPr>
      </w:pPr>
      <w:r w:rsidRPr="0021184B">
        <w:rPr>
          <w:lang w:val="en-GB"/>
        </w:rPr>
        <w:t>ANNEX</w:t>
      </w:r>
    </w:p>
    <w:p w:rsidR="00041F62" w:rsidRPr="0021184B" w:rsidRDefault="00041F62" w:rsidP="00041F62">
      <w:pPr>
        <w:pStyle w:val="Heading2"/>
        <w:numPr>
          <w:ilvl w:val="0"/>
          <w:numId w:val="0"/>
        </w:numPr>
        <w:rPr>
          <w:lang w:val="en-GB"/>
        </w:rPr>
      </w:pPr>
      <w:r w:rsidRPr="0021184B">
        <w:rPr>
          <w:lang w:val="en-GB"/>
        </w:rPr>
        <w:t>A.1 Coding Scheme</w:t>
      </w:r>
    </w:p>
    <w:p w:rsidR="00041F62" w:rsidRPr="0021184B" w:rsidRDefault="00041F62" w:rsidP="00041F62">
      <w:pPr>
        <w:rPr>
          <w:lang w:val="en-GB"/>
        </w:rPr>
      </w:pPr>
    </w:p>
    <w:p w:rsidR="00041F62" w:rsidRPr="0021184B" w:rsidRDefault="00041F62" w:rsidP="00041F62">
      <w:pPr>
        <w:pStyle w:val="Caption"/>
        <w:keepNext/>
        <w:rPr>
          <w:lang w:val="en-GB"/>
        </w:rPr>
      </w:pPr>
      <w:r w:rsidRPr="0021184B">
        <w:rPr>
          <w:lang w:val="en-GB"/>
        </w:rPr>
        <w:t xml:space="preserve">Table A.1 Codebook: Conceptually and data-driven codes, descriptions, </w:t>
      </w:r>
      <w:r w:rsidRPr="0021184B">
        <w:rPr>
          <w:i w:val="0"/>
          <w:iCs w:val="0"/>
          <w:lang w:val="en-GB"/>
        </w:rPr>
        <w:t>and examples (based on DeCuir-Gunby et al., 2011). Note: We have marked conceptually driven codes with (*).</w:t>
      </w:r>
    </w:p>
    <w:tbl>
      <w:tblPr>
        <w:tblStyle w:val="TableGrid"/>
        <w:tblW w:w="0" w:type="auto"/>
        <w:tblLook w:val="04A0" w:firstRow="1" w:lastRow="0" w:firstColumn="1" w:lastColumn="0" w:noHBand="0" w:noVBand="1"/>
      </w:tblPr>
      <w:tblGrid>
        <w:gridCol w:w="3005"/>
        <w:gridCol w:w="3005"/>
        <w:gridCol w:w="3006"/>
      </w:tblGrid>
      <w:tr w:rsidR="00041F62" w:rsidRPr="0021184B" w:rsidTr="004006CB">
        <w:tc>
          <w:tcPr>
            <w:tcW w:w="3005" w:type="dxa"/>
            <w:shd w:val="clear" w:color="auto" w:fill="000000" w:themeFill="text1"/>
          </w:tcPr>
          <w:p w:rsidR="00041F62" w:rsidRPr="0021184B" w:rsidRDefault="00041F62" w:rsidP="004006CB">
            <w:pPr>
              <w:jc w:val="center"/>
              <w:rPr>
                <w:rFonts w:ascii="Times New Roman" w:hAnsi="Times New Roman" w:cs="Times New Roman"/>
                <w:b/>
                <w:bCs/>
                <w:color w:val="FFFFFF" w:themeColor="background1"/>
                <w:sz w:val="16"/>
                <w:szCs w:val="16"/>
                <w:lang w:val="en-GB"/>
              </w:rPr>
            </w:pPr>
            <w:r w:rsidRPr="0021184B">
              <w:rPr>
                <w:rFonts w:ascii="Times New Roman" w:hAnsi="Times New Roman" w:cs="Times New Roman"/>
                <w:b/>
                <w:bCs/>
                <w:color w:val="FFFFFF" w:themeColor="background1"/>
                <w:sz w:val="16"/>
                <w:szCs w:val="16"/>
                <w:lang w:val="en-GB"/>
              </w:rPr>
              <w:t>Code</w:t>
            </w:r>
          </w:p>
        </w:tc>
        <w:tc>
          <w:tcPr>
            <w:tcW w:w="3005" w:type="dxa"/>
            <w:shd w:val="clear" w:color="auto" w:fill="000000" w:themeFill="text1"/>
          </w:tcPr>
          <w:p w:rsidR="00041F62" w:rsidRPr="0021184B" w:rsidRDefault="00041F62" w:rsidP="004006CB">
            <w:pPr>
              <w:jc w:val="center"/>
              <w:rPr>
                <w:rFonts w:ascii="Times New Roman" w:hAnsi="Times New Roman" w:cs="Times New Roman"/>
                <w:b/>
                <w:bCs/>
                <w:color w:val="FFFFFF" w:themeColor="background1"/>
                <w:sz w:val="16"/>
                <w:szCs w:val="16"/>
                <w:lang w:val="en-GB"/>
              </w:rPr>
            </w:pPr>
            <w:r w:rsidRPr="0021184B">
              <w:rPr>
                <w:rFonts w:ascii="Times New Roman" w:hAnsi="Times New Roman" w:cs="Times New Roman"/>
                <w:b/>
                <w:bCs/>
                <w:color w:val="FFFFFF" w:themeColor="background1"/>
                <w:sz w:val="16"/>
                <w:szCs w:val="16"/>
                <w:lang w:val="en-GB"/>
              </w:rPr>
              <w:t>Description</w:t>
            </w:r>
          </w:p>
        </w:tc>
        <w:tc>
          <w:tcPr>
            <w:tcW w:w="3006" w:type="dxa"/>
            <w:shd w:val="clear" w:color="auto" w:fill="000000" w:themeFill="text1"/>
          </w:tcPr>
          <w:p w:rsidR="00041F62" w:rsidRPr="0021184B" w:rsidRDefault="00041F62" w:rsidP="004006CB">
            <w:pPr>
              <w:jc w:val="center"/>
              <w:rPr>
                <w:rFonts w:ascii="Times New Roman" w:hAnsi="Times New Roman" w:cs="Times New Roman"/>
                <w:b/>
                <w:bCs/>
                <w:color w:val="FFFFFF" w:themeColor="background1"/>
                <w:sz w:val="16"/>
                <w:szCs w:val="16"/>
                <w:lang w:val="en-GB"/>
              </w:rPr>
            </w:pPr>
            <w:r w:rsidRPr="0021184B">
              <w:rPr>
                <w:rFonts w:ascii="Times New Roman" w:hAnsi="Times New Roman" w:cs="Times New Roman"/>
                <w:b/>
                <w:bCs/>
                <w:color w:val="FFFFFF" w:themeColor="background1"/>
                <w:sz w:val="16"/>
                <w:szCs w:val="16"/>
                <w:lang w:val="en-GB"/>
              </w:rPr>
              <w:t>Example</w:t>
            </w:r>
          </w:p>
        </w:tc>
      </w:tr>
      <w:tr w:rsidR="00041F62" w:rsidRPr="0021184B" w:rsidTr="004006CB">
        <w:tc>
          <w:tcPr>
            <w:tcW w:w="3005" w:type="dxa"/>
          </w:tcPr>
          <w:p w:rsidR="00041F62" w:rsidRPr="0021184B" w:rsidRDefault="00041F62" w:rsidP="004006CB">
            <w:pPr>
              <w:rPr>
                <w:rFonts w:ascii="Times New Roman" w:hAnsi="Times New Roman" w:cs="Times New Roman"/>
                <w:sz w:val="16"/>
                <w:szCs w:val="16"/>
                <w:lang w:val="en-GB"/>
              </w:rPr>
            </w:pPr>
            <w:r w:rsidRPr="0021184B">
              <w:rPr>
                <w:rFonts w:ascii="Times New Roman" w:hAnsi="Times New Roman" w:cs="Times New Roman"/>
                <w:sz w:val="16"/>
                <w:szCs w:val="16"/>
                <w:lang w:val="en-GB"/>
              </w:rPr>
              <w:t>Classical diffusion: State contractors *</w:t>
            </w:r>
          </w:p>
        </w:tc>
        <w:tc>
          <w:tcPr>
            <w:tcW w:w="3005" w:type="dxa"/>
          </w:tcPr>
          <w:p w:rsidR="00041F62" w:rsidRPr="0021184B" w:rsidRDefault="00041F62" w:rsidP="004006CB">
            <w:pPr>
              <w:rPr>
                <w:rFonts w:ascii="Times New Roman" w:hAnsi="Times New Roman" w:cs="Times New Roman"/>
                <w:sz w:val="16"/>
                <w:szCs w:val="16"/>
                <w:lang w:val="en-GB"/>
              </w:rPr>
            </w:pPr>
            <w:r w:rsidRPr="0021184B">
              <w:rPr>
                <w:rFonts w:ascii="Times New Roman" w:hAnsi="Times New Roman" w:cs="Times New Roman"/>
                <w:sz w:val="16"/>
                <w:szCs w:val="16"/>
                <w:lang w:val="en-GB"/>
              </w:rPr>
              <w:t>Paper presents evidence of consultants playing a role in reacting to the contractual demands of states (or other public actors), as well as to supporting these in the adoption of new ideas. Paper presents consultants acting as state contractors, and perhaps handling biases towards its contractor.</w:t>
            </w:r>
          </w:p>
        </w:tc>
        <w:tc>
          <w:tcPr>
            <w:tcW w:w="3006" w:type="dxa"/>
          </w:tcPr>
          <w:p w:rsidR="00041F62" w:rsidRPr="0021184B" w:rsidRDefault="00041F62" w:rsidP="004006CB">
            <w:pPr>
              <w:rPr>
                <w:rFonts w:ascii="Times New Roman" w:hAnsi="Times New Roman" w:cs="Times New Roman"/>
                <w:sz w:val="16"/>
                <w:szCs w:val="16"/>
                <w:lang w:val="en-GB"/>
              </w:rPr>
            </w:pPr>
            <w:r w:rsidRPr="0021184B">
              <w:rPr>
                <w:rFonts w:ascii="Times New Roman" w:hAnsi="Times New Roman" w:cs="Times New Roman"/>
                <w:sz w:val="16"/>
                <w:szCs w:val="16"/>
                <w:lang w:val="en-GB"/>
              </w:rPr>
              <w:t>“Consultants are often contracted by political elites with a predetermined preferred policy output.”</w:t>
            </w:r>
            <w:r w:rsidRPr="0021184B">
              <w:rPr>
                <w:rFonts w:ascii="Times New Roman" w:eastAsia="Times New Roman" w:hAnsi="Times New Roman" w:cs="Times New Roman"/>
                <w:sz w:val="16"/>
                <w:szCs w:val="16"/>
                <w:lang w:val="en-GB"/>
              </w:rPr>
              <w:t xml:space="preserve"> (</w:t>
            </w:r>
            <w:r w:rsidRPr="0021184B">
              <w:rPr>
                <w:rFonts w:ascii="Times New Roman" w:hAnsi="Times New Roman" w:cs="Times New Roman"/>
                <w:sz w:val="16"/>
                <w:szCs w:val="16"/>
                <w:lang w:val="en-GB"/>
              </w:rPr>
              <w:t>Scott &amp; Carter, 2019, p. 156).</w:t>
            </w:r>
          </w:p>
        </w:tc>
      </w:tr>
      <w:tr w:rsidR="00041F62" w:rsidRPr="0021184B" w:rsidTr="004006CB">
        <w:tc>
          <w:tcPr>
            <w:tcW w:w="3005" w:type="dxa"/>
          </w:tcPr>
          <w:p w:rsidR="00041F62" w:rsidRPr="0021184B" w:rsidRDefault="00041F62" w:rsidP="004006CB">
            <w:pPr>
              <w:rPr>
                <w:rFonts w:ascii="Times New Roman" w:hAnsi="Times New Roman" w:cs="Times New Roman"/>
                <w:sz w:val="16"/>
                <w:szCs w:val="16"/>
                <w:lang w:val="en-GB"/>
              </w:rPr>
            </w:pPr>
            <w:r w:rsidRPr="0021184B">
              <w:rPr>
                <w:rFonts w:ascii="Times New Roman" w:hAnsi="Times New Roman" w:cs="Times New Roman"/>
                <w:sz w:val="16"/>
                <w:szCs w:val="16"/>
                <w:lang w:val="en-GB"/>
              </w:rPr>
              <w:t>Transfer/mobilities: Messengers *</w:t>
            </w:r>
          </w:p>
        </w:tc>
        <w:tc>
          <w:tcPr>
            <w:tcW w:w="3005" w:type="dxa"/>
          </w:tcPr>
          <w:p w:rsidR="00041F62" w:rsidRPr="0021184B" w:rsidRDefault="00041F62" w:rsidP="004006CB">
            <w:pPr>
              <w:rPr>
                <w:rFonts w:ascii="Times New Roman" w:hAnsi="Times New Roman" w:cs="Times New Roman"/>
                <w:sz w:val="16"/>
                <w:szCs w:val="16"/>
                <w:lang w:val="en-GB"/>
              </w:rPr>
            </w:pPr>
            <w:r w:rsidRPr="0021184B">
              <w:rPr>
                <w:rFonts w:ascii="Times New Roman" w:hAnsi="Times New Roman" w:cs="Times New Roman"/>
                <w:sz w:val="16"/>
                <w:szCs w:val="16"/>
                <w:lang w:val="en-GB"/>
              </w:rPr>
              <w:t>Paper presents evidence of consultants playing a role in moving unchanged ideas from one context to another. Paper presents consultants acting as messengers and active in perpetuating hegemonic and globalizing practices.</w:t>
            </w:r>
          </w:p>
        </w:tc>
        <w:tc>
          <w:tcPr>
            <w:tcW w:w="3006" w:type="dxa"/>
          </w:tcPr>
          <w:p w:rsidR="00041F62" w:rsidRPr="0021184B" w:rsidRDefault="00041F62" w:rsidP="004006CB">
            <w:pPr>
              <w:rPr>
                <w:rFonts w:ascii="Times New Roman" w:hAnsi="Times New Roman" w:cs="Times New Roman"/>
                <w:sz w:val="16"/>
                <w:szCs w:val="16"/>
                <w:lang w:val="en-GB"/>
              </w:rPr>
            </w:pPr>
            <w:r w:rsidRPr="0021184B">
              <w:rPr>
                <w:rFonts w:ascii="Times New Roman" w:hAnsi="Times New Roman" w:cs="Times New Roman"/>
                <w:sz w:val="16"/>
                <w:szCs w:val="16"/>
                <w:lang w:val="en-GB"/>
              </w:rPr>
              <w:t>"Many engineering consultancy firms also focus on conventional sewered solutions, without giving the necessary consideration to the appropriateness of these responses in the context in which they will be built …” (Gambrill et al., 2020, p. 4)</w:t>
            </w:r>
          </w:p>
        </w:tc>
      </w:tr>
      <w:tr w:rsidR="00041F62" w:rsidRPr="0021184B" w:rsidTr="004006CB">
        <w:tc>
          <w:tcPr>
            <w:tcW w:w="3005" w:type="dxa"/>
          </w:tcPr>
          <w:p w:rsidR="00041F62" w:rsidRPr="0021184B" w:rsidRDefault="00041F62" w:rsidP="004006CB">
            <w:pPr>
              <w:rPr>
                <w:rFonts w:ascii="Times New Roman" w:hAnsi="Times New Roman" w:cs="Times New Roman"/>
                <w:sz w:val="16"/>
                <w:szCs w:val="16"/>
                <w:lang w:val="en-GB"/>
              </w:rPr>
            </w:pPr>
            <w:r w:rsidRPr="0021184B">
              <w:rPr>
                <w:rFonts w:ascii="Times New Roman" w:hAnsi="Times New Roman" w:cs="Times New Roman"/>
                <w:sz w:val="16"/>
                <w:szCs w:val="16"/>
                <w:lang w:val="en-GB"/>
              </w:rPr>
              <w:t>Circulation: Promoters *</w:t>
            </w:r>
          </w:p>
        </w:tc>
        <w:tc>
          <w:tcPr>
            <w:tcW w:w="3005" w:type="dxa"/>
          </w:tcPr>
          <w:p w:rsidR="00041F62" w:rsidRPr="0021184B" w:rsidRDefault="00041F62" w:rsidP="004006CB">
            <w:pPr>
              <w:rPr>
                <w:rFonts w:ascii="Times New Roman" w:hAnsi="Times New Roman" w:cs="Times New Roman"/>
                <w:sz w:val="16"/>
                <w:szCs w:val="16"/>
                <w:lang w:val="en-GB"/>
              </w:rPr>
            </w:pPr>
            <w:r w:rsidRPr="0021184B">
              <w:rPr>
                <w:rFonts w:ascii="Times New Roman" w:hAnsi="Times New Roman" w:cs="Times New Roman"/>
                <w:sz w:val="16"/>
                <w:szCs w:val="16"/>
                <w:lang w:val="en-GB"/>
              </w:rPr>
              <w:t>Paper presents evidence of consultants playing a role in moving ideas from and to</w:t>
            </w:r>
            <w:r w:rsidRPr="0021184B">
              <w:rPr>
                <w:rFonts w:ascii="Times New Roman" w:hAnsi="Times New Roman" w:cs="Times New Roman"/>
                <w:b/>
                <w:bCs/>
                <w:sz w:val="16"/>
                <w:szCs w:val="16"/>
                <w:lang w:val="en-GB"/>
              </w:rPr>
              <w:t xml:space="preserve"> </w:t>
            </w:r>
            <w:r w:rsidRPr="0021184B">
              <w:rPr>
                <w:rFonts w:ascii="Times New Roman" w:hAnsi="Times New Roman" w:cs="Times New Roman"/>
                <w:sz w:val="16"/>
                <w:szCs w:val="16"/>
                <w:lang w:val="en-GB"/>
              </w:rPr>
              <w:t>all directions</w:t>
            </w:r>
            <w:r w:rsidRPr="0021184B">
              <w:rPr>
                <w:rFonts w:ascii="Times New Roman" w:hAnsi="Times New Roman" w:cs="Times New Roman"/>
                <w:b/>
                <w:bCs/>
                <w:sz w:val="16"/>
                <w:szCs w:val="16"/>
                <w:lang w:val="en-GB"/>
              </w:rPr>
              <w:t xml:space="preserve"> </w:t>
            </w:r>
            <w:r w:rsidRPr="0021184B">
              <w:rPr>
                <w:rFonts w:ascii="Times New Roman" w:hAnsi="Times New Roman" w:cs="Times New Roman"/>
                <w:sz w:val="16"/>
                <w:szCs w:val="16"/>
                <w:lang w:val="en-GB"/>
              </w:rPr>
              <w:t>as they travel and connect different contexts and actors via markets and networks. Paper presents consultants acting as proactive promoters of ideas via markets and networks that they are involved in. They are active participants in the marketization of ideas.</w:t>
            </w:r>
          </w:p>
        </w:tc>
        <w:tc>
          <w:tcPr>
            <w:tcW w:w="3006" w:type="dxa"/>
          </w:tcPr>
          <w:p w:rsidR="00041F62" w:rsidRPr="0021184B" w:rsidRDefault="00041F62" w:rsidP="004006CB">
            <w:pPr>
              <w:rPr>
                <w:rFonts w:ascii="Times New Roman" w:hAnsi="Times New Roman" w:cs="Times New Roman"/>
                <w:sz w:val="16"/>
                <w:szCs w:val="16"/>
                <w:lang w:val="en-GB"/>
              </w:rPr>
            </w:pPr>
            <w:r w:rsidRPr="0021184B">
              <w:rPr>
                <w:rFonts w:ascii="Times New Roman" w:hAnsi="Times New Roman" w:cs="Times New Roman"/>
                <w:sz w:val="16"/>
                <w:szCs w:val="16"/>
                <w:lang w:val="en-GB"/>
              </w:rPr>
              <w:t>“Yet, as for ARUP and AECOM, members and potential members of the urban resilience complex are differentially empowered to benefit from enacting urban resilience; some connections within the complex are particularly intimate, benefiting from contracts awarded to promote, assess, and enact urban resilience.” (Webber &amp; Sheppard, 2020, p. 348)</w:t>
            </w:r>
          </w:p>
        </w:tc>
      </w:tr>
      <w:tr w:rsidR="00041F62" w:rsidRPr="0021184B" w:rsidTr="004006CB">
        <w:tc>
          <w:tcPr>
            <w:tcW w:w="3005" w:type="dxa"/>
          </w:tcPr>
          <w:p w:rsidR="00041F62" w:rsidRPr="0021184B" w:rsidRDefault="00041F62" w:rsidP="004006CB">
            <w:pPr>
              <w:rPr>
                <w:rFonts w:ascii="Times New Roman" w:hAnsi="Times New Roman" w:cs="Times New Roman"/>
                <w:sz w:val="16"/>
                <w:szCs w:val="16"/>
                <w:lang w:val="en-GB"/>
              </w:rPr>
            </w:pPr>
            <w:r w:rsidRPr="0021184B">
              <w:rPr>
                <w:rFonts w:ascii="Times New Roman" w:hAnsi="Times New Roman" w:cs="Times New Roman"/>
                <w:sz w:val="16"/>
                <w:szCs w:val="16"/>
                <w:lang w:val="en-GB"/>
              </w:rPr>
              <w:t>Translation: Re-interpreters *</w:t>
            </w:r>
          </w:p>
        </w:tc>
        <w:tc>
          <w:tcPr>
            <w:tcW w:w="3005" w:type="dxa"/>
          </w:tcPr>
          <w:p w:rsidR="00041F62" w:rsidRPr="0021184B" w:rsidRDefault="00041F62" w:rsidP="004006CB">
            <w:pPr>
              <w:rPr>
                <w:rFonts w:ascii="Times New Roman" w:hAnsi="Times New Roman" w:cs="Times New Roman"/>
                <w:sz w:val="16"/>
                <w:szCs w:val="16"/>
                <w:lang w:val="en-GB"/>
              </w:rPr>
            </w:pPr>
            <w:r w:rsidRPr="0021184B">
              <w:rPr>
                <w:rFonts w:ascii="Times New Roman" w:hAnsi="Times New Roman" w:cs="Times New Roman"/>
                <w:sz w:val="16"/>
                <w:szCs w:val="16"/>
                <w:lang w:val="en-GB"/>
              </w:rPr>
              <w:t>Paper presents evidence of consultants playing a role in re-packaging ideas according to the context. Paper presents consultants acting as re-interpreters and shed light on interests-based actions that may influence ways of contextualizing ideas.</w:t>
            </w:r>
          </w:p>
        </w:tc>
        <w:tc>
          <w:tcPr>
            <w:tcW w:w="3006" w:type="dxa"/>
          </w:tcPr>
          <w:p w:rsidR="00041F62" w:rsidRPr="0021184B" w:rsidRDefault="00041F62" w:rsidP="004006CB">
            <w:pPr>
              <w:rPr>
                <w:rFonts w:ascii="Times New Roman" w:hAnsi="Times New Roman" w:cs="Times New Roman"/>
                <w:sz w:val="16"/>
                <w:szCs w:val="16"/>
                <w:lang w:val="en-GB"/>
              </w:rPr>
            </w:pPr>
            <w:r w:rsidRPr="0021184B">
              <w:rPr>
                <w:rFonts w:ascii="Times New Roman" w:hAnsi="Times New Roman" w:cs="Times New Roman"/>
                <w:sz w:val="16"/>
                <w:szCs w:val="16"/>
                <w:lang w:val="en-GB"/>
              </w:rPr>
              <w:t>"These experts were brought on board to</w:t>
            </w:r>
          </w:p>
          <w:p w:rsidR="00041F62" w:rsidRPr="0021184B" w:rsidRDefault="00041F62" w:rsidP="004006CB">
            <w:pPr>
              <w:rPr>
                <w:rFonts w:ascii="Times New Roman" w:hAnsi="Times New Roman" w:cs="Times New Roman"/>
                <w:sz w:val="16"/>
                <w:szCs w:val="16"/>
                <w:lang w:val="en-GB"/>
              </w:rPr>
            </w:pPr>
            <w:r w:rsidRPr="0021184B">
              <w:rPr>
                <w:rFonts w:ascii="Times New Roman" w:hAnsi="Times New Roman" w:cs="Times New Roman"/>
                <w:sz w:val="16"/>
                <w:szCs w:val="16"/>
                <w:lang w:val="en-GB"/>
              </w:rPr>
              <w:t>further enhance the understanding of local knowledge and context in order to develop appropriate results.” (Mugabi &amp; Njiru, 2007, p. 2)</w:t>
            </w:r>
          </w:p>
        </w:tc>
      </w:tr>
      <w:tr w:rsidR="00041F62" w:rsidRPr="0021184B" w:rsidTr="004006CB">
        <w:tc>
          <w:tcPr>
            <w:tcW w:w="3005" w:type="dxa"/>
          </w:tcPr>
          <w:p w:rsidR="00041F62" w:rsidRPr="0021184B" w:rsidRDefault="00041F62" w:rsidP="004006CB">
            <w:pPr>
              <w:rPr>
                <w:rFonts w:ascii="Times New Roman" w:hAnsi="Times New Roman" w:cs="Times New Roman"/>
                <w:sz w:val="16"/>
                <w:szCs w:val="16"/>
                <w:lang w:val="en-GB"/>
              </w:rPr>
            </w:pPr>
            <w:r w:rsidRPr="0021184B">
              <w:rPr>
                <w:rFonts w:ascii="Times New Roman" w:hAnsi="Times New Roman" w:cs="Times New Roman"/>
                <w:sz w:val="16"/>
                <w:szCs w:val="16"/>
                <w:lang w:val="en-GB"/>
              </w:rPr>
              <w:t>Objects *</w:t>
            </w:r>
          </w:p>
        </w:tc>
        <w:tc>
          <w:tcPr>
            <w:tcW w:w="3005" w:type="dxa"/>
          </w:tcPr>
          <w:p w:rsidR="00041F62" w:rsidRPr="0021184B" w:rsidRDefault="00041F62" w:rsidP="004006CB">
            <w:pPr>
              <w:rPr>
                <w:rFonts w:ascii="Times New Roman" w:hAnsi="Times New Roman" w:cs="Times New Roman"/>
                <w:sz w:val="16"/>
                <w:szCs w:val="16"/>
                <w:lang w:val="en-GB"/>
              </w:rPr>
            </w:pPr>
            <w:r w:rsidRPr="0021184B">
              <w:rPr>
                <w:rFonts w:ascii="Times New Roman" w:hAnsi="Times New Roman" w:cs="Times New Roman"/>
                <w:sz w:val="16"/>
                <w:szCs w:val="16"/>
                <w:lang w:val="en-GB"/>
              </w:rPr>
              <w:t>Paper presents evidence on objects diffused by consultants. Objects can be a diverse range of ideas, policies, strategies, tools, and technologies that consultants explicitly or implicitly diffuse and maneuver.</w:t>
            </w:r>
          </w:p>
          <w:p w:rsidR="00041F62" w:rsidRPr="0021184B" w:rsidRDefault="00041F62" w:rsidP="004006CB">
            <w:pPr>
              <w:rPr>
                <w:rFonts w:ascii="Times New Roman" w:hAnsi="Times New Roman" w:cs="Times New Roman"/>
                <w:sz w:val="16"/>
                <w:szCs w:val="16"/>
                <w:lang w:val="en-GB"/>
              </w:rPr>
            </w:pPr>
            <w:r w:rsidRPr="0021184B">
              <w:rPr>
                <w:rFonts w:ascii="Times New Roman" w:hAnsi="Times New Roman" w:cs="Times New Roman"/>
                <w:sz w:val="16"/>
                <w:szCs w:val="16"/>
                <w:lang w:val="en-GB"/>
              </w:rPr>
              <w:t>Papers present evidence on objects diffused by consultants based on the following data-driven categories: (1) Environmental (and social) Impact Assessments; (2) Water and sanitation management approaches; (3) Climate expertise (generic); (4) Sustainability and SDGs; (5) Resilience; (6) Participatory and consultation process; (7) Environmental expertise (generic); (8) Coastal and delta planning; (9) Urban planning expertise (generic); (10) Green corporate strategies and CSR; (11) Smart cities; (12) Renewable and smart energy technology; (13) Sustainable urbanism; (14) Privatization; (15) Energy efficiency and transitions; (16) Eco or green innovations; and (17) Other.</w:t>
            </w:r>
          </w:p>
        </w:tc>
        <w:tc>
          <w:tcPr>
            <w:tcW w:w="3006" w:type="dxa"/>
          </w:tcPr>
          <w:p w:rsidR="00041F62" w:rsidRPr="0021184B" w:rsidRDefault="00041F62" w:rsidP="004006CB">
            <w:pPr>
              <w:rPr>
                <w:rFonts w:ascii="Times New Roman" w:hAnsi="Times New Roman" w:cs="Times New Roman"/>
                <w:sz w:val="16"/>
                <w:szCs w:val="16"/>
                <w:lang w:val="en-GB"/>
              </w:rPr>
            </w:pPr>
            <w:r w:rsidRPr="0021184B">
              <w:rPr>
                <w:rFonts w:ascii="Times New Roman" w:hAnsi="Times New Roman" w:cs="Times New Roman"/>
                <w:sz w:val="16"/>
                <w:szCs w:val="16"/>
                <w:lang w:val="en-GB"/>
              </w:rPr>
              <w:t>Example on the object ‘Water and sanitation management approaches’: "Local governments can turn to private sector consultants to help them develop policies and procedures consistent with state and federal stormwater regulations.” (Armstrong &amp; Jackson-Smith, 2019, p. 1697)</w:t>
            </w:r>
          </w:p>
        </w:tc>
      </w:tr>
      <w:tr w:rsidR="00041F62" w:rsidRPr="0021184B" w:rsidTr="004006CB">
        <w:tc>
          <w:tcPr>
            <w:tcW w:w="3005" w:type="dxa"/>
          </w:tcPr>
          <w:p w:rsidR="00041F62" w:rsidRPr="0021184B" w:rsidRDefault="00041F62" w:rsidP="004006CB">
            <w:pPr>
              <w:rPr>
                <w:rFonts w:ascii="Times New Roman" w:hAnsi="Times New Roman" w:cs="Times New Roman"/>
                <w:sz w:val="16"/>
                <w:szCs w:val="16"/>
                <w:lang w:val="en-GB"/>
              </w:rPr>
            </w:pPr>
            <w:r w:rsidRPr="0021184B">
              <w:rPr>
                <w:rFonts w:ascii="Times New Roman" w:hAnsi="Times New Roman" w:cs="Times New Roman"/>
                <w:sz w:val="16"/>
                <w:szCs w:val="16"/>
                <w:lang w:val="en-GB"/>
              </w:rPr>
              <w:t>Spaces</w:t>
            </w:r>
          </w:p>
        </w:tc>
        <w:tc>
          <w:tcPr>
            <w:tcW w:w="3005" w:type="dxa"/>
          </w:tcPr>
          <w:p w:rsidR="00041F62" w:rsidRPr="0021184B" w:rsidRDefault="00041F62" w:rsidP="004006CB">
            <w:pPr>
              <w:rPr>
                <w:rFonts w:ascii="Times New Roman" w:hAnsi="Times New Roman" w:cs="Times New Roman"/>
                <w:sz w:val="16"/>
                <w:szCs w:val="16"/>
                <w:lang w:val="en-GB"/>
              </w:rPr>
            </w:pPr>
            <w:r w:rsidRPr="0021184B">
              <w:rPr>
                <w:rFonts w:ascii="Times New Roman" w:hAnsi="Times New Roman" w:cs="Times New Roman"/>
                <w:sz w:val="16"/>
                <w:szCs w:val="16"/>
                <w:lang w:val="en-GB"/>
              </w:rPr>
              <w:t xml:space="preserve">Paper presents evidence on spaces navigated by consultants. These can be different types of jurisdictional spaces such as national government and institutional spaces such as global networks. These are also different sectorial and societal spaces such as private actors, public actors, civil society, funding agencies and scientific </w:t>
            </w:r>
            <w:r w:rsidRPr="0021184B">
              <w:rPr>
                <w:rFonts w:ascii="Times New Roman" w:hAnsi="Times New Roman" w:cs="Times New Roman"/>
                <w:sz w:val="16"/>
                <w:szCs w:val="16"/>
                <w:lang w:val="en-GB"/>
              </w:rPr>
              <w:lastRenderedPageBreak/>
              <w:t>communities. In addition, these spaces vary in geographical scale such as global, national, regional, local and city scales. These spatial scales can also be at the single scale, i.e. the city level, or cross-scale. i.e. from city level to global scales.</w:t>
            </w:r>
          </w:p>
          <w:p w:rsidR="00041F62" w:rsidRPr="0021184B" w:rsidRDefault="00041F62" w:rsidP="004006CB">
            <w:pPr>
              <w:rPr>
                <w:rFonts w:ascii="Times New Roman" w:hAnsi="Times New Roman" w:cs="Times New Roman"/>
                <w:sz w:val="16"/>
                <w:szCs w:val="16"/>
                <w:lang w:val="en-GB"/>
              </w:rPr>
            </w:pPr>
          </w:p>
          <w:p w:rsidR="00041F62" w:rsidRPr="0021184B" w:rsidRDefault="00041F62" w:rsidP="004006CB">
            <w:pPr>
              <w:rPr>
                <w:rFonts w:ascii="Times New Roman" w:hAnsi="Times New Roman" w:cs="Times New Roman"/>
                <w:sz w:val="16"/>
                <w:szCs w:val="16"/>
                <w:lang w:val="en-GB"/>
              </w:rPr>
            </w:pPr>
            <w:r w:rsidRPr="0021184B">
              <w:rPr>
                <w:rFonts w:ascii="Times New Roman" w:hAnsi="Times New Roman" w:cs="Times New Roman"/>
                <w:sz w:val="16"/>
                <w:szCs w:val="16"/>
                <w:lang w:val="en-GB"/>
              </w:rPr>
              <w:t>Paper presents evidence on spaces navigated by consultants based on the following data-driven categories:</w:t>
            </w:r>
          </w:p>
          <w:p w:rsidR="00041F62" w:rsidRPr="0021184B" w:rsidRDefault="00041F62" w:rsidP="00041F62">
            <w:pPr>
              <w:pStyle w:val="ListParagraph"/>
              <w:numPr>
                <w:ilvl w:val="0"/>
                <w:numId w:val="15"/>
              </w:numPr>
              <w:rPr>
                <w:rFonts w:ascii="Times New Roman" w:hAnsi="Times New Roman" w:cs="Times New Roman"/>
                <w:sz w:val="16"/>
                <w:szCs w:val="16"/>
                <w:lang w:val="en-GB"/>
              </w:rPr>
            </w:pPr>
            <w:r w:rsidRPr="0021184B">
              <w:rPr>
                <w:rFonts w:ascii="Times New Roman" w:hAnsi="Times New Roman" w:cs="Times New Roman"/>
                <w:sz w:val="16"/>
                <w:szCs w:val="16"/>
                <w:lang w:val="en-GB"/>
              </w:rPr>
              <w:t>Single scale: (i) Global, National; (ii) Regional; (iii) Local; and (iv) City</w:t>
            </w:r>
          </w:p>
          <w:p w:rsidR="00041F62" w:rsidRPr="0021184B" w:rsidRDefault="00041F62" w:rsidP="00041F62">
            <w:pPr>
              <w:pStyle w:val="ListParagraph"/>
              <w:numPr>
                <w:ilvl w:val="0"/>
                <w:numId w:val="15"/>
              </w:numPr>
              <w:rPr>
                <w:rFonts w:ascii="Times New Roman" w:hAnsi="Times New Roman" w:cs="Times New Roman"/>
                <w:sz w:val="16"/>
                <w:szCs w:val="16"/>
                <w:lang w:val="en-GB"/>
              </w:rPr>
            </w:pPr>
            <w:r w:rsidRPr="0021184B">
              <w:rPr>
                <w:rFonts w:ascii="Times New Roman" w:hAnsi="Times New Roman" w:cs="Times New Roman"/>
                <w:sz w:val="16"/>
                <w:szCs w:val="16"/>
                <w:lang w:val="en-GB"/>
              </w:rPr>
              <w:t>Cross-scale: Global-to-local; Global-to-city; Transnational; National-to-regional; National-to-local</w:t>
            </w:r>
          </w:p>
          <w:p w:rsidR="00041F62" w:rsidRPr="0021184B" w:rsidRDefault="00041F62" w:rsidP="00041F62">
            <w:pPr>
              <w:pStyle w:val="ListParagraph"/>
              <w:numPr>
                <w:ilvl w:val="0"/>
                <w:numId w:val="15"/>
              </w:numPr>
              <w:rPr>
                <w:rFonts w:ascii="Times New Roman" w:hAnsi="Times New Roman" w:cs="Times New Roman"/>
                <w:sz w:val="16"/>
                <w:szCs w:val="16"/>
                <w:lang w:val="en-GB"/>
              </w:rPr>
            </w:pPr>
            <w:r w:rsidRPr="0021184B">
              <w:rPr>
                <w:rFonts w:ascii="Times New Roman" w:hAnsi="Times New Roman" w:cs="Times New Roman"/>
                <w:sz w:val="16"/>
                <w:szCs w:val="16"/>
                <w:lang w:val="en-GB"/>
              </w:rPr>
              <w:t>NA: Not applicable</w:t>
            </w:r>
          </w:p>
          <w:p w:rsidR="00041F62" w:rsidRPr="0021184B" w:rsidRDefault="00041F62" w:rsidP="00041F62">
            <w:pPr>
              <w:pStyle w:val="ListParagraph"/>
              <w:numPr>
                <w:ilvl w:val="0"/>
                <w:numId w:val="15"/>
              </w:numPr>
              <w:rPr>
                <w:rFonts w:ascii="Times New Roman" w:hAnsi="Times New Roman" w:cs="Times New Roman"/>
                <w:sz w:val="16"/>
                <w:szCs w:val="16"/>
                <w:lang w:val="en-GB"/>
              </w:rPr>
            </w:pPr>
            <w:r w:rsidRPr="0021184B">
              <w:rPr>
                <w:rFonts w:ascii="Times New Roman" w:hAnsi="Times New Roman" w:cs="Times New Roman"/>
                <w:sz w:val="16"/>
                <w:szCs w:val="16"/>
                <w:lang w:val="en-GB"/>
              </w:rPr>
              <w:t>Societal spaces: Public actors; Private actors; Civil society; Funding agencies; and Scientific community</w:t>
            </w:r>
          </w:p>
        </w:tc>
        <w:tc>
          <w:tcPr>
            <w:tcW w:w="3006" w:type="dxa"/>
          </w:tcPr>
          <w:p w:rsidR="00041F62" w:rsidRPr="0021184B" w:rsidRDefault="00041F62" w:rsidP="004006CB">
            <w:pPr>
              <w:rPr>
                <w:rFonts w:ascii="Times New Roman" w:hAnsi="Times New Roman" w:cs="Times New Roman"/>
                <w:sz w:val="16"/>
                <w:szCs w:val="16"/>
                <w:lang w:val="en-GB"/>
              </w:rPr>
            </w:pPr>
            <w:r w:rsidRPr="0021184B">
              <w:rPr>
                <w:rFonts w:ascii="Times New Roman" w:hAnsi="Times New Roman" w:cs="Times New Roman"/>
                <w:sz w:val="16"/>
                <w:szCs w:val="16"/>
                <w:lang w:val="en-GB"/>
              </w:rPr>
              <w:lastRenderedPageBreak/>
              <w:t>An example on the spaces ‘Transnational’ and ‘Public actors’: “A leading Canadian planner in Amman reminisced how in contrast, in a previous consultancy in Bangladesh, it was the Canadian government that sought to terminate the knowledge exchange process.” (Khirfan et al., 2013, p.7).</w:t>
            </w:r>
          </w:p>
        </w:tc>
      </w:tr>
      <w:tr w:rsidR="00041F62" w:rsidRPr="007313DA" w:rsidTr="004006CB">
        <w:tc>
          <w:tcPr>
            <w:tcW w:w="3005" w:type="dxa"/>
          </w:tcPr>
          <w:p w:rsidR="00041F62" w:rsidRPr="0021184B" w:rsidRDefault="00041F62" w:rsidP="004006CB">
            <w:pPr>
              <w:rPr>
                <w:rFonts w:ascii="Times New Roman" w:hAnsi="Times New Roman" w:cs="Times New Roman"/>
                <w:sz w:val="16"/>
                <w:szCs w:val="16"/>
                <w:lang w:val="en-GB"/>
              </w:rPr>
            </w:pPr>
            <w:r w:rsidRPr="0021184B">
              <w:rPr>
                <w:rFonts w:ascii="Times New Roman" w:hAnsi="Times New Roman" w:cs="Times New Roman"/>
                <w:sz w:val="16"/>
                <w:szCs w:val="16"/>
                <w:lang w:val="en-GB"/>
              </w:rPr>
              <w:t>Capabilities</w:t>
            </w:r>
          </w:p>
        </w:tc>
        <w:tc>
          <w:tcPr>
            <w:tcW w:w="3005" w:type="dxa"/>
          </w:tcPr>
          <w:p w:rsidR="00041F62" w:rsidRPr="0021184B" w:rsidRDefault="00041F62" w:rsidP="004006CB">
            <w:pPr>
              <w:rPr>
                <w:rFonts w:ascii="Times New Roman" w:hAnsi="Times New Roman" w:cs="Times New Roman"/>
                <w:sz w:val="16"/>
                <w:szCs w:val="16"/>
                <w:lang w:val="en-GB"/>
              </w:rPr>
            </w:pPr>
            <w:r w:rsidRPr="0021184B">
              <w:rPr>
                <w:rFonts w:ascii="Times New Roman" w:hAnsi="Times New Roman" w:cs="Times New Roman"/>
                <w:sz w:val="16"/>
                <w:szCs w:val="16"/>
                <w:lang w:val="en-GB"/>
              </w:rPr>
              <w:t>Paper presents evidence of the ability or quality of consultants to do something. Paper presents evidence on roles, actions, capacities, influences, or activities of consultants.</w:t>
            </w:r>
          </w:p>
        </w:tc>
        <w:tc>
          <w:tcPr>
            <w:tcW w:w="3006" w:type="dxa"/>
          </w:tcPr>
          <w:p w:rsidR="00041F62" w:rsidRPr="0021184B" w:rsidRDefault="00041F62" w:rsidP="004006CB">
            <w:pPr>
              <w:rPr>
                <w:rFonts w:ascii="Times New Roman" w:hAnsi="Times New Roman" w:cs="Times New Roman"/>
                <w:sz w:val="16"/>
                <w:szCs w:val="16"/>
                <w:lang w:val="en-GB"/>
              </w:rPr>
            </w:pPr>
            <w:r w:rsidRPr="0021184B">
              <w:rPr>
                <w:rFonts w:ascii="Times New Roman" w:hAnsi="Times New Roman" w:cs="Times New Roman"/>
                <w:sz w:val="16"/>
                <w:szCs w:val="16"/>
                <w:lang w:val="en-GB"/>
              </w:rPr>
              <w:t>See below examples for specific data-driven categories for capabilities</w:t>
            </w:r>
          </w:p>
        </w:tc>
      </w:tr>
      <w:tr w:rsidR="00041F62" w:rsidRPr="0021184B" w:rsidTr="004006CB">
        <w:tc>
          <w:tcPr>
            <w:tcW w:w="3005" w:type="dxa"/>
          </w:tcPr>
          <w:p w:rsidR="00041F62" w:rsidRPr="0021184B" w:rsidRDefault="00041F62" w:rsidP="004006CB">
            <w:pPr>
              <w:rPr>
                <w:rFonts w:ascii="Times New Roman" w:hAnsi="Times New Roman" w:cs="Times New Roman"/>
                <w:sz w:val="16"/>
                <w:szCs w:val="16"/>
                <w:lang w:val="en-GB"/>
              </w:rPr>
            </w:pPr>
            <w:r w:rsidRPr="0021184B">
              <w:rPr>
                <w:rFonts w:ascii="Times New Roman" w:hAnsi="Times New Roman" w:cs="Times New Roman"/>
                <w:sz w:val="16"/>
                <w:szCs w:val="16"/>
                <w:lang w:val="en-GB"/>
              </w:rPr>
              <w:t>Capabilities: Trusted facilitators</w:t>
            </w:r>
          </w:p>
        </w:tc>
        <w:tc>
          <w:tcPr>
            <w:tcW w:w="3005" w:type="dxa"/>
          </w:tcPr>
          <w:p w:rsidR="00041F62" w:rsidRPr="0021184B" w:rsidRDefault="00041F62" w:rsidP="004006CB">
            <w:pPr>
              <w:rPr>
                <w:rFonts w:ascii="Times New Roman" w:hAnsi="Times New Roman" w:cs="Times New Roman"/>
                <w:sz w:val="16"/>
                <w:szCs w:val="16"/>
                <w:lang w:val="en-GB"/>
              </w:rPr>
            </w:pPr>
            <w:r w:rsidRPr="0021184B">
              <w:rPr>
                <w:rFonts w:ascii="Times New Roman" w:hAnsi="Times New Roman" w:cs="Times New Roman"/>
                <w:sz w:val="16"/>
                <w:szCs w:val="16"/>
                <w:lang w:val="en-GB"/>
              </w:rPr>
              <w:t>Paper presents evidence of consultants being hired by clients as trusted partners to facilitate client needs, policies, or regulations.</w:t>
            </w:r>
          </w:p>
        </w:tc>
        <w:tc>
          <w:tcPr>
            <w:tcW w:w="3006" w:type="dxa"/>
          </w:tcPr>
          <w:p w:rsidR="00041F62" w:rsidRPr="0021184B" w:rsidRDefault="00041F62" w:rsidP="004006CB">
            <w:pPr>
              <w:rPr>
                <w:rFonts w:ascii="Times New Roman" w:hAnsi="Times New Roman" w:cs="Times New Roman"/>
                <w:sz w:val="16"/>
                <w:szCs w:val="16"/>
                <w:lang w:val="en-GB"/>
              </w:rPr>
            </w:pPr>
            <w:r w:rsidRPr="0021184B">
              <w:rPr>
                <w:rFonts w:ascii="Times New Roman" w:hAnsi="Times New Roman" w:cs="Times New Roman"/>
                <w:sz w:val="16"/>
                <w:szCs w:val="16"/>
                <w:lang w:val="en-GB"/>
              </w:rPr>
              <w:t>“Consultants themselves emphasized this role, and regulators and other nonconsultants agreed that consultants, although they clearly serve the clients who hire them, still aspire to act as trusted facilitators and often succeed in doing so.” (Owen, 2021, p. 2)</w:t>
            </w:r>
          </w:p>
        </w:tc>
      </w:tr>
      <w:tr w:rsidR="00041F62" w:rsidRPr="0021184B" w:rsidTr="004006CB">
        <w:tc>
          <w:tcPr>
            <w:tcW w:w="3005" w:type="dxa"/>
          </w:tcPr>
          <w:p w:rsidR="00041F62" w:rsidRPr="0021184B" w:rsidRDefault="00041F62" w:rsidP="004006CB">
            <w:pPr>
              <w:rPr>
                <w:rFonts w:ascii="Times New Roman" w:hAnsi="Times New Roman" w:cs="Times New Roman"/>
                <w:sz w:val="16"/>
                <w:szCs w:val="16"/>
                <w:lang w:val="en-GB"/>
              </w:rPr>
            </w:pPr>
            <w:r w:rsidRPr="0021184B">
              <w:rPr>
                <w:rFonts w:ascii="Times New Roman" w:hAnsi="Times New Roman" w:cs="Times New Roman"/>
                <w:sz w:val="16"/>
                <w:szCs w:val="16"/>
                <w:lang w:val="en-GB"/>
              </w:rPr>
              <w:t>Capabilities: Reactors to environmental policies</w:t>
            </w:r>
          </w:p>
        </w:tc>
        <w:tc>
          <w:tcPr>
            <w:tcW w:w="3005" w:type="dxa"/>
          </w:tcPr>
          <w:p w:rsidR="00041F62" w:rsidRPr="0021184B" w:rsidRDefault="00041F62" w:rsidP="004006CB">
            <w:pPr>
              <w:rPr>
                <w:rFonts w:ascii="Times New Roman" w:hAnsi="Times New Roman" w:cs="Times New Roman"/>
                <w:sz w:val="16"/>
                <w:szCs w:val="16"/>
                <w:lang w:val="en-GB"/>
              </w:rPr>
            </w:pPr>
            <w:r w:rsidRPr="0021184B">
              <w:rPr>
                <w:rFonts w:ascii="Times New Roman" w:hAnsi="Times New Roman" w:cs="Times New Roman"/>
                <w:sz w:val="16"/>
                <w:szCs w:val="16"/>
                <w:lang w:val="en-GB"/>
              </w:rPr>
              <w:t>Paper presents evidence of consultants working in a manner that reacts to their clients or policy makers. Paper presents evidence of consultants as having a more reactive, less autonomous, even biased, characteristic towards demands and in implementing needs of clients or policy makers.</w:t>
            </w:r>
          </w:p>
        </w:tc>
        <w:tc>
          <w:tcPr>
            <w:tcW w:w="3006" w:type="dxa"/>
          </w:tcPr>
          <w:p w:rsidR="00041F62" w:rsidRPr="0021184B" w:rsidRDefault="00041F62" w:rsidP="004006CB">
            <w:pPr>
              <w:rPr>
                <w:rFonts w:ascii="Times New Roman" w:hAnsi="Times New Roman" w:cs="Times New Roman"/>
                <w:sz w:val="16"/>
                <w:szCs w:val="16"/>
                <w:lang w:val="en-GB"/>
              </w:rPr>
            </w:pPr>
            <w:r w:rsidRPr="0021184B">
              <w:rPr>
                <w:rFonts w:ascii="Times New Roman" w:hAnsi="Times New Roman" w:cs="Times New Roman"/>
                <w:sz w:val="16"/>
                <w:szCs w:val="16"/>
                <w:lang w:val="en-GB"/>
              </w:rPr>
              <w:t>"Consultants, for example, who are dependent on future contracts with government agencies may face informal control, as well as researchers at publicly funded research institutes which are expected to demonstrate societal relevance. Dependencies of this kind can lead the experts to internalize policymaker’s interests in their work, even without direct control, and thereby lead to low expert autonomy.” (Broström &amp; McKelvey, 2018, p. 189)</w:t>
            </w:r>
          </w:p>
        </w:tc>
      </w:tr>
      <w:tr w:rsidR="00041F62" w:rsidRPr="0021184B" w:rsidTr="004006CB">
        <w:tc>
          <w:tcPr>
            <w:tcW w:w="3005" w:type="dxa"/>
          </w:tcPr>
          <w:p w:rsidR="00041F62" w:rsidRPr="0021184B" w:rsidRDefault="00041F62" w:rsidP="004006CB">
            <w:pPr>
              <w:rPr>
                <w:rFonts w:ascii="Times New Roman" w:hAnsi="Times New Roman" w:cs="Times New Roman"/>
                <w:sz w:val="16"/>
                <w:szCs w:val="16"/>
                <w:lang w:val="en-GB"/>
              </w:rPr>
            </w:pPr>
            <w:r w:rsidRPr="0021184B">
              <w:rPr>
                <w:rFonts w:ascii="Times New Roman" w:hAnsi="Times New Roman" w:cs="Times New Roman"/>
                <w:sz w:val="16"/>
                <w:szCs w:val="16"/>
                <w:lang w:val="en-GB"/>
              </w:rPr>
              <w:t>Capabilities: Shapers of environmental policies</w:t>
            </w:r>
          </w:p>
        </w:tc>
        <w:tc>
          <w:tcPr>
            <w:tcW w:w="3005" w:type="dxa"/>
          </w:tcPr>
          <w:p w:rsidR="00041F62" w:rsidRPr="0021184B" w:rsidRDefault="00041F62" w:rsidP="004006CB">
            <w:pPr>
              <w:rPr>
                <w:rFonts w:ascii="Times New Roman" w:hAnsi="Times New Roman" w:cs="Times New Roman"/>
                <w:sz w:val="16"/>
                <w:szCs w:val="16"/>
                <w:lang w:val="en-GB"/>
              </w:rPr>
            </w:pPr>
            <w:r w:rsidRPr="0021184B">
              <w:rPr>
                <w:rFonts w:ascii="Times New Roman" w:hAnsi="Times New Roman" w:cs="Times New Roman"/>
                <w:sz w:val="16"/>
                <w:szCs w:val="16"/>
                <w:lang w:val="en-GB"/>
              </w:rPr>
              <w:t>Paper presents evidence of consultants as proactive shapers of policies. Paper presents evidence that consultants go beyond to reacting to policies or contractual client mandates but assert levels of agency in diffusing or delivering objects. Paper presents evidence of consultants influencing or shaping policy processes to new contexts. Paper presents evidence of consultants delivering innovations and best practices to new contexts.</w:t>
            </w:r>
          </w:p>
        </w:tc>
        <w:tc>
          <w:tcPr>
            <w:tcW w:w="3006" w:type="dxa"/>
          </w:tcPr>
          <w:p w:rsidR="00041F62" w:rsidRPr="0021184B" w:rsidRDefault="00041F62" w:rsidP="004006CB">
            <w:pPr>
              <w:rPr>
                <w:rFonts w:ascii="Times New Roman" w:hAnsi="Times New Roman" w:cs="Times New Roman"/>
                <w:sz w:val="16"/>
                <w:szCs w:val="16"/>
                <w:lang w:val="en-GB"/>
              </w:rPr>
            </w:pPr>
            <w:r w:rsidRPr="0021184B">
              <w:rPr>
                <w:rFonts w:ascii="Times New Roman" w:hAnsi="Times New Roman" w:cs="Times New Roman"/>
                <w:sz w:val="16"/>
                <w:szCs w:val="16"/>
                <w:lang w:val="en-GB"/>
              </w:rPr>
              <w:t>“Indeed, one Canadian planner acknowledged that planning consultants do not necessarily know that their prescriptions may not fit into the local context and only through dialogue with</w:t>
            </w:r>
          </w:p>
          <w:p w:rsidR="00041F62" w:rsidRPr="0021184B" w:rsidRDefault="00041F62" w:rsidP="004006CB">
            <w:pPr>
              <w:rPr>
                <w:rFonts w:ascii="Times New Roman" w:hAnsi="Times New Roman" w:cs="Times New Roman"/>
                <w:sz w:val="16"/>
                <w:szCs w:val="16"/>
                <w:lang w:val="en-GB"/>
              </w:rPr>
            </w:pPr>
            <w:r w:rsidRPr="0021184B">
              <w:rPr>
                <w:rFonts w:ascii="Times New Roman" w:hAnsi="Times New Roman" w:cs="Times New Roman"/>
                <w:sz w:val="16"/>
                <w:szCs w:val="16"/>
                <w:lang w:val="en-GB"/>
              </w:rPr>
              <w:t>local experts did it become increasingly clear to the Canadians that their preconceived notions of what constitutes workable ideas must be amended to fit the local circumstances.” (Khirfan et al., 2013, p. 6).</w:t>
            </w:r>
          </w:p>
        </w:tc>
      </w:tr>
      <w:tr w:rsidR="00041F62" w:rsidRPr="0021184B" w:rsidTr="004006CB">
        <w:tc>
          <w:tcPr>
            <w:tcW w:w="3005" w:type="dxa"/>
          </w:tcPr>
          <w:p w:rsidR="00041F62" w:rsidRPr="0021184B" w:rsidRDefault="00041F62" w:rsidP="004006CB">
            <w:pPr>
              <w:rPr>
                <w:rFonts w:ascii="Times New Roman" w:hAnsi="Times New Roman" w:cs="Times New Roman"/>
                <w:sz w:val="16"/>
                <w:szCs w:val="16"/>
                <w:lang w:val="en-GB"/>
              </w:rPr>
            </w:pPr>
            <w:r w:rsidRPr="0021184B">
              <w:rPr>
                <w:rFonts w:ascii="Times New Roman" w:hAnsi="Times New Roman" w:cs="Times New Roman"/>
                <w:sz w:val="16"/>
                <w:szCs w:val="16"/>
                <w:lang w:val="en-GB"/>
              </w:rPr>
              <w:t>Capabilities: Market drivers</w:t>
            </w:r>
          </w:p>
        </w:tc>
        <w:tc>
          <w:tcPr>
            <w:tcW w:w="3005" w:type="dxa"/>
          </w:tcPr>
          <w:p w:rsidR="00041F62" w:rsidRPr="0021184B" w:rsidRDefault="00041F62" w:rsidP="004006CB">
            <w:pPr>
              <w:rPr>
                <w:rFonts w:ascii="Times New Roman" w:hAnsi="Times New Roman" w:cs="Times New Roman"/>
                <w:sz w:val="16"/>
                <w:szCs w:val="16"/>
                <w:lang w:val="en-GB"/>
              </w:rPr>
            </w:pPr>
            <w:r w:rsidRPr="0021184B">
              <w:rPr>
                <w:rFonts w:ascii="Times New Roman" w:hAnsi="Times New Roman" w:cs="Times New Roman"/>
                <w:sz w:val="16"/>
                <w:szCs w:val="16"/>
                <w:lang w:val="en-GB"/>
              </w:rPr>
              <w:t>Paper presents evidence of consultants acting as market driver, meaning that they are presented as proactive trendsetters, as part of networks who influence and/or benefit from the consultancy market. Meaning, the buying and selling of knowledge or expertise in exchange for money and in competition. They are economic actors and driven by profit.</w:t>
            </w:r>
          </w:p>
        </w:tc>
        <w:tc>
          <w:tcPr>
            <w:tcW w:w="3006" w:type="dxa"/>
          </w:tcPr>
          <w:p w:rsidR="00041F62" w:rsidRPr="0021184B" w:rsidRDefault="00041F62" w:rsidP="004006CB">
            <w:pPr>
              <w:rPr>
                <w:rFonts w:ascii="Times New Roman" w:hAnsi="Times New Roman" w:cs="Times New Roman"/>
                <w:sz w:val="16"/>
                <w:szCs w:val="16"/>
                <w:lang w:val="en-GB"/>
              </w:rPr>
            </w:pPr>
            <w:r w:rsidRPr="0021184B">
              <w:rPr>
                <w:rFonts w:ascii="Times New Roman" w:hAnsi="Times New Roman" w:cs="Times New Roman"/>
                <w:sz w:val="16"/>
                <w:szCs w:val="16"/>
                <w:lang w:val="en-GB"/>
              </w:rPr>
              <w:t>“We trace the mechanisms by which the PR consultants of the EnviroComm network constituted themselves as an epistemic community, becoming carriers of ‘green communication’.” (Aronczyk &amp; Espinoza, 2019, p. 2)</w:t>
            </w:r>
          </w:p>
        </w:tc>
      </w:tr>
      <w:tr w:rsidR="00041F62" w:rsidRPr="0021184B" w:rsidTr="004006CB">
        <w:tc>
          <w:tcPr>
            <w:tcW w:w="3005" w:type="dxa"/>
          </w:tcPr>
          <w:p w:rsidR="00041F62" w:rsidRPr="0021184B" w:rsidRDefault="00041F62" w:rsidP="004006CB">
            <w:pPr>
              <w:rPr>
                <w:rFonts w:ascii="Times New Roman" w:hAnsi="Times New Roman" w:cs="Times New Roman"/>
                <w:sz w:val="16"/>
                <w:szCs w:val="16"/>
                <w:lang w:val="en-GB"/>
              </w:rPr>
            </w:pPr>
            <w:r w:rsidRPr="0021184B">
              <w:rPr>
                <w:rFonts w:ascii="Times New Roman" w:hAnsi="Times New Roman" w:cs="Times New Roman"/>
                <w:sz w:val="16"/>
                <w:szCs w:val="16"/>
                <w:lang w:val="en-GB"/>
              </w:rPr>
              <w:t>Capabilities: Public participation managers</w:t>
            </w:r>
          </w:p>
        </w:tc>
        <w:tc>
          <w:tcPr>
            <w:tcW w:w="3005" w:type="dxa"/>
          </w:tcPr>
          <w:p w:rsidR="00041F62" w:rsidRPr="0021184B" w:rsidRDefault="00041F62" w:rsidP="004006CB">
            <w:pPr>
              <w:rPr>
                <w:rFonts w:ascii="Times New Roman" w:hAnsi="Times New Roman" w:cs="Times New Roman"/>
                <w:sz w:val="16"/>
                <w:szCs w:val="16"/>
                <w:lang w:val="en-GB"/>
              </w:rPr>
            </w:pPr>
            <w:r w:rsidRPr="0021184B">
              <w:rPr>
                <w:rFonts w:ascii="Times New Roman" w:hAnsi="Times New Roman" w:cs="Times New Roman"/>
                <w:sz w:val="16"/>
                <w:szCs w:val="16"/>
                <w:lang w:val="en-GB"/>
              </w:rPr>
              <w:t>Paper presents evidence of consultants having leverage in managing who does and does not participate in projects, as well as what knowledge is included or excluded. Paper presents evidence of consultants involved in stakeholder participation processes.</w:t>
            </w:r>
          </w:p>
        </w:tc>
        <w:tc>
          <w:tcPr>
            <w:tcW w:w="3006" w:type="dxa"/>
          </w:tcPr>
          <w:p w:rsidR="00041F62" w:rsidRPr="0021184B" w:rsidRDefault="00041F62" w:rsidP="004006CB">
            <w:pPr>
              <w:rPr>
                <w:rFonts w:ascii="Times New Roman" w:hAnsi="Times New Roman" w:cs="Times New Roman"/>
                <w:sz w:val="16"/>
                <w:szCs w:val="16"/>
                <w:lang w:val="en-GB"/>
              </w:rPr>
            </w:pPr>
            <w:r w:rsidRPr="0021184B">
              <w:rPr>
                <w:rFonts w:ascii="Times New Roman" w:hAnsi="Times New Roman" w:cs="Times New Roman"/>
                <w:sz w:val="16"/>
                <w:szCs w:val="16"/>
                <w:lang w:val="en-GB"/>
              </w:rPr>
              <w:t xml:space="preserve">“A collaborative team of representatives from the responsible water association (Wupperverband), researchers (University of Osnabrueck, Institute of Environmental Systems Science), and consultants (Seecon GmbH) from two European research projects (NeWater and ACER) co-designed, implemented, and evaluated this </w:t>
            </w:r>
            <w:r w:rsidRPr="0021184B">
              <w:rPr>
                <w:rFonts w:ascii="Times New Roman" w:hAnsi="Times New Roman" w:cs="Times New Roman"/>
                <w:sz w:val="16"/>
                <w:szCs w:val="16"/>
                <w:lang w:val="en-GB"/>
              </w:rPr>
              <w:lastRenderedPageBreak/>
              <w:t>participatory process.” (Moellenkamp et al., 2010, p. 5)</w:t>
            </w:r>
          </w:p>
        </w:tc>
      </w:tr>
      <w:tr w:rsidR="00041F62" w:rsidRPr="0021184B" w:rsidTr="004006CB">
        <w:tc>
          <w:tcPr>
            <w:tcW w:w="3005" w:type="dxa"/>
          </w:tcPr>
          <w:p w:rsidR="00041F62" w:rsidRPr="0021184B" w:rsidRDefault="00041F62" w:rsidP="004006CB">
            <w:pPr>
              <w:rPr>
                <w:rFonts w:ascii="Times New Roman" w:hAnsi="Times New Roman" w:cs="Times New Roman"/>
                <w:sz w:val="16"/>
                <w:szCs w:val="16"/>
                <w:lang w:val="en-GB"/>
              </w:rPr>
            </w:pPr>
            <w:r w:rsidRPr="0021184B">
              <w:rPr>
                <w:rFonts w:ascii="Times New Roman" w:hAnsi="Times New Roman" w:cs="Times New Roman"/>
                <w:sz w:val="16"/>
                <w:szCs w:val="16"/>
                <w:lang w:val="en-GB"/>
              </w:rPr>
              <w:lastRenderedPageBreak/>
              <w:t>Capabilities: Interest navigators</w:t>
            </w:r>
          </w:p>
        </w:tc>
        <w:tc>
          <w:tcPr>
            <w:tcW w:w="3005" w:type="dxa"/>
          </w:tcPr>
          <w:p w:rsidR="00041F62" w:rsidRPr="0021184B" w:rsidRDefault="00041F62" w:rsidP="004006CB">
            <w:pPr>
              <w:rPr>
                <w:rFonts w:ascii="Times New Roman" w:hAnsi="Times New Roman" w:cs="Times New Roman"/>
                <w:sz w:val="16"/>
                <w:szCs w:val="16"/>
                <w:lang w:val="en-GB"/>
              </w:rPr>
            </w:pPr>
            <w:r w:rsidRPr="0021184B">
              <w:rPr>
                <w:rFonts w:ascii="Times New Roman" w:hAnsi="Times New Roman" w:cs="Times New Roman"/>
                <w:sz w:val="16"/>
                <w:szCs w:val="16"/>
                <w:lang w:val="en-GB"/>
              </w:rPr>
              <w:t>Paper presents evidence of consultants engaging with and handling different stakeholders with distinct interests. Paper presents evidence of consultants taking a role to adjust project ideas or giving advice based on expressed or dominating stakeholder interests.</w:t>
            </w:r>
          </w:p>
        </w:tc>
        <w:tc>
          <w:tcPr>
            <w:tcW w:w="3006" w:type="dxa"/>
          </w:tcPr>
          <w:p w:rsidR="00041F62" w:rsidRPr="0021184B" w:rsidRDefault="00041F62" w:rsidP="004006CB">
            <w:pPr>
              <w:rPr>
                <w:rFonts w:ascii="Times New Roman" w:hAnsi="Times New Roman" w:cs="Times New Roman"/>
                <w:sz w:val="16"/>
                <w:szCs w:val="16"/>
                <w:lang w:val="en-GB"/>
              </w:rPr>
            </w:pPr>
            <w:r w:rsidRPr="0021184B">
              <w:rPr>
                <w:rFonts w:ascii="Times New Roman" w:hAnsi="Times New Roman" w:cs="Times New Roman"/>
                <w:sz w:val="16"/>
                <w:szCs w:val="16"/>
                <w:lang w:val="en-GB"/>
              </w:rPr>
              <w:t xml:space="preserve">“The analysis finds that the forest consultants have developed the following professional capacities to meet these challenges: articulating uncertainties, advocating risk diversification, and using historical references to handle the long-term risk associated with climate change; contextualizing the advice to meet the needs of a heterogeneous group of forest owners; and organizational decoupling, whereby consultants prioritize advisory activities at the expense of other tasks.” </w:t>
            </w:r>
            <w:r w:rsidRPr="0021184B">
              <w:rPr>
                <w:rFonts w:ascii="Times New Roman" w:eastAsia="Times New Roman" w:hAnsi="Times New Roman" w:cs="Times New Roman"/>
                <w:sz w:val="16"/>
                <w:szCs w:val="16"/>
                <w:lang w:val="en-GB"/>
              </w:rPr>
              <w:t>(see Lidskog &amp; Löfmarck, 2016, p. 177)</w:t>
            </w:r>
          </w:p>
        </w:tc>
      </w:tr>
      <w:tr w:rsidR="00041F62" w:rsidRPr="007313DA" w:rsidTr="004006CB">
        <w:tc>
          <w:tcPr>
            <w:tcW w:w="3005" w:type="dxa"/>
          </w:tcPr>
          <w:p w:rsidR="00041F62" w:rsidRPr="0021184B" w:rsidRDefault="00041F62" w:rsidP="004006CB">
            <w:pPr>
              <w:rPr>
                <w:rFonts w:ascii="Times New Roman" w:hAnsi="Times New Roman" w:cs="Times New Roman"/>
                <w:sz w:val="16"/>
                <w:szCs w:val="16"/>
                <w:lang w:val="en-GB"/>
              </w:rPr>
            </w:pPr>
            <w:r w:rsidRPr="0021184B">
              <w:rPr>
                <w:rFonts w:ascii="Times New Roman" w:hAnsi="Times New Roman" w:cs="Times New Roman"/>
                <w:sz w:val="16"/>
                <w:szCs w:val="16"/>
                <w:lang w:val="en-GB"/>
              </w:rPr>
              <w:t>Dilemmas *</w:t>
            </w:r>
          </w:p>
        </w:tc>
        <w:tc>
          <w:tcPr>
            <w:tcW w:w="3005" w:type="dxa"/>
          </w:tcPr>
          <w:p w:rsidR="00041F62" w:rsidRPr="0021184B" w:rsidRDefault="00041F62" w:rsidP="004006CB">
            <w:pPr>
              <w:rPr>
                <w:rFonts w:ascii="Times New Roman" w:hAnsi="Times New Roman" w:cs="Times New Roman"/>
                <w:sz w:val="16"/>
                <w:szCs w:val="16"/>
                <w:lang w:val="en-GB"/>
              </w:rPr>
            </w:pPr>
            <w:r w:rsidRPr="0021184B">
              <w:rPr>
                <w:rFonts w:ascii="Times New Roman" w:hAnsi="Times New Roman" w:cs="Times New Roman"/>
                <w:sz w:val="16"/>
                <w:szCs w:val="16"/>
                <w:lang w:val="en-GB"/>
              </w:rPr>
              <w:t>Paper presents evidence of tensions or goal conflicts that consultants handle.</w:t>
            </w:r>
          </w:p>
        </w:tc>
        <w:tc>
          <w:tcPr>
            <w:tcW w:w="3006" w:type="dxa"/>
          </w:tcPr>
          <w:p w:rsidR="00041F62" w:rsidRPr="0021184B" w:rsidRDefault="00041F62" w:rsidP="004006CB">
            <w:pPr>
              <w:rPr>
                <w:rFonts w:ascii="Times New Roman" w:hAnsi="Times New Roman" w:cs="Times New Roman"/>
                <w:sz w:val="16"/>
                <w:szCs w:val="16"/>
                <w:lang w:val="en-GB"/>
              </w:rPr>
            </w:pPr>
            <w:r w:rsidRPr="0021184B">
              <w:rPr>
                <w:rFonts w:ascii="Times New Roman" w:hAnsi="Times New Roman" w:cs="Times New Roman"/>
                <w:sz w:val="16"/>
                <w:szCs w:val="16"/>
                <w:lang w:val="en-GB"/>
              </w:rPr>
              <w:t>See below examples for specific data-driven categories for dilemmas</w:t>
            </w:r>
          </w:p>
        </w:tc>
      </w:tr>
      <w:tr w:rsidR="00041F62" w:rsidRPr="0021184B" w:rsidTr="004006CB">
        <w:tc>
          <w:tcPr>
            <w:tcW w:w="3005" w:type="dxa"/>
          </w:tcPr>
          <w:p w:rsidR="00041F62" w:rsidRPr="0021184B" w:rsidRDefault="00041F62" w:rsidP="004006CB">
            <w:pPr>
              <w:rPr>
                <w:rFonts w:ascii="Times New Roman" w:hAnsi="Times New Roman" w:cs="Times New Roman"/>
                <w:sz w:val="16"/>
                <w:szCs w:val="16"/>
                <w:lang w:val="en-GB"/>
              </w:rPr>
            </w:pPr>
            <w:r w:rsidRPr="0021184B">
              <w:rPr>
                <w:rFonts w:ascii="Times New Roman" w:hAnsi="Times New Roman" w:cs="Times New Roman"/>
                <w:sz w:val="16"/>
                <w:szCs w:val="16"/>
                <w:lang w:val="en-GB"/>
              </w:rPr>
              <w:t xml:space="preserve">Dilemmas: Biases </w:t>
            </w:r>
          </w:p>
        </w:tc>
        <w:tc>
          <w:tcPr>
            <w:tcW w:w="3005" w:type="dxa"/>
          </w:tcPr>
          <w:p w:rsidR="00041F62" w:rsidRPr="0021184B" w:rsidRDefault="00041F62" w:rsidP="004006CB">
            <w:pPr>
              <w:rPr>
                <w:rFonts w:ascii="Times New Roman" w:hAnsi="Times New Roman" w:cs="Times New Roman"/>
                <w:sz w:val="16"/>
                <w:szCs w:val="16"/>
                <w:lang w:val="en-GB"/>
              </w:rPr>
            </w:pPr>
            <w:r w:rsidRPr="0021184B">
              <w:rPr>
                <w:rFonts w:ascii="Times New Roman" w:hAnsi="Times New Roman" w:cs="Times New Roman"/>
                <w:sz w:val="16"/>
                <w:szCs w:val="16"/>
                <w:lang w:val="en-GB"/>
              </w:rPr>
              <w:t>Paper presents consultants’ biases in relation to who contracts them or other stakeholders. Paper presents evidence of consultants being restricted to implementing pre-orchestrated client needs.</w:t>
            </w:r>
          </w:p>
        </w:tc>
        <w:tc>
          <w:tcPr>
            <w:tcW w:w="3006" w:type="dxa"/>
          </w:tcPr>
          <w:p w:rsidR="00041F62" w:rsidRPr="0021184B" w:rsidRDefault="00041F62" w:rsidP="004006CB">
            <w:pPr>
              <w:rPr>
                <w:rFonts w:ascii="Times New Roman" w:hAnsi="Times New Roman" w:cs="Times New Roman"/>
                <w:sz w:val="16"/>
                <w:szCs w:val="16"/>
                <w:lang w:val="en-GB"/>
              </w:rPr>
            </w:pPr>
            <w:r w:rsidRPr="0021184B">
              <w:rPr>
                <w:rFonts w:ascii="Times New Roman" w:hAnsi="Times New Roman" w:cs="Times New Roman"/>
                <w:sz w:val="16"/>
                <w:szCs w:val="16"/>
                <w:lang w:val="en-GB"/>
              </w:rPr>
              <w:t>“Consultants are conservative in their choice of consultation methods, choosing approaches that minimize the risk to clients’ desired outcomes.” (Weitkamp &amp; Longhurst, 2012, p. 113)</w:t>
            </w:r>
          </w:p>
        </w:tc>
      </w:tr>
      <w:tr w:rsidR="00041F62" w:rsidRPr="0021184B" w:rsidTr="004006CB">
        <w:tc>
          <w:tcPr>
            <w:tcW w:w="3005" w:type="dxa"/>
          </w:tcPr>
          <w:p w:rsidR="00041F62" w:rsidRPr="0021184B" w:rsidRDefault="00041F62" w:rsidP="004006CB">
            <w:pPr>
              <w:rPr>
                <w:rFonts w:ascii="Times New Roman" w:hAnsi="Times New Roman" w:cs="Times New Roman"/>
                <w:sz w:val="16"/>
                <w:szCs w:val="16"/>
                <w:lang w:val="en-GB"/>
              </w:rPr>
            </w:pPr>
            <w:r w:rsidRPr="0021184B">
              <w:rPr>
                <w:rFonts w:ascii="Times New Roman" w:hAnsi="Times New Roman" w:cs="Times New Roman"/>
                <w:sz w:val="16"/>
                <w:szCs w:val="16"/>
                <w:lang w:val="en-GB"/>
              </w:rPr>
              <w:t>Dilemmas: Decontextualized global practices</w:t>
            </w:r>
          </w:p>
        </w:tc>
        <w:tc>
          <w:tcPr>
            <w:tcW w:w="3005" w:type="dxa"/>
          </w:tcPr>
          <w:p w:rsidR="00041F62" w:rsidRPr="0021184B" w:rsidRDefault="00041F62" w:rsidP="004006CB">
            <w:pPr>
              <w:rPr>
                <w:rFonts w:ascii="Times New Roman" w:hAnsi="Times New Roman" w:cs="Times New Roman"/>
                <w:sz w:val="16"/>
                <w:szCs w:val="16"/>
                <w:lang w:val="en-GB"/>
              </w:rPr>
            </w:pPr>
            <w:r w:rsidRPr="0021184B">
              <w:rPr>
                <w:rFonts w:ascii="Times New Roman" w:hAnsi="Times New Roman" w:cs="Times New Roman"/>
                <w:sz w:val="16"/>
                <w:szCs w:val="16"/>
                <w:lang w:val="en-GB"/>
              </w:rPr>
              <w:t>Paper presents evidence of consultants being sought out for their global expertise but imposing their expertise without contextualizing their advice. Paper presents evidence on the best practices consultants deliver which may tend to promote one-size-fits-all solutions which are not context specific. Paper presents evidence of consultants asserting epistemic authority where they have more legitimacy or credibility than local consultants.</w:t>
            </w:r>
          </w:p>
        </w:tc>
        <w:tc>
          <w:tcPr>
            <w:tcW w:w="3006" w:type="dxa"/>
          </w:tcPr>
          <w:p w:rsidR="00041F62" w:rsidRPr="0021184B" w:rsidRDefault="00041F62" w:rsidP="004006CB">
            <w:pPr>
              <w:rPr>
                <w:rFonts w:ascii="Times New Roman" w:hAnsi="Times New Roman" w:cs="Times New Roman"/>
                <w:sz w:val="16"/>
                <w:szCs w:val="16"/>
                <w:lang w:val="en-GB"/>
              </w:rPr>
            </w:pPr>
            <w:r w:rsidRPr="0021184B">
              <w:rPr>
                <w:rFonts w:ascii="Times New Roman" w:hAnsi="Times New Roman" w:cs="Times New Roman"/>
                <w:sz w:val="16"/>
                <w:szCs w:val="16"/>
                <w:lang w:val="en-GB"/>
              </w:rPr>
              <w:t>“This study concludes that these international consulting companies represent larger-scale driving forces that are continuously reinforcing a pattern of implementation of centralized sewerage systems as the “business as usual” technology option to manage wastewater.” (Gondhalekar &amp; Drewes, 2021, p. 15)</w:t>
            </w:r>
          </w:p>
        </w:tc>
      </w:tr>
      <w:tr w:rsidR="00041F62" w:rsidRPr="0021184B" w:rsidTr="004006CB">
        <w:tc>
          <w:tcPr>
            <w:tcW w:w="3005" w:type="dxa"/>
          </w:tcPr>
          <w:p w:rsidR="00041F62" w:rsidRPr="0021184B" w:rsidRDefault="00041F62" w:rsidP="004006CB">
            <w:pPr>
              <w:rPr>
                <w:rFonts w:ascii="Times New Roman" w:hAnsi="Times New Roman" w:cs="Times New Roman"/>
                <w:sz w:val="16"/>
                <w:szCs w:val="16"/>
                <w:lang w:val="en-GB"/>
              </w:rPr>
            </w:pPr>
            <w:r w:rsidRPr="0021184B">
              <w:rPr>
                <w:rFonts w:ascii="Times New Roman" w:hAnsi="Times New Roman" w:cs="Times New Roman"/>
                <w:sz w:val="16"/>
                <w:szCs w:val="16"/>
                <w:lang w:val="en-GB"/>
              </w:rPr>
              <w:t>Dilemmas: Market interests</w:t>
            </w:r>
          </w:p>
        </w:tc>
        <w:tc>
          <w:tcPr>
            <w:tcW w:w="3005" w:type="dxa"/>
          </w:tcPr>
          <w:p w:rsidR="00041F62" w:rsidRPr="0021184B" w:rsidRDefault="00041F62" w:rsidP="004006CB">
            <w:pPr>
              <w:rPr>
                <w:rFonts w:ascii="Times New Roman" w:hAnsi="Times New Roman" w:cs="Times New Roman"/>
                <w:sz w:val="16"/>
                <w:szCs w:val="16"/>
                <w:lang w:val="en-GB"/>
              </w:rPr>
            </w:pPr>
            <w:r w:rsidRPr="0021184B">
              <w:rPr>
                <w:rFonts w:ascii="Times New Roman" w:hAnsi="Times New Roman" w:cs="Times New Roman"/>
                <w:sz w:val="16"/>
                <w:szCs w:val="16"/>
                <w:lang w:val="en-GB"/>
              </w:rPr>
              <w:t>Paper presents evidence of consultants’ tensions between promoting beneficial socioenvironmental policies for society and catering to their own profit-driven motivations as participants in an economic global market system. Paper presents evidence of consultants engaging in different forms of lobbying or agenda-setting which may benefit their market competitiveness.</w:t>
            </w:r>
          </w:p>
        </w:tc>
        <w:tc>
          <w:tcPr>
            <w:tcW w:w="3006" w:type="dxa"/>
          </w:tcPr>
          <w:p w:rsidR="00041F62" w:rsidRPr="0021184B" w:rsidRDefault="00041F62" w:rsidP="004006CB">
            <w:pPr>
              <w:rPr>
                <w:rFonts w:ascii="Times New Roman" w:hAnsi="Times New Roman" w:cs="Times New Roman"/>
                <w:sz w:val="16"/>
                <w:szCs w:val="16"/>
                <w:lang w:val="en-GB"/>
              </w:rPr>
            </w:pPr>
            <w:r w:rsidRPr="0021184B">
              <w:rPr>
                <w:rFonts w:ascii="Times New Roman" w:hAnsi="Times New Roman" w:cs="Times New Roman"/>
                <w:sz w:val="16"/>
                <w:szCs w:val="16"/>
                <w:lang w:val="en-GB"/>
              </w:rPr>
              <w:t>“While doing so, they prescribe behavior and spread a particular discourse that benefits the creation and further growth of their own markets.”</w:t>
            </w:r>
            <w:r w:rsidRPr="0021184B">
              <w:rPr>
                <w:rFonts w:ascii="Times New Roman" w:hAnsi="Times New Roman" w:cs="Times New Roman"/>
                <w:color w:val="000000"/>
                <w:sz w:val="16"/>
                <w:szCs w:val="16"/>
                <w:lang w:val="en-GB"/>
              </w:rPr>
              <w:t xml:space="preserve"> (</w:t>
            </w:r>
            <w:r w:rsidRPr="0021184B">
              <w:rPr>
                <w:rFonts w:ascii="Times New Roman" w:hAnsi="Times New Roman" w:cs="Times New Roman"/>
                <w:sz w:val="16"/>
                <w:szCs w:val="16"/>
                <w:lang w:val="en-GB"/>
              </w:rPr>
              <w:t>Bouteligier, 2011, p. 50)</w:t>
            </w:r>
          </w:p>
        </w:tc>
      </w:tr>
      <w:tr w:rsidR="00041F62" w:rsidRPr="0021184B" w:rsidTr="004006CB">
        <w:tc>
          <w:tcPr>
            <w:tcW w:w="3005" w:type="dxa"/>
          </w:tcPr>
          <w:p w:rsidR="00041F62" w:rsidRPr="0021184B" w:rsidRDefault="00041F62" w:rsidP="004006CB">
            <w:pPr>
              <w:rPr>
                <w:rFonts w:ascii="Times New Roman" w:hAnsi="Times New Roman" w:cs="Times New Roman"/>
                <w:sz w:val="16"/>
                <w:szCs w:val="16"/>
                <w:lang w:val="en-GB"/>
              </w:rPr>
            </w:pPr>
            <w:r w:rsidRPr="0021184B">
              <w:rPr>
                <w:rFonts w:ascii="Times New Roman" w:hAnsi="Times New Roman" w:cs="Times New Roman"/>
                <w:sz w:val="16"/>
                <w:szCs w:val="16"/>
                <w:lang w:val="en-GB"/>
              </w:rPr>
              <w:t>Dilemmas: Manipulative practices</w:t>
            </w:r>
          </w:p>
        </w:tc>
        <w:tc>
          <w:tcPr>
            <w:tcW w:w="3005" w:type="dxa"/>
          </w:tcPr>
          <w:p w:rsidR="00041F62" w:rsidRPr="0021184B" w:rsidRDefault="00041F62" w:rsidP="004006CB">
            <w:pPr>
              <w:rPr>
                <w:rFonts w:ascii="Times New Roman" w:hAnsi="Times New Roman" w:cs="Times New Roman"/>
                <w:sz w:val="16"/>
                <w:szCs w:val="16"/>
                <w:lang w:val="en-GB"/>
              </w:rPr>
            </w:pPr>
            <w:r w:rsidRPr="0021184B">
              <w:rPr>
                <w:rFonts w:ascii="Times New Roman" w:hAnsi="Times New Roman" w:cs="Times New Roman"/>
                <w:sz w:val="16"/>
                <w:szCs w:val="16"/>
                <w:lang w:val="en-GB"/>
              </w:rPr>
              <w:t>Paper presents evidence of consultants having the skills in tailoring ideas, technologies, and solutions to specific contexts and needs. However, they might also manipulate project directions and stakeholders.</w:t>
            </w:r>
          </w:p>
        </w:tc>
        <w:tc>
          <w:tcPr>
            <w:tcW w:w="3006" w:type="dxa"/>
          </w:tcPr>
          <w:p w:rsidR="00041F62" w:rsidRPr="0021184B" w:rsidRDefault="00041F62" w:rsidP="004006CB">
            <w:pPr>
              <w:rPr>
                <w:rFonts w:ascii="Times New Roman" w:hAnsi="Times New Roman" w:cs="Times New Roman"/>
                <w:sz w:val="16"/>
                <w:szCs w:val="16"/>
                <w:lang w:val="en-GB"/>
              </w:rPr>
            </w:pPr>
            <w:r w:rsidRPr="0021184B">
              <w:rPr>
                <w:rFonts w:ascii="Times New Roman" w:hAnsi="Times New Roman" w:cs="Times New Roman"/>
                <w:sz w:val="16"/>
                <w:szCs w:val="16"/>
                <w:lang w:val="en-GB"/>
              </w:rPr>
              <w:t>“As a result of their position as “double agents,”</w:t>
            </w:r>
            <w:r w:rsidRPr="0021184B">
              <w:rPr>
                <w:rFonts w:ascii="Times New Roman" w:hAnsi="Times New Roman" w:cs="Times New Roman"/>
                <w:i/>
                <w:iCs/>
                <w:sz w:val="16"/>
                <w:szCs w:val="16"/>
                <w:lang w:val="en-GB"/>
              </w:rPr>
              <w:t xml:space="preserve"> consultoras</w:t>
            </w:r>
            <w:r w:rsidRPr="0021184B">
              <w:rPr>
                <w:rFonts w:ascii="Times New Roman" w:hAnsi="Times New Roman" w:cs="Times New Roman"/>
                <w:sz w:val="16"/>
                <w:szCs w:val="16"/>
                <w:lang w:val="en-GB"/>
              </w:rPr>
              <w:t xml:space="preserve"> are successful facilitators. They shepherd EIAs through the approval process.” (Dougherty, 2019, p. 4)</w:t>
            </w:r>
          </w:p>
        </w:tc>
      </w:tr>
    </w:tbl>
    <w:p w:rsidR="00041F62" w:rsidRPr="0021184B" w:rsidRDefault="00041F62" w:rsidP="00041F62">
      <w:pPr>
        <w:rPr>
          <w:lang w:val="en-GB"/>
        </w:rPr>
      </w:pPr>
    </w:p>
    <w:p w:rsidR="00041F62" w:rsidRPr="0021184B" w:rsidRDefault="00041F62" w:rsidP="00041F62">
      <w:pPr>
        <w:pStyle w:val="Heading2"/>
        <w:numPr>
          <w:ilvl w:val="0"/>
          <w:numId w:val="0"/>
        </w:numPr>
        <w:rPr>
          <w:lang w:val="en-GB"/>
        </w:rPr>
      </w:pPr>
      <w:r w:rsidRPr="0021184B">
        <w:rPr>
          <w:lang w:val="en-GB"/>
        </w:rPr>
        <w:t>A.2 Dataset</w:t>
      </w:r>
    </w:p>
    <w:p w:rsidR="00041F62" w:rsidRPr="0021184B" w:rsidRDefault="00041F62" w:rsidP="00041F62">
      <w:pPr>
        <w:spacing w:line="276" w:lineRule="auto"/>
        <w:jc w:val="both"/>
        <w:rPr>
          <w:rFonts w:ascii="Times New Roman" w:hAnsi="Times New Roman" w:cs="Times New Roman"/>
          <w:sz w:val="24"/>
          <w:szCs w:val="24"/>
          <w:lang w:val="en-GB"/>
        </w:rPr>
      </w:pPr>
      <w:r w:rsidRPr="0021184B">
        <w:rPr>
          <w:rFonts w:ascii="Times New Roman" w:hAnsi="Times New Roman" w:cs="Times New Roman"/>
          <w:sz w:val="24"/>
          <w:szCs w:val="24"/>
          <w:lang w:val="en-GB"/>
        </w:rPr>
        <w:t>Excel file with a List of (95) papers with coding and empirical results: concepts, objects, spaces, capabilities, and dilemmas.</w:t>
      </w:r>
    </w:p>
    <w:p w:rsidR="00041F62" w:rsidRPr="0021184B" w:rsidRDefault="00041F62" w:rsidP="00041F62">
      <w:pPr>
        <w:spacing w:line="360" w:lineRule="auto"/>
        <w:jc w:val="both"/>
        <w:rPr>
          <w:rFonts w:cstheme="minorHAnsi"/>
          <w:sz w:val="24"/>
          <w:szCs w:val="24"/>
          <w:lang w:val="en-GB"/>
        </w:rPr>
      </w:pPr>
    </w:p>
    <w:p w:rsidR="00C7581A" w:rsidRDefault="00C7581A">
      <w:bookmarkStart w:id="0" w:name="_GoBack"/>
      <w:bookmarkEnd w:id="0"/>
    </w:p>
    <w:sectPr w:rsidR="00C7581A" w:rsidSect="00115241">
      <w:headerReference w:type="default" r:id="rId5"/>
      <w:footerReference w:type="default" r:id="rId6"/>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556471"/>
      <w:docPartObj>
        <w:docPartGallery w:val="Page Numbers (Bottom of Page)"/>
        <w:docPartUnique/>
      </w:docPartObj>
    </w:sdtPr>
    <w:sdtEndPr>
      <w:rPr>
        <w:noProof/>
      </w:rPr>
    </w:sdtEndPr>
    <w:sdtContent>
      <w:p w:rsidR="001426E8" w:rsidRDefault="00041F62">
        <w:pPr>
          <w:pStyle w:val="Footer"/>
          <w:jc w:val="right"/>
        </w:pPr>
        <w:r>
          <w:fldChar w:fldCharType="begin"/>
        </w:r>
        <w:r>
          <w:instrText xml:space="preserve"> PAGE   \* MERGEFORMAT </w:instrText>
        </w:r>
        <w:r>
          <w:fldChar w:fldCharType="separate"/>
        </w:r>
        <w:r>
          <w:rPr>
            <w:noProof/>
          </w:rPr>
          <w:t>3</w:t>
        </w:r>
        <w:r>
          <w:rPr>
            <w:noProof/>
          </w:rPr>
          <w:fldChar w:fldCharType="end"/>
        </w:r>
      </w:p>
    </w:sdtContent>
  </w:sdt>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26E8" w:rsidRDefault="00041F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437D2"/>
    <w:multiLevelType w:val="hybridMultilevel"/>
    <w:tmpl w:val="565A0D66"/>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1" w15:restartNumberingAfterBreak="0">
    <w:nsid w:val="00B41B3C"/>
    <w:multiLevelType w:val="multilevel"/>
    <w:tmpl w:val="FE9C69F4"/>
    <w:lvl w:ilvl="0">
      <w:start w:val="1"/>
      <w:numFmt w:val="decimal"/>
      <w:pStyle w:val="Heading1"/>
      <w:lvlText w:val="%1"/>
      <w:lvlJc w:val="left"/>
      <w:pPr>
        <w:ind w:left="2984" w:hanging="432"/>
      </w:pPr>
    </w:lvl>
    <w:lvl w:ilvl="1">
      <w:start w:val="1"/>
      <w:numFmt w:val="decimal"/>
      <w:pStyle w:val="Heading2"/>
      <w:lvlText w:val="%1.%2"/>
      <w:lvlJc w:val="left"/>
      <w:pPr>
        <w:ind w:left="4261"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08BB0E3B"/>
    <w:multiLevelType w:val="hybridMultilevel"/>
    <w:tmpl w:val="32B018A6"/>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3" w15:restartNumberingAfterBreak="0">
    <w:nsid w:val="09D14689"/>
    <w:multiLevelType w:val="hybridMultilevel"/>
    <w:tmpl w:val="852C86B8"/>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4" w15:restartNumberingAfterBreak="0">
    <w:nsid w:val="123121C2"/>
    <w:multiLevelType w:val="hybridMultilevel"/>
    <w:tmpl w:val="8B2EF536"/>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5" w15:restartNumberingAfterBreak="0">
    <w:nsid w:val="25766416"/>
    <w:multiLevelType w:val="hybridMultilevel"/>
    <w:tmpl w:val="0276CF6C"/>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6" w15:restartNumberingAfterBreak="0">
    <w:nsid w:val="32AC299A"/>
    <w:multiLevelType w:val="hybridMultilevel"/>
    <w:tmpl w:val="4E22FC32"/>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7" w15:restartNumberingAfterBreak="0">
    <w:nsid w:val="3B3F1F82"/>
    <w:multiLevelType w:val="hybridMultilevel"/>
    <w:tmpl w:val="F15E469C"/>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8" w15:restartNumberingAfterBreak="0">
    <w:nsid w:val="45410D31"/>
    <w:multiLevelType w:val="hybridMultilevel"/>
    <w:tmpl w:val="A08800B4"/>
    <w:lvl w:ilvl="0" w:tplc="E02A68FA">
      <w:numFmt w:val="bullet"/>
      <w:lvlText w:val="-"/>
      <w:lvlJc w:val="left"/>
      <w:pPr>
        <w:ind w:left="720" w:hanging="360"/>
      </w:pPr>
      <w:rPr>
        <w:rFonts w:ascii="Calibri" w:eastAsia="Calibri" w:hAnsi="Calibri" w:cs="Calibri"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9" w15:restartNumberingAfterBreak="0">
    <w:nsid w:val="4CA92A61"/>
    <w:multiLevelType w:val="hybridMultilevel"/>
    <w:tmpl w:val="308CD8C0"/>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10" w15:restartNumberingAfterBreak="0">
    <w:nsid w:val="4D7F3436"/>
    <w:multiLevelType w:val="hybridMultilevel"/>
    <w:tmpl w:val="5F8289B4"/>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11" w15:restartNumberingAfterBreak="0">
    <w:nsid w:val="61960AB1"/>
    <w:multiLevelType w:val="hybridMultilevel"/>
    <w:tmpl w:val="CCA6A9D0"/>
    <w:lvl w:ilvl="0" w:tplc="1000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69483BD6"/>
    <w:multiLevelType w:val="hybridMultilevel"/>
    <w:tmpl w:val="68C01910"/>
    <w:lvl w:ilvl="0" w:tplc="5BB2408A">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3" w15:restartNumberingAfterBreak="0">
    <w:nsid w:val="6B3E09B2"/>
    <w:multiLevelType w:val="hybridMultilevel"/>
    <w:tmpl w:val="103632C6"/>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14" w15:restartNumberingAfterBreak="0">
    <w:nsid w:val="6EA328A7"/>
    <w:multiLevelType w:val="hybridMultilevel"/>
    <w:tmpl w:val="74FC83EE"/>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15" w15:restartNumberingAfterBreak="0">
    <w:nsid w:val="7AAD0992"/>
    <w:multiLevelType w:val="hybridMultilevel"/>
    <w:tmpl w:val="C950A8A2"/>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num w:numId="1">
    <w:abstractNumId w:val="1"/>
  </w:num>
  <w:num w:numId="2">
    <w:abstractNumId w:val="11"/>
  </w:num>
  <w:num w:numId="3">
    <w:abstractNumId w:val="7"/>
  </w:num>
  <w:num w:numId="4">
    <w:abstractNumId w:val="2"/>
  </w:num>
  <w:num w:numId="5">
    <w:abstractNumId w:val="3"/>
  </w:num>
  <w:num w:numId="6">
    <w:abstractNumId w:val="6"/>
  </w:num>
  <w:num w:numId="7">
    <w:abstractNumId w:val="4"/>
  </w:num>
  <w:num w:numId="8">
    <w:abstractNumId w:val="13"/>
  </w:num>
  <w:num w:numId="9">
    <w:abstractNumId w:val="0"/>
  </w:num>
  <w:num w:numId="10">
    <w:abstractNumId w:val="14"/>
  </w:num>
  <w:num w:numId="11">
    <w:abstractNumId w:val="5"/>
  </w:num>
  <w:num w:numId="12">
    <w:abstractNumId w:val="10"/>
  </w:num>
  <w:num w:numId="13">
    <w:abstractNumId w:val="15"/>
  </w:num>
  <w:num w:numId="14">
    <w:abstractNumId w:val="9"/>
  </w:num>
  <w:num w:numId="15">
    <w:abstractNumId w:val="12"/>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F62"/>
    <w:rsid w:val="00041F62"/>
    <w:rsid w:val="000B1310"/>
    <w:rsid w:val="0028296A"/>
    <w:rsid w:val="002F7D1E"/>
    <w:rsid w:val="00450BC8"/>
    <w:rsid w:val="006B77C3"/>
    <w:rsid w:val="00702EF9"/>
    <w:rsid w:val="00890E83"/>
    <w:rsid w:val="009857CD"/>
    <w:rsid w:val="009C3FCA"/>
    <w:rsid w:val="00A114C8"/>
    <w:rsid w:val="00A76726"/>
    <w:rsid w:val="00A90E9B"/>
    <w:rsid w:val="00B466AA"/>
    <w:rsid w:val="00C679CD"/>
    <w:rsid w:val="00C7581A"/>
    <w:rsid w:val="00E618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567742-7D4F-4344-BCD6-15F861F6E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41F62"/>
    <w:pPr>
      <w:keepNext/>
      <w:keepLines/>
      <w:numPr>
        <w:numId w:val="1"/>
      </w:numPr>
      <w:spacing w:before="240" w:after="0"/>
      <w:ind w:left="432"/>
      <w:outlineLvl w:val="0"/>
    </w:pPr>
    <w:rPr>
      <w:rFonts w:ascii="Times New Roman" w:eastAsiaTheme="majorEastAsia" w:hAnsi="Times New Roman" w:cstheme="majorBidi"/>
      <w:b/>
      <w:color w:val="000000" w:themeColor="text1"/>
      <w:sz w:val="24"/>
      <w:szCs w:val="32"/>
    </w:rPr>
  </w:style>
  <w:style w:type="paragraph" w:styleId="Heading2">
    <w:name w:val="heading 2"/>
    <w:basedOn w:val="Normal"/>
    <w:next w:val="Normal"/>
    <w:link w:val="Heading2Char"/>
    <w:uiPriority w:val="9"/>
    <w:unhideWhenUsed/>
    <w:qFormat/>
    <w:rsid w:val="00041F62"/>
    <w:pPr>
      <w:keepNext/>
      <w:keepLines/>
      <w:numPr>
        <w:ilvl w:val="1"/>
        <w:numId w:val="1"/>
      </w:numPr>
      <w:spacing w:before="80" w:after="0" w:line="240" w:lineRule="auto"/>
      <w:ind w:left="576"/>
      <w:outlineLvl w:val="1"/>
    </w:pPr>
    <w:rPr>
      <w:rFonts w:ascii="Times New Roman" w:eastAsiaTheme="majorEastAsia" w:hAnsi="Times New Roman" w:cstheme="majorBidi"/>
      <w:b/>
      <w:color w:val="000000" w:themeColor="text1"/>
      <w:sz w:val="24"/>
      <w:szCs w:val="28"/>
      <w:lang w:val="nl-NL"/>
    </w:rPr>
  </w:style>
  <w:style w:type="paragraph" w:styleId="Heading3">
    <w:name w:val="heading 3"/>
    <w:basedOn w:val="Normal"/>
    <w:next w:val="Normal"/>
    <w:link w:val="Heading3Char"/>
    <w:uiPriority w:val="9"/>
    <w:unhideWhenUsed/>
    <w:qFormat/>
    <w:rsid w:val="00041F62"/>
    <w:pPr>
      <w:keepNext/>
      <w:keepLines/>
      <w:numPr>
        <w:ilvl w:val="2"/>
        <w:numId w:val="1"/>
      </w:numPr>
      <w:spacing w:before="40" w:after="0" w:line="240" w:lineRule="auto"/>
      <w:outlineLvl w:val="2"/>
    </w:pPr>
    <w:rPr>
      <w:rFonts w:asciiTheme="majorHAnsi" w:eastAsiaTheme="majorEastAsia" w:hAnsiTheme="majorHAnsi" w:cstheme="majorBidi"/>
      <w:sz w:val="24"/>
      <w:szCs w:val="24"/>
      <w:lang w:val="nl-NL"/>
    </w:rPr>
  </w:style>
  <w:style w:type="paragraph" w:styleId="Heading4">
    <w:name w:val="heading 4"/>
    <w:basedOn w:val="Normal"/>
    <w:next w:val="Normal"/>
    <w:link w:val="Heading4Char"/>
    <w:uiPriority w:val="9"/>
    <w:semiHidden/>
    <w:unhideWhenUsed/>
    <w:qFormat/>
    <w:rsid w:val="00041F62"/>
    <w:pPr>
      <w:keepNext/>
      <w:keepLines/>
      <w:numPr>
        <w:ilvl w:val="3"/>
        <w:numId w:val="1"/>
      </w:numPr>
      <w:spacing w:before="40" w:after="0" w:line="264" w:lineRule="auto"/>
      <w:outlineLvl w:val="3"/>
    </w:pPr>
    <w:rPr>
      <w:rFonts w:asciiTheme="majorHAnsi" w:eastAsiaTheme="majorEastAsia" w:hAnsiTheme="majorHAnsi" w:cstheme="majorBidi"/>
      <w:lang w:val="nl-NL"/>
    </w:rPr>
  </w:style>
  <w:style w:type="paragraph" w:styleId="Heading5">
    <w:name w:val="heading 5"/>
    <w:basedOn w:val="Normal"/>
    <w:next w:val="Normal"/>
    <w:link w:val="Heading5Char"/>
    <w:uiPriority w:val="9"/>
    <w:semiHidden/>
    <w:unhideWhenUsed/>
    <w:qFormat/>
    <w:rsid w:val="00041F62"/>
    <w:pPr>
      <w:keepNext/>
      <w:keepLines/>
      <w:numPr>
        <w:ilvl w:val="4"/>
        <w:numId w:val="1"/>
      </w:numPr>
      <w:spacing w:before="40" w:after="0" w:line="264" w:lineRule="auto"/>
      <w:outlineLvl w:val="4"/>
    </w:pPr>
    <w:rPr>
      <w:rFonts w:asciiTheme="majorHAnsi" w:eastAsiaTheme="majorEastAsia" w:hAnsiTheme="majorHAnsi" w:cstheme="majorBidi"/>
      <w:color w:val="44546A" w:themeColor="text2"/>
      <w:lang w:val="nl-NL"/>
    </w:rPr>
  </w:style>
  <w:style w:type="paragraph" w:styleId="Heading6">
    <w:name w:val="heading 6"/>
    <w:basedOn w:val="Normal"/>
    <w:next w:val="Normal"/>
    <w:link w:val="Heading6Char"/>
    <w:uiPriority w:val="9"/>
    <w:semiHidden/>
    <w:unhideWhenUsed/>
    <w:qFormat/>
    <w:rsid w:val="00041F62"/>
    <w:pPr>
      <w:keepNext/>
      <w:keepLines/>
      <w:numPr>
        <w:ilvl w:val="5"/>
        <w:numId w:val="1"/>
      </w:numPr>
      <w:spacing w:before="40" w:after="0" w:line="264" w:lineRule="auto"/>
      <w:outlineLvl w:val="5"/>
    </w:pPr>
    <w:rPr>
      <w:rFonts w:asciiTheme="majorHAnsi" w:eastAsiaTheme="majorEastAsia" w:hAnsiTheme="majorHAnsi" w:cstheme="majorBidi"/>
      <w:i/>
      <w:iCs/>
      <w:color w:val="44546A" w:themeColor="text2"/>
      <w:sz w:val="21"/>
      <w:szCs w:val="21"/>
      <w:lang w:val="nl-NL"/>
    </w:rPr>
  </w:style>
  <w:style w:type="paragraph" w:styleId="Heading7">
    <w:name w:val="heading 7"/>
    <w:basedOn w:val="Normal"/>
    <w:next w:val="Normal"/>
    <w:link w:val="Heading7Char"/>
    <w:uiPriority w:val="9"/>
    <w:semiHidden/>
    <w:unhideWhenUsed/>
    <w:qFormat/>
    <w:rsid w:val="00041F62"/>
    <w:pPr>
      <w:keepNext/>
      <w:keepLines/>
      <w:numPr>
        <w:ilvl w:val="6"/>
        <w:numId w:val="1"/>
      </w:numPr>
      <w:spacing w:before="40" w:after="0" w:line="264" w:lineRule="auto"/>
      <w:outlineLvl w:val="6"/>
    </w:pPr>
    <w:rPr>
      <w:rFonts w:asciiTheme="majorHAnsi" w:eastAsiaTheme="majorEastAsia" w:hAnsiTheme="majorHAnsi" w:cstheme="majorBidi"/>
      <w:i/>
      <w:iCs/>
      <w:color w:val="1F4E79" w:themeColor="accent1" w:themeShade="80"/>
      <w:sz w:val="21"/>
      <w:szCs w:val="21"/>
      <w:lang w:val="nl-NL"/>
    </w:rPr>
  </w:style>
  <w:style w:type="paragraph" w:styleId="Heading8">
    <w:name w:val="heading 8"/>
    <w:basedOn w:val="Normal"/>
    <w:next w:val="Normal"/>
    <w:link w:val="Heading8Char"/>
    <w:uiPriority w:val="9"/>
    <w:semiHidden/>
    <w:unhideWhenUsed/>
    <w:qFormat/>
    <w:rsid w:val="00041F62"/>
    <w:pPr>
      <w:keepNext/>
      <w:keepLines/>
      <w:numPr>
        <w:ilvl w:val="7"/>
        <w:numId w:val="1"/>
      </w:numPr>
      <w:spacing w:before="40" w:after="0" w:line="264" w:lineRule="auto"/>
      <w:outlineLvl w:val="7"/>
    </w:pPr>
    <w:rPr>
      <w:rFonts w:asciiTheme="majorHAnsi" w:eastAsiaTheme="majorEastAsia" w:hAnsiTheme="majorHAnsi" w:cstheme="majorBidi"/>
      <w:b/>
      <w:bCs/>
      <w:color w:val="44546A" w:themeColor="text2"/>
      <w:sz w:val="20"/>
      <w:szCs w:val="20"/>
      <w:lang w:val="nl-NL"/>
    </w:rPr>
  </w:style>
  <w:style w:type="paragraph" w:styleId="Heading9">
    <w:name w:val="heading 9"/>
    <w:basedOn w:val="Normal"/>
    <w:next w:val="Normal"/>
    <w:link w:val="Heading9Char"/>
    <w:uiPriority w:val="9"/>
    <w:semiHidden/>
    <w:unhideWhenUsed/>
    <w:qFormat/>
    <w:rsid w:val="00041F62"/>
    <w:pPr>
      <w:keepNext/>
      <w:keepLines/>
      <w:numPr>
        <w:ilvl w:val="8"/>
        <w:numId w:val="1"/>
      </w:numPr>
      <w:spacing w:before="40" w:after="0" w:line="264" w:lineRule="auto"/>
      <w:outlineLvl w:val="8"/>
    </w:pPr>
    <w:rPr>
      <w:rFonts w:asciiTheme="majorHAnsi" w:eastAsiaTheme="majorEastAsia" w:hAnsiTheme="majorHAnsi" w:cstheme="majorBidi"/>
      <w:b/>
      <w:bCs/>
      <w:i/>
      <w:iCs/>
      <w:color w:val="44546A" w:themeColor="text2"/>
      <w:sz w:val="20"/>
      <w:szCs w:val="20"/>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1F62"/>
    <w:rPr>
      <w:rFonts w:ascii="Times New Roman" w:eastAsiaTheme="majorEastAsia" w:hAnsi="Times New Roman" w:cstheme="majorBidi"/>
      <w:b/>
      <w:color w:val="000000" w:themeColor="text1"/>
      <w:sz w:val="24"/>
      <w:szCs w:val="32"/>
    </w:rPr>
  </w:style>
  <w:style w:type="character" w:customStyle="1" w:styleId="Heading2Char">
    <w:name w:val="Heading 2 Char"/>
    <w:basedOn w:val="DefaultParagraphFont"/>
    <w:link w:val="Heading2"/>
    <w:uiPriority w:val="9"/>
    <w:rsid w:val="00041F62"/>
    <w:rPr>
      <w:rFonts w:ascii="Times New Roman" w:eastAsiaTheme="majorEastAsia" w:hAnsi="Times New Roman" w:cstheme="majorBidi"/>
      <w:b/>
      <w:color w:val="000000" w:themeColor="text1"/>
      <w:sz w:val="24"/>
      <w:szCs w:val="28"/>
      <w:lang w:val="nl-NL"/>
    </w:rPr>
  </w:style>
  <w:style w:type="character" w:customStyle="1" w:styleId="Heading3Char">
    <w:name w:val="Heading 3 Char"/>
    <w:basedOn w:val="DefaultParagraphFont"/>
    <w:link w:val="Heading3"/>
    <w:uiPriority w:val="9"/>
    <w:rsid w:val="00041F62"/>
    <w:rPr>
      <w:rFonts w:asciiTheme="majorHAnsi" w:eastAsiaTheme="majorEastAsia" w:hAnsiTheme="majorHAnsi" w:cstheme="majorBidi"/>
      <w:sz w:val="24"/>
      <w:szCs w:val="24"/>
      <w:lang w:val="nl-NL"/>
    </w:rPr>
  </w:style>
  <w:style w:type="character" w:customStyle="1" w:styleId="Heading4Char">
    <w:name w:val="Heading 4 Char"/>
    <w:basedOn w:val="DefaultParagraphFont"/>
    <w:link w:val="Heading4"/>
    <w:uiPriority w:val="9"/>
    <w:semiHidden/>
    <w:rsid w:val="00041F62"/>
    <w:rPr>
      <w:rFonts w:asciiTheme="majorHAnsi" w:eastAsiaTheme="majorEastAsia" w:hAnsiTheme="majorHAnsi" w:cstheme="majorBidi"/>
      <w:lang w:val="nl-NL"/>
    </w:rPr>
  </w:style>
  <w:style w:type="character" w:customStyle="1" w:styleId="Heading5Char">
    <w:name w:val="Heading 5 Char"/>
    <w:basedOn w:val="DefaultParagraphFont"/>
    <w:link w:val="Heading5"/>
    <w:uiPriority w:val="9"/>
    <w:semiHidden/>
    <w:rsid w:val="00041F62"/>
    <w:rPr>
      <w:rFonts w:asciiTheme="majorHAnsi" w:eastAsiaTheme="majorEastAsia" w:hAnsiTheme="majorHAnsi" w:cstheme="majorBidi"/>
      <w:color w:val="44546A" w:themeColor="text2"/>
      <w:lang w:val="nl-NL"/>
    </w:rPr>
  </w:style>
  <w:style w:type="character" w:customStyle="1" w:styleId="Heading6Char">
    <w:name w:val="Heading 6 Char"/>
    <w:basedOn w:val="DefaultParagraphFont"/>
    <w:link w:val="Heading6"/>
    <w:uiPriority w:val="9"/>
    <w:semiHidden/>
    <w:rsid w:val="00041F62"/>
    <w:rPr>
      <w:rFonts w:asciiTheme="majorHAnsi" w:eastAsiaTheme="majorEastAsia" w:hAnsiTheme="majorHAnsi" w:cstheme="majorBidi"/>
      <w:i/>
      <w:iCs/>
      <w:color w:val="44546A" w:themeColor="text2"/>
      <w:sz w:val="21"/>
      <w:szCs w:val="21"/>
      <w:lang w:val="nl-NL"/>
    </w:rPr>
  </w:style>
  <w:style w:type="character" w:customStyle="1" w:styleId="Heading7Char">
    <w:name w:val="Heading 7 Char"/>
    <w:basedOn w:val="DefaultParagraphFont"/>
    <w:link w:val="Heading7"/>
    <w:uiPriority w:val="9"/>
    <w:semiHidden/>
    <w:rsid w:val="00041F62"/>
    <w:rPr>
      <w:rFonts w:asciiTheme="majorHAnsi" w:eastAsiaTheme="majorEastAsia" w:hAnsiTheme="majorHAnsi" w:cstheme="majorBidi"/>
      <w:i/>
      <w:iCs/>
      <w:color w:val="1F4E79" w:themeColor="accent1" w:themeShade="80"/>
      <w:sz w:val="21"/>
      <w:szCs w:val="21"/>
      <w:lang w:val="nl-NL"/>
    </w:rPr>
  </w:style>
  <w:style w:type="character" w:customStyle="1" w:styleId="Heading8Char">
    <w:name w:val="Heading 8 Char"/>
    <w:basedOn w:val="DefaultParagraphFont"/>
    <w:link w:val="Heading8"/>
    <w:uiPriority w:val="9"/>
    <w:semiHidden/>
    <w:rsid w:val="00041F62"/>
    <w:rPr>
      <w:rFonts w:asciiTheme="majorHAnsi" w:eastAsiaTheme="majorEastAsia" w:hAnsiTheme="majorHAnsi" w:cstheme="majorBidi"/>
      <w:b/>
      <w:bCs/>
      <w:color w:val="44546A" w:themeColor="text2"/>
      <w:sz w:val="20"/>
      <w:szCs w:val="20"/>
      <w:lang w:val="nl-NL"/>
    </w:rPr>
  </w:style>
  <w:style w:type="character" w:customStyle="1" w:styleId="Heading9Char">
    <w:name w:val="Heading 9 Char"/>
    <w:basedOn w:val="DefaultParagraphFont"/>
    <w:link w:val="Heading9"/>
    <w:uiPriority w:val="9"/>
    <w:semiHidden/>
    <w:rsid w:val="00041F62"/>
    <w:rPr>
      <w:rFonts w:asciiTheme="majorHAnsi" w:eastAsiaTheme="majorEastAsia" w:hAnsiTheme="majorHAnsi" w:cstheme="majorBidi"/>
      <w:b/>
      <w:bCs/>
      <w:i/>
      <w:iCs/>
      <w:color w:val="44546A" w:themeColor="text2"/>
      <w:sz w:val="20"/>
      <w:szCs w:val="20"/>
      <w:lang w:val="nl-NL"/>
    </w:rPr>
  </w:style>
  <w:style w:type="character" w:styleId="CommentReference">
    <w:name w:val="annotation reference"/>
    <w:basedOn w:val="DefaultParagraphFont"/>
    <w:uiPriority w:val="99"/>
    <w:semiHidden/>
    <w:unhideWhenUsed/>
    <w:rsid w:val="00041F62"/>
    <w:rPr>
      <w:sz w:val="16"/>
      <w:szCs w:val="16"/>
    </w:rPr>
  </w:style>
  <w:style w:type="paragraph" w:styleId="CommentText">
    <w:name w:val="annotation text"/>
    <w:basedOn w:val="Normal"/>
    <w:link w:val="CommentTextChar"/>
    <w:uiPriority w:val="99"/>
    <w:unhideWhenUsed/>
    <w:rsid w:val="00041F62"/>
    <w:pPr>
      <w:spacing w:line="240" w:lineRule="auto"/>
    </w:pPr>
    <w:rPr>
      <w:sz w:val="20"/>
      <w:szCs w:val="20"/>
      <w:lang w:val="nl-NL"/>
    </w:rPr>
  </w:style>
  <w:style w:type="character" w:customStyle="1" w:styleId="CommentTextChar">
    <w:name w:val="Comment Text Char"/>
    <w:basedOn w:val="DefaultParagraphFont"/>
    <w:link w:val="CommentText"/>
    <w:uiPriority w:val="99"/>
    <w:rsid w:val="00041F62"/>
    <w:rPr>
      <w:sz w:val="20"/>
      <w:szCs w:val="20"/>
      <w:lang w:val="nl-NL"/>
    </w:rPr>
  </w:style>
  <w:style w:type="paragraph" w:styleId="CommentSubject">
    <w:name w:val="annotation subject"/>
    <w:basedOn w:val="CommentText"/>
    <w:next w:val="CommentText"/>
    <w:link w:val="CommentSubjectChar"/>
    <w:uiPriority w:val="99"/>
    <w:semiHidden/>
    <w:unhideWhenUsed/>
    <w:rsid w:val="00041F62"/>
    <w:rPr>
      <w:b/>
      <w:bCs/>
    </w:rPr>
  </w:style>
  <w:style w:type="character" w:customStyle="1" w:styleId="CommentSubjectChar">
    <w:name w:val="Comment Subject Char"/>
    <w:basedOn w:val="CommentTextChar"/>
    <w:link w:val="CommentSubject"/>
    <w:uiPriority w:val="99"/>
    <w:semiHidden/>
    <w:rsid w:val="00041F62"/>
    <w:rPr>
      <w:b/>
      <w:bCs/>
      <w:sz w:val="20"/>
      <w:szCs w:val="20"/>
      <w:lang w:val="nl-NL"/>
    </w:rPr>
  </w:style>
  <w:style w:type="paragraph" w:styleId="NormalWeb">
    <w:name w:val="Normal (Web)"/>
    <w:basedOn w:val="Normal"/>
    <w:uiPriority w:val="99"/>
    <w:semiHidden/>
    <w:unhideWhenUsed/>
    <w:rsid w:val="00041F62"/>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styleId="Strong">
    <w:name w:val="Strong"/>
    <w:basedOn w:val="DefaultParagraphFont"/>
    <w:uiPriority w:val="22"/>
    <w:qFormat/>
    <w:rsid w:val="00041F62"/>
    <w:rPr>
      <w:b/>
      <w:bCs/>
    </w:rPr>
  </w:style>
  <w:style w:type="paragraph" w:styleId="Caption">
    <w:name w:val="caption"/>
    <w:basedOn w:val="Normal"/>
    <w:next w:val="Normal"/>
    <w:uiPriority w:val="35"/>
    <w:unhideWhenUsed/>
    <w:qFormat/>
    <w:rsid w:val="00041F62"/>
    <w:pPr>
      <w:spacing w:after="200" w:line="240" w:lineRule="auto"/>
      <w:jc w:val="center"/>
    </w:pPr>
    <w:rPr>
      <w:rFonts w:ascii="Times New Roman" w:hAnsi="Times New Roman"/>
      <w:i/>
      <w:iCs/>
      <w:sz w:val="24"/>
      <w:szCs w:val="18"/>
      <w:lang w:val="nl-NL"/>
    </w:rPr>
  </w:style>
  <w:style w:type="paragraph" w:styleId="Header">
    <w:name w:val="header"/>
    <w:basedOn w:val="Normal"/>
    <w:link w:val="HeaderChar"/>
    <w:uiPriority w:val="99"/>
    <w:unhideWhenUsed/>
    <w:rsid w:val="00041F62"/>
    <w:pPr>
      <w:tabs>
        <w:tab w:val="center" w:pos="4513"/>
        <w:tab w:val="right" w:pos="9026"/>
      </w:tabs>
      <w:spacing w:after="0" w:line="240" w:lineRule="auto"/>
    </w:pPr>
    <w:rPr>
      <w:lang w:val="nl-NL"/>
    </w:rPr>
  </w:style>
  <w:style w:type="character" w:customStyle="1" w:styleId="HeaderChar">
    <w:name w:val="Header Char"/>
    <w:basedOn w:val="DefaultParagraphFont"/>
    <w:link w:val="Header"/>
    <w:uiPriority w:val="99"/>
    <w:rsid w:val="00041F62"/>
    <w:rPr>
      <w:lang w:val="nl-NL"/>
    </w:rPr>
  </w:style>
  <w:style w:type="paragraph" w:styleId="Footer">
    <w:name w:val="footer"/>
    <w:basedOn w:val="Normal"/>
    <w:link w:val="FooterChar"/>
    <w:uiPriority w:val="99"/>
    <w:unhideWhenUsed/>
    <w:rsid w:val="00041F62"/>
    <w:pPr>
      <w:tabs>
        <w:tab w:val="center" w:pos="4513"/>
        <w:tab w:val="right" w:pos="9026"/>
      </w:tabs>
      <w:spacing w:after="0" w:line="240" w:lineRule="auto"/>
    </w:pPr>
    <w:rPr>
      <w:lang w:val="nl-NL"/>
    </w:rPr>
  </w:style>
  <w:style w:type="character" w:customStyle="1" w:styleId="FooterChar">
    <w:name w:val="Footer Char"/>
    <w:basedOn w:val="DefaultParagraphFont"/>
    <w:link w:val="Footer"/>
    <w:uiPriority w:val="99"/>
    <w:rsid w:val="00041F62"/>
    <w:rPr>
      <w:lang w:val="nl-NL"/>
    </w:rPr>
  </w:style>
  <w:style w:type="table" w:styleId="TableGrid">
    <w:name w:val="Table Grid"/>
    <w:basedOn w:val="TableNormal"/>
    <w:uiPriority w:val="39"/>
    <w:rsid w:val="00041F62"/>
    <w:pPr>
      <w:spacing w:after="0" w:line="240" w:lineRule="auto"/>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41F62"/>
    <w:pPr>
      <w:spacing w:after="0" w:line="240" w:lineRule="auto"/>
    </w:pPr>
    <w:rPr>
      <w:sz w:val="20"/>
      <w:szCs w:val="20"/>
      <w:lang w:val="nl-NL"/>
    </w:rPr>
  </w:style>
  <w:style w:type="character" w:customStyle="1" w:styleId="FootnoteTextChar">
    <w:name w:val="Footnote Text Char"/>
    <w:basedOn w:val="DefaultParagraphFont"/>
    <w:link w:val="FootnoteText"/>
    <w:uiPriority w:val="99"/>
    <w:semiHidden/>
    <w:rsid w:val="00041F62"/>
    <w:rPr>
      <w:sz w:val="20"/>
      <w:szCs w:val="20"/>
      <w:lang w:val="nl-NL"/>
    </w:rPr>
  </w:style>
  <w:style w:type="character" w:styleId="FootnoteReference">
    <w:name w:val="footnote reference"/>
    <w:basedOn w:val="DefaultParagraphFont"/>
    <w:semiHidden/>
    <w:unhideWhenUsed/>
    <w:rsid w:val="00041F62"/>
    <w:rPr>
      <w:vertAlign w:val="superscript"/>
    </w:rPr>
  </w:style>
  <w:style w:type="paragraph" w:styleId="ListParagraph">
    <w:name w:val="List Paragraph"/>
    <w:basedOn w:val="Normal"/>
    <w:uiPriority w:val="34"/>
    <w:qFormat/>
    <w:rsid w:val="00041F62"/>
    <w:pPr>
      <w:ind w:left="720"/>
      <w:contextualSpacing/>
    </w:pPr>
    <w:rPr>
      <w:lang w:val="nl-NL"/>
    </w:rPr>
  </w:style>
  <w:style w:type="character" w:styleId="Hyperlink">
    <w:name w:val="Hyperlink"/>
    <w:basedOn w:val="DefaultParagraphFont"/>
    <w:uiPriority w:val="99"/>
    <w:unhideWhenUsed/>
    <w:rsid w:val="00041F62"/>
    <w:rPr>
      <w:color w:val="0563C1" w:themeColor="hyperlink"/>
      <w:u w:val="single"/>
    </w:rPr>
  </w:style>
  <w:style w:type="character" w:customStyle="1" w:styleId="UnresolvedMention1">
    <w:name w:val="Unresolved Mention1"/>
    <w:basedOn w:val="DefaultParagraphFont"/>
    <w:uiPriority w:val="99"/>
    <w:semiHidden/>
    <w:unhideWhenUsed/>
    <w:rsid w:val="00041F62"/>
    <w:rPr>
      <w:color w:val="605E5C"/>
      <w:shd w:val="clear" w:color="auto" w:fill="E1DFDD"/>
    </w:rPr>
  </w:style>
  <w:style w:type="paragraph" w:styleId="BalloonText">
    <w:name w:val="Balloon Text"/>
    <w:basedOn w:val="Normal"/>
    <w:link w:val="BalloonTextChar"/>
    <w:uiPriority w:val="99"/>
    <w:semiHidden/>
    <w:unhideWhenUsed/>
    <w:rsid w:val="00041F62"/>
    <w:pPr>
      <w:spacing w:after="0" w:line="240" w:lineRule="auto"/>
    </w:pPr>
    <w:rPr>
      <w:rFonts w:ascii="Times New Roman" w:hAnsi="Times New Roman" w:cs="Times New Roman"/>
      <w:sz w:val="18"/>
      <w:szCs w:val="18"/>
      <w:lang w:val="nl-NL"/>
    </w:rPr>
  </w:style>
  <w:style w:type="character" w:customStyle="1" w:styleId="BalloonTextChar">
    <w:name w:val="Balloon Text Char"/>
    <w:basedOn w:val="DefaultParagraphFont"/>
    <w:link w:val="BalloonText"/>
    <w:uiPriority w:val="99"/>
    <w:semiHidden/>
    <w:rsid w:val="00041F62"/>
    <w:rPr>
      <w:rFonts w:ascii="Times New Roman" w:hAnsi="Times New Roman" w:cs="Times New Roman"/>
      <w:sz w:val="18"/>
      <w:szCs w:val="18"/>
      <w:lang w:val="nl-NL"/>
    </w:rPr>
  </w:style>
  <w:style w:type="character" w:styleId="Emphasis">
    <w:name w:val="Emphasis"/>
    <w:basedOn w:val="DefaultParagraphFont"/>
    <w:uiPriority w:val="20"/>
    <w:qFormat/>
    <w:rsid w:val="00041F62"/>
    <w:rPr>
      <w:i/>
      <w:iCs/>
    </w:rPr>
  </w:style>
  <w:style w:type="paragraph" w:styleId="NoSpacing">
    <w:name w:val="No Spacing"/>
    <w:uiPriority w:val="1"/>
    <w:qFormat/>
    <w:rsid w:val="00041F62"/>
    <w:pPr>
      <w:spacing w:after="0" w:line="240" w:lineRule="auto"/>
    </w:pPr>
    <w:rPr>
      <w:lang w:val="nl-NL"/>
    </w:rPr>
  </w:style>
  <w:style w:type="paragraph" w:styleId="Revision">
    <w:name w:val="Revision"/>
    <w:hidden/>
    <w:uiPriority w:val="99"/>
    <w:semiHidden/>
    <w:rsid w:val="00041F62"/>
    <w:pPr>
      <w:spacing w:after="0" w:line="240" w:lineRule="auto"/>
    </w:pPr>
    <w:rPr>
      <w:lang w:val="nl-NL"/>
    </w:rPr>
  </w:style>
  <w:style w:type="character" w:styleId="PlaceholderText">
    <w:name w:val="Placeholder Text"/>
    <w:basedOn w:val="DefaultParagraphFont"/>
    <w:uiPriority w:val="99"/>
    <w:semiHidden/>
    <w:rsid w:val="00041F62"/>
    <w:rPr>
      <w:color w:val="808080"/>
    </w:rPr>
  </w:style>
  <w:style w:type="character" w:customStyle="1" w:styleId="UnresolvedMention">
    <w:name w:val="Unresolved Mention"/>
    <w:basedOn w:val="DefaultParagraphFont"/>
    <w:uiPriority w:val="99"/>
    <w:semiHidden/>
    <w:unhideWhenUsed/>
    <w:rsid w:val="00041F62"/>
    <w:rPr>
      <w:color w:val="605E5C"/>
      <w:shd w:val="clear" w:color="auto" w:fill="E1DFDD"/>
    </w:rPr>
  </w:style>
  <w:style w:type="paragraph" w:customStyle="1" w:styleId="pf0">
    <w:name w:val="pf0"/>
    <w:basedOn w:val="Normal"/>
    <w:rsid w:val="00041F62"/>
    <w:pPr>
      <w:spacing w:before="100" w:beforeAutospacing="1" w:after="100" w:afterAutospacing="1" w:line="240" w:lineRule="auto"/>
    </w:pPr>
    <w:rPr>
      <w:rFonts w:ascii="Times New Roman" w:eastAsia="Times New Roman" w:hAnsi="Times New Roman" w:cs="Times New Roman"/>
      <w:sz w:val="24"/>
      <w:szCs w:val="24"/>
      <w:lang w:val="nl-NL"/>
    </w:rPr>
  </w:style>
  <w:style w:type="character" w:customStyle="1" w:styleId="cf01">
    <w:name w:val="cf01"/>
    <w:basedOn w:val="DefaultParagraphFont"/>
    <w:rsid w:val="00041F6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20F"/>
    <w:rsid w:val="002662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6620F"/>
    <w:rPr>
      <w:color w:val="808080"/>
    </w:rPr>
  </w:style>
  <w:style w:type="paragraph" w:customStyle="1" w:styleId="FC9EC5E0A74F4D6BB20A588F4084A9F6">
    <w:name w:val="FC9EC5E0A74F4D6BB20A588F4084A9F6"/>
    <w:rsid w:val="0026620F"/>
  </w:style>
  <w:style w:type="paragraph" w:customStyle="1" w:styleId="1F6F9A578E384F61A0E12B40995B634E">
    <w:name w:val="1F6F9A578E384F61A0E12B40995B634E"/>
    <w:rsid w:val="0026620F"/>
  </w:style>
  <w:style w:type="paragraph" w:customStyle="1" w:styleId="8DB8DEDE6489427FB1F0041CA8884DB4">
    <w:name w:val="8DB8DEDE6489427FB1F0041CA8884DB4"/>
    <w:rsid w:val="0026620F"/>
  </w:style>
  <w:style w:type="paragraph" w:customStyle="1" w:styleId="B0CA4B25E1C441BF9BAEBB55D56FC95A">
    <w:name w:val="B0CA4B25E1C441BF9BAEBB55D56FC95A"/>
    <w:rsid w:val="002662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1752</Words>
  <Characters>9991</Characters>
  <Application>Microsoft Office Word</Application>
  <DocSecurity>0</DocSecurity>
  <Lines>83</Lines>
  <Paragraphs>23</Paragraphs>
  <ScaleCrop>false</ScaleCrop>
  <Company/>
  <LinksUpToDate>false</LinksUpToDate>
  <CharactersWithSpaces>11720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Manimegalai M</dc:creator>
  <cp:keywords/>
  <dc:description/>
  <cp:lastModifiedBy>Manimegalai M</cp:lastModifiedBy>
  <cp:revision>1</cp:revision>
  <dcterms:created xsi:type="dcterms:W3CDTF">2024-06-27T11:05:00Z</dcterms:created>
  <dcterms:modified xsi:type="dcterms:W3CDTF">2024-06-27T11:06:00Z</dcterms:modified>
</cp:coreProperties>
</file>