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392C4" w14:textId="5F62ED4F" w:rsidR="00FD0D01" w:rsidRDefault="00FD0D01" w:rsidP="00FD0D01">
      <w:pPr>
        <w:rPr>
          <w:rFonts w:eastAsiaTheme="majorEastAsia" w:cs="Times New Roman"/>
          <w:b/>
          <w:bCs/>
          <w:spacing w:val="-10"/>
          <w:kern w:val="28"/>
          <w:sz w:val="48"/>
          <w:szCs w:val="48"/>
        </w:rPr>
      </w:pPr>
      <w:r w:rsidRPr="002A1B15">
        <w:rPr>
          <w:rFonts w:eastAsiaTheme="majorEastAsia" w:cs="Times New Roman"/>
          <w:b/>
          <w:bCs/>
          <w:spacing w:val="-10"/>
          <w:kern w:val="28"/>
          <w:sz w:val="48"/>
          <w:szCs w:val="48"/>
        </w:rPr>
        <w:t>Plasma–Surface Interactions in KOH-Activated Carbon Foams for CO₂ Capture and Carbon-Mediated CO Formation</w:t>
      </w:r>
      <w:r>
        <w:rPr>
          <w:rFonts w:eastAsiaTheme="majorEastAsia" w:cs="Times New Roman"/>
          <w:b/>
          <w:bCs/>
          <w:spacing w:val="-10"/>
          <w:kern w:val="28"/>
          <w:sz w:val="48"/>
          <w:szCs w:val="48"/>
        </w:rPr>
        <w:t>: Supplementary Material</w:t>
      </w:r>
    </w:p>
    <w:p w14:paraId="5DE7AADD" w14:textId="3940DEE2" w:rsidR="00FD0D01" w:rsidRPr="00A3037A" w:rsidRDefault="00FD0D01" w:rsidP="00FD0D01">
      <w:pPr>
        <w:jc w:val="both"/>
        <w:rPr>
          <w:rFonts w:cs="Times New Roman"/>
        </w:rPr>
      </w:pPr>
      <w:r w:rsidRPr="00A3037A">
        <w:rPr>
          <w:rFonts w:cs="Times New Roman"/>
          <w:b/>
          <w:bCs/>
        </w:rPr>
        <w:t>Net Discharge Power</w:t>
      </w:r>
    </w:p>
    <w:p w14:paraId="1B92D088" w14:textId="77777777" w:rsidR="00FD0D01" w:rsidRPr="00A3037A" w:rsidRDefault="00FD0D01" w:rsidP="00FD0D01">
      <w:pPr>
        <w:jc w:val="both"/>
        <w:rPr>
          <w:rFonts w:cs="Times New Roman"/>
        </w:rPr>
      </w:pPr>
      <w:r w:rsidRPr="00A3037A">
        <w:rPr>
          <w:rFonts w:cs="Times New Roman"/>
        </w:rPr>
        <w:t>The wattmeter connected to the power supply reads 18–19 W during plasma operation and 4–5 W at baseline (power supply on, no discharge). Net discharge power is therefore estimated as:</w:t>
      </w:r>
    </w:p>
    <w:p w14:paraId="6A56A8A0" w14:textId="77777777" w:rsidR="00FD0D01" w:rsidRPr="00A3037A" w:rsidRDefault="00FD0D01" w:rsidP="00FD0D01">
      <w:pPr>
        <w:jc w:val="both"/>
        <w:rPr>
          <w:rFonts w:cs="Times New Roman"/>
        </w:rPr>
      </w:pPr>
      <w:r w:rsidRPr="00A3037A">
        <w:rPr>
          <w:rFonts w:cs="Times New Roman"/>
        </w:rPr>
        <w:t xml:space="preserve">P = 18.5 W − 4.5 W ≈ </w:t>
      </w:r>
      <w:r w:rsidRPr="00A3037A">
        <w:rPr>
          <w:rFonts w:cs="Times New Roman"/>
          <w:b/>
          <w:bCs/>
        </w:rPr>
        <w:t>14 W</w:t>
      </w:r>
    </w:p>
    <w:p w14:paraId="198FFD4F" w14:textId="48953E7F" w:rsidR="00FD0D01" w:rsidRPr="00A3037A" w:rsidRDefault="00FD0D01" w:rsidP="00FD0D01">
      <w:pPr>
        <w:jc w:val="both"/>
        <w:rPr>
          <w:rFonts w:cs="Times New Roman"/>
        </w:rPr>
      </w:pPr>
      <w:r w:rsidRPr="00A3037A">
        <w:rPr>
          <w:rFonts w:cs="Times New Roman"/>
          <w:b/>
          <w:bCs/>
        </w:rPr>
        <w:t>Specific Energy Input (SEI)</w:t>
      </w:r>
    </w:p>
    <w:p w14:paraId="43F58ADA" w14:textId="77777777" w:rsidR="00FD0D01" w:rsidRPr="00A3037A" w:rsidRDefault="00FD0D01" w:rsidP="00FD0D01">
      <w:pPr>
        <w:jc w:val="both"/>
        <w:rPr>
          <w:rFonts w:cs="Times New Roman"/>
        </w:rPr>
      </w:pPr>
      <w:r w:rsidRPr="00A3037A">
        <w:rPr>
          <w:rFonts w:cs="Times New Roman"/>
        </w:rPr>
        <w:t>SEI is calculated as plasma power divided by total volumetric flow rate:</w:t>
      </w:r>
    </w:p>
    <w:p w14:paraId="3DDCAE27" w14:textId="77777777" w:rsidR="00FD0D01" w:rsidRPr="00A3037A" w:rsidRDefault="00FD0D01" w:rsidP="00FD0D01">
      <w:pPr>
        <w:jc w:val="both"/>
        <w:rPr>
          <w:rFonts w:cs="Times New Roman"/>
        </w:rPr>
      </w:pPr>
      <w:r w:rsidRPr="00A3037A">
        <w:rPr>
          <w:rFonts w:cs="Times New Roman"/>
        </w:rPr>
        <w:t>Total flow rate = 30 sccm = 0.030 L/min = 5.0 × 10⁻⁴ L/s</w:t>
      </w:r>
    </w:p>
    <w:p w14:paraId="5611E9A8" w14:textId="77777777" w:rsidR="00FD0D01" w:rsidRPr="00A3037A" w:rsidRDefault="00FD0D01" w:rsidP="00FD0D01">
      <w:pPr>
        <w:jc w:val="both"/>
        <w:rPr>
          <w:rFonts w:cs="Times New Roman"/>
        </w:rPr>
      </w:pPr>
      <w:r w:rsidRPr="00A3037A">
        <w:rPr>
          <w:rFonts w:cs="Times New Roman"/>
        </w:rPr>
        <w:t xml:space="preserve">SEI (kJ/L) = 0.014 kW / 0.030 L/min = </w:t>
      </w:r>
      <w:r w:rsidRPr="00A3037A">
        <w:rPr>
          <w:rFonts w:cs="Times New Roman"/>
          <w:b/>
          <w:bCs/>
        </w:rPr>
        <w:t>0.467 kJ/L</w:t>
      </w:r>
    </w:p>
    <w:p w14:paraId="083DA38F" w14:textId="77777777" w:rsidR="00FD0D01" w:rsidRPr="00A3037A" w:rsidRDefault="00FD0D01" w:rsidP="00FD0D01">
      <w:pPr>
        <w:jc w:val="both"/>
        <w:rPr>
          <w:rFonts w:cs="Times New Roman"/>
        </w:rPr>
      </w:pPr>
      <w:r w:rsidRPr="00A3037A">
        <w:rPr>
          <w:rFonts w:cs="Times New Roman"/>
        </w:rPr>
        <w:t>Converting to eV/molecule using the standard conversion (SEI [eV/molecule] = SEI [kJ/L] × 6.24 × 10¹⁸ × 24.5 / 6.022 × 10²³):</w:t>
      </w:r>
    </w:p>
    <w:p w14:paraId="3FB84A0A" w14:textId="77777777" w:rsidR="00FD0D01" w:rsidRPr="00A3037A" w:rsidRDefault="00FD0D01" w:rsidP="00FD0D01">
      <w:pPr>
        <w:jc w:val="both"/>
        <w:rPr>
          <w:rFonts w:cs="Times New Roman"/>
        </w:rPr>
      </w:pPr>
      <w:r w:rsidRPr="00A3037A">
        <w:rPr>
          <w:rFonts w:cs="Times New Roman"/>
        </w:rPr>
        <w:t xml:space="preserve">SEI = </w:t>
      </w:r>
      <w:r w:rsidRPr="00A3037A">
        <w:rPr>
          <w:rFonts w:cs="Times New Roman"/>
          <w:b/>
          <w:bCs/>
        </w:rPr>
        <w:t>~10.8 eV/molecule</w:t>
      </w:r>
    </w:p>
    <w:p w14:paraId="1BFD381A" w14:textId="1CB42E8E" w:rsidR="00FD0D01" w:rsidRPr="00A3037A" w:rsidRDefault="00FD0D01" w:rsidP="00FD0D01">
      <w:pPr>
        <w:jc w:val="both"/>
        <w:rPr>
          <w:rFonts w:cs="Times New Roman"/>
        </w:rPr>
      </w:pPr>
      <w:r w:rsidRPr="00A3037A">
        <w:rPr>
          <w:rFonts w:cs="Times New Roman"/>
          <w:b/>
          <w:bCs/>
        </w:rPr>
        <w:t>CO₂ Conversion and CO Selectivity</w:t>
      </w:r>
    </w:p>
    <w:p w14:paraId="5C5E0872" w14:textId="77777777" w:rsidR="00FD0D01" w:rsidRPr="00A3037A" w:rsidRDefault="00FD0D01" w:rsidP="00FD0D01">
      <w:pPr>
        <w:jc w:val="both"/>
        <w:rPr>
          <w:rFonts w:cs="Times New Roman"/>
        </w:rPr>
      </w:pPr>
      <w:r w:rsidRPr="00A3037A">
        <w:rPr>
          <w:rFonts w:cs="Times New Roman"/>
        </w:rPr>
        <w:t>From experimental data for the best representative sample (4:1 KOH, 750°C):</w:t>
      </w:r>
    </w:p>
    <w:p w14:paraId="1E76F6CD" w14:textId="77777777" w:rsidR="00FD0D01" w:rsidRPr="00A3037A" w:rsidRDefault="00FD0D01" w:rsidP="00FD0D01">
      <w:pPr>
        <w:numPr>
          <w:ilvl w:val="0"/>
          <w:numId w:val="1"/>
        </w:numPr>
        <w:jc w:val="both"/>
        <w:rPr>
          <w:rFonts w:cs="Times New Roman"/>
        </w:rPr>
      </w:pPr>
      <w:r w:rsidRPr="00A3037A">
        <w:rPr>
          <w:rFonts w:cs="Times New Roman"/>
        </w:rPr>
        <w:t xml:space="preserve">CO₂ conversion: </w:t>
      </w:r>
      <w:r w:rsidRPr="00A3037A">
        <w:rPr>
          <w:rFonts w:cs="Times New Roman"/>
          <w:b/>
          <w:bCs/>
        </w:rPr>
        <w:t>6.49%</w:t>
      </w:r>
    </w:p>
    <w:p w14:paraId="54E6D3D7" w14:textId="77777777" w:rsidR="00FD0D01" w:rsidRPr="00A3037A" w:rsidRDefault="00FD0D01" w:rsidP="00FD0D01">
      <w:pPr>
        <w:numPr>
          <w:ilvl w:val="0"/>
          <w:numId w:val="1"/>
        </w:numPr>
        <w:jc w:val="both"/>
        <w:rPr>
          <w:rFonts w:cs="Times New Roman"/>
        </w:rPr>
      </w:pPr>
      <w:r w:rsidRPr="00A3037A">
        <w:rPr>
          <w:rFonts w:cs="Times New Roman"/>
        </w:rPr>
        <w:t xml:space="preserve">CO selectivity: </w:t>
      </w:r>
      <w:r w:rsidRPr="00A3037A">
        <w:rPr>
          <w:rFonts w:cs="Times New Roman"/>
          <w:b/>
          <w:bCs/>
        </w:rPr>
        <w:t>29.17%</w:t>
      </w:r>
    </w:p>
    <w:p w14:paraId="3659AFE1" w14:textId="77777777" w:rsidR="00FD0D01" w:rsidRPr="00A3037A" w:rsidRDefault="00FD0D01" w:rsidP="00FD0D01">
      <w:pPr>
        <w:numPr>
          <w:ilvl w:val="0"/>
          <w:numId w:val="1"/>
        </w:numPr>
        <w:jc w:val="both"/>
        <w:rPr>
          <w:rFonts w:cs="Times New Roman"/>
        </w:rPr>
      </w:pPr>
      <w:r w:rsidRPr="00A3037A">
        <w:rPr>
          <w:rFonts w:cs="Times New Roman"/>
        </w:rPr>
        <w:t xml:space="preserve">CO yield: 6.49% × 29.17% = </w:t>
      </w:r>
      <w:r w:rsidRPr="00A3037A">
        <w:rPr>
          <w:rFonts w:cs="Times New Roman"/>
          <w:b/>
          <w:bCs/>
        </w:rPr>
        <w:t>~1.89%</w:t>
      </w:r>
    </w:p>
    <w:p w14:paraId="29BD1D3C" w14:textId="4EC4244F" w:rsidR="00FD0D01" w:rsidRPr="00A3037A" w:rsidRDefault="00FD0D01" w:rsidP="00FD0D01">
      <w:pPr>
        <w:jc w:val="both"/>
        <w:rPr>
          <w:rFonts w:cs="Times New Roman"/>
        </w:rPr>
      </w:pPr>
      <w:r w:rsidRPr="00A3037A">
        <w:rPr>
          <w:rFonts w:cs="Times New Roman"/>
          <w:b/>
          <w:bCs/>
        </w:rPr>
        <w:t>Energy Efficiency</w:t>
      </w:r>
    </w:p>
    <w:p w14:paraId="5717601C" w14:textId="77777777" w:rsidR="00FD0D01" w:rsidRPr="00A3037A" w:rsidRDefault="00FD0D01" w:rsidP="00FD0D01">
      <w:pPr>
        <w:jc w:val="both"/>
        <w:rPr>
          <w:rFonts w:cs="Times New Roman"/>
        </w:rPr>
      </w:pPr>
      <w:r w:rsidRPr="00A3037A">
        <w:rPr>
          <w:rFonts w:cs="Times New Roman"/>
        </w:rPr>
        <w:t>Using the standard formula from the plasma CO₂ conversion literature</w:t>
      </w:r>
      <w:r>
        <w:rPr>
          <w:rFonts w:cs="Times New Roman"/>
        </w:rPr>
        <w:t xml:space="preserve"> </w:t>
      </w:r>
      <w:r>
        <w:rPr>
          <w:rFonts w:cs="Times New Roman"/>
        </w:rPr>
        <w:fldChar w:fldCharType="begin"/>
      </w:r>
      <w:r>
        <w:rPr>
          <w:rFonts w:cs="Times New Roman"/>
        </w:rPr>
        <w:instrText xml:space="preserve"> ADDIN ZOTERO_ITEM CSL_CITATION {"citationID":"bLid6Lj2","properties":{"formattedCitation":"(Snoeckx and Bogaerts 2017)","plainCitation":"(Snoeckx and Bogaerts 2017)","noteIndex":0},"citationItems":[{"id":421,"uris":["http://zotero.org/groups/6435256/items/L4GX3C4L"],"itemData":{"id":421,"type":"article-journal","abstract":"CO2 conversion into value-added chemicals and fuels is considered as one of the great challenges of the 21st century. Due to the limitations of the traditional thermal approaches, several novel technologies are being developed. One promising approach in this field, which has received little attention to date, is plasma technology. Its advantages include mild operating conditions, easy upscaling, and gas activation by energetic electrons instead of heat. This allows thermodynamically difficult reactions, such as CO2 splitting and the dry reformation of methane, to occur with reasonable energy cost. In this review, after exploring the traditional thermal approaches, we have provided a brief overview of the fierce competition between various novel approaches in a quest to find the most effective and efficient CO2 conversion technology. This is needed to critically assess whether plasma technology can be successful in an already crowded arena. The following questions need to be answered in this regard: are there key advantages to using plasma technology over other novel approaches, and if so, what is the flip side to the use of this technology? Can plasma technology be successful on its own, or can synergies be achieved by combining it with other technologies? To answer these specific questions and to evaluate the potentials and limitations of plasma technology in general, this review presents the current state-of-the-art and a critical assessment of plasma-based CO2 conversion, as well as the future challenges for its practical implementation.","container-title":"Chemical Society Reviews","DOI":"10.1039/C6CS00066E","ISSN":"0306-0012","issue":"19","journalAbbreviation":"Chem. Soc. Rev.","page":"5805-5863","publisher":"The Royal Society of Chemistry","title":"Plasma technology – a novel solution for CO2 conversion?","volume":"46","author":[{"family":"Snoeckx","given":"Ramses"},{"family":"Bogaerts","given":"Annemie"}],"issued":{"date-parts":[["2017"]]}}}],"schema":"https://github.com/citation-style-language/schema/raw/master/csl-citation.json"} </w:instrText>
      </w:r>
      <w:r>
        <w:rPr>
          <w:rFonts w:cs="Times New Roman"/>
        </w:rPr>
        <w:fldChar w:fldCharType="separate"/>
      </w:r>
      <w:r w:rsidRPr="00A3037A">
        <w:rPr>
          <w:rFonts w:cs="Times New Roman"/>
        </w:rPr>
        <w:t>(</w:t>
      </w:r>
      <w:proofErr w:type="spellStart"/>
      <w:r w:rsidRPr="00A3037A">
        <w:rPr>
          <w:rFonts w:cs="Times New Roman"/>
        </w:rPr>
        <w:t>Snoeckx</w:t>
      </w:r>
      <w:proofErr w:type="spellEnd"/>
      <w:r w:rsidRPr="00A3037A">
        <w:rPr>
          <w:rFonts w:cs="Times New Roman"/>
        </w:rPr>
        <w:t xml:space="preserve"> and Bogaerts 2017)</w:t>
      </w:r>
      <w:r>
        <w:rPr>
          <w:rFonts w:cs="Times New Roman"/>
        </w:rPr>
        <w:fldChar w:fldCharType="end"/>
      </w:r>
      <w:r w:rsidRPr="00A3037A">
        <w:rPr>
          <w:rFonts w:cs="Times New Roman"/>
        </w:rPr>
        <w:t>:</w:t>
      </w:r>
    </w:p>
    <w:p w14:paraId="36CEFFCB" w14:textId="77777777" w:rsidR="00FD0D01" w:rsidRPr="00A3037A" w:rsidRDefault="00FD0D01" w:rsidP="00FD0D01">
      <w:pPr>
        <w:jc w:val="both"/>
        <w:rPr>
          <w:rFonts w:cs="Times New Roman"/>
        </w:rPr>
      </w:pPr>
      <w:r w:rsidRPr="00A3037A">
        <w:rPr>
          <w:rFonts w:cs="Times New Roman"/>
        </w:rPr>
        <w:t>η (%) = (</w:t>
      </w:r>
      <w:proofErr w:type="spellStart"/>
      <w:r w:rsidRPr="00A3037A">
        <w:rPr>
          <w:rFonts w:cs="Times New Roman"/>
        </w:rPr>
        <w:t>χ_CO</w:t>
      </w:r>
      <w:proofErr w:type="spellEnd"/>
      <w:r w:rsidRPr="00A3037A">
        <w:rPr>
          <w:rFonts w:cs="Times New Roman"/>
        </w:rPr>
        <w:t>₂ × ΔH) / SEI</w:t>
      </w:r>
    </w:p>
    <w:p w14:paraId="3E37DE9F" w14:textId="77777777" w:rsidR="00FD0D01" w:rsidRPr="00A3037A" w:rsidRDefault="00FD0D01" w:rsidP="00FD0D01">
      <w:pPr>
        <w:jc w:val="both"/>
        <w:rPr>
          <w:rFonts w:cs="Times New Roman"/>
        </w:rPr>
      </w:pPr>
      <w:r w:rsidRPr="00A3037A">
        <w:rPr>
          <w:rFonts w:cs="Times New Roman"/>
        </w:rPr>
        <w:t>Where:</w:t>
      </w:r>
    </w:p>
    <w:p w14:paraId="0064455E" w14:textId="77777777" w:rsidR="00FD0D01" w:rsidRPr="00A3037A" w:rsidRDefault="00FD0D01" w:rsidP="00FD0D01">
      <w:pPr>
        <w:numPr>
          <w:ilvl w:val="0"/>
          <w:numId w:val="2"/>
        </w:numPr>
        <w:jc w:val="both"/>
        <w:rPr>
          <w:rFonts w:cs="Times New Roman"/>
        </w:rPr>
      </w:pPr>
      <w:r w:rsidRPr="00A3037A">
        <w:rPr>
          <w:rFonts w:cs="Times New Roman"/>
        </w:rPr>
        <w:t>η = energy efficiency (%)</w:t>
      </w:r>
    </w:p>
    <w:p w14:paraId="21C5E531" w14:textId="77777777" w:rsidR="00FD0D01" w:rsidRPr="00A3037A" w:rsidRDefault="00FD0D01" w:rsidP="00FD0D01">
      <w:pPr>
        <w:numPr>
          <w:ilvl w:val="0"/>
          <w:numId w:val="2"/>
        </w:numPr>
        <w:jc w:val="both"/>
        <w:rPr>
          <w:rFonts w:cs="Times New Roman"/>
        </w:rPr>
      </w:pPr>
      <w:proofErr w:type="spellStart"/>
      <w:r w:rsidRPr="00A3037A">
        <w:rPr>
          <w:rFonts w:cs="Times New Roman"/>
        </w:rPr>
        <w:t>χ_CO</w:t>
      </w:r>
      <w:proofErr w:type="spellEnd"/>
      <w:r w:rsidRPr="00A3037A">
        <w:rPr>
          <w:rFonts w:cs="Times New Roman"/>
        </w:rPr>
        <w:t>₂ = fractional CO₂ conversion (dimensionless; 0.0649 for CF-60-4-750)</w:t>
      </w:r>
    </w:p>
    <w:p w14:paraId="3FF64B90" w14:textId="77777777" w:rsidR="00FD0D01" w:rsidRPr="00A3037A" w:rsidRDefault="00FD0D01" w:rsidP="00FD0D01">
      <w:pPr>
        <w:numPr>
          <w:ilvl w:val="0"/>
          <w:numId w:val="2"/>
        </w:numPr>
        <w:jc w:val="both"/>
        <w:rPr>
          <w:rFonts w:cs="Times New Roman"/>
        </w:rPr>
      </w:pPr>
      <w:r w:rsidRPr="00A3037A">
        <w:rPr>
          <w:rFonts w:cs="Times New Roman"/>
        </w:rPr>
        <w:t>ΔH = standard reaction enthalpy for CO₂ → CO + ½O₂ = 2.93 eV/molecule</w:t>
      </w:r>
    </w:p>
    <w:p w14:paraId="66BDB577" w14:textId="77777777" w:rsidR="00FD0D01" w:rsidRPr="00A3037A" w:rsidRDefault="00FD0D01" w:rsidP="00FD0D01">
      <w:pPr>
        <w:numPr>
          <w:ilvl w:val="0"/>
          <w:numId w:val="2"/>
        </w:numPr>
        <w:jc w:val="both"/>
        <w:rPr>
          <w:rFonts w:cs="Times New Roman"/>
        </w:rPr>
      </w:pPr>
      <w:r w:rsidRPr="00A3037A">
        <w:rPr>
          <w:rFonts w:cs="Times New Roman"/>
        </w:rPr>
        <w:t>SEI = specific energy input (eV/molecule) = energy deposited per CO₂ molecule flowing through the reactor</w:t>
      </w:r>
    </w:p>
    <w:p w14:paraId="16E7947D" w14:textId="77777777" w:rsidR="00FD0D01" w:rsidRPr="00A3037A" w:rsidRDefault="00FD0D01" w:rsidP="00FD0D01">
      <w:pPr>
        <w:jc w:val="both"/>
        <w:rPr>
          <w:rFonts w:cs="Times New Roman"/>
        </w:rPr>
      </w:pPr>
      <w:r w:rsidRPr="00A3037A">
        <w:rPr>
          <w:rFonts w:cs="Times New Roman"/>
        </w:rPr>
        <w:lastRenderedPageBreak/>
        <w:t xml:space="preserve">η = (0.0649 × 2.93) / 10.8 = </w:t>
      </w:r>
      <w:r w:rsidRPr="00A3037A">
        <w:rPr>
          <w:rFonts w:cs="Times New Roman"/>
          <w:b/>
          <w:bCs/>
        </w:rPr>
        <w:t>~1.76%</w:t>
      </w:r>
    </w:p>
    <w:p w14:paraId="5E3A80AA" w14:textId="77777777" w:rsidR="00FD0D01" w:rsidRPr="002A1B15" w:rsidRDefault="00FD0D01" w:rsidP="00FD0D01"/>
    <w:p w14:paraId="7501B6A2" w14:textId="77777777" w:rsidR="008F3641" w:rsidRDefault="008F3641"/>
    <w:sectPr w:rsidR="008F36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F84D1F"/>
    <w:multiLevelType w:val="multilevel"/>
    <w:tmpl w:val="A7089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C233DC"/>
    <w:multiLevelType w:val="multilevel"/>
    <w:tmpl w:val="5800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1740447">
    <w:abstractNumId w:val="0"/>
  </w:num>
  <w:num w:numId="2" w16cid:durableId="20834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D01"/>
    <w:rsid w:val="001C0E64"/>
    <w:rsid w:val="002816F9"/>
    <w:rsid w:val="00357786"/>
    <w:rsid w:val="003A5C96"/>
    <w:rsid w:val="00711037"/>
    <w:rsid w:val="0085650A"/>
    <w:rsid w:val="008F3641"/>
    <w:rsid w:val="00CF2E3D"/>
    <w:rsid w:val="00D2511D"/>
    <w:rsid w:val="00E77FBC"/>
    <w:rsid w:val="00FD0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78EB2"/>
  <w15:chartTrackingRefBased/>
  <w15:docId w15:val="{C05F7FE7-3149-47E5-96D5-3401A28AB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D01"/>
    <w:rPr>
      <w:rFonts w:ascii="Times New Roman" w:hAnsi="Times New Roman"/>
      <w:sz w:val="20"/>
    </w:rPr>
  </w:style>
  <w:style w:type="paragraph" w:styleId="Heading1">
    <w:name w:val="heading 1"/>
    <w:basedOn w:val="Normal"/>
    <w:next w:val="Normal"/>
    <w:link w:val="Heading1Char"/>
    <w:uiPriority w:val="9"/>
    <w:qFormat/>
    <w:rsid w:val="00FD0D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0D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0D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0D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0D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0D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0D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0D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0D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D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0D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0D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0D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0D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0D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0D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0D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0D01"/>
    <w:rPr>
      <w:rFonts w:eastAsiaTheme="majorEastAsia" w:cstheme="majorBidi"/>
      <w:color w:val="272727" w:themeColor="text1" w:themeTint="D8"/>
    </w:rPr>
  </w:style>
  <w:style w:type="paragraph" w:styleId="Title">
    <w:name w:val="Title"/>
    <w:basedOn w:val="Normal"/>
    <w:next w:val="Normal"/>
    <w:link w:val="TitleChar"/>
    <w:uiPriority w:val="10"/>
    <w:qFormat/>
    <w:rsid w:val="00FD0D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0D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0D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0D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0D01"/>
    <w:pPr>
      <w:spacing w:before="160"/>
      <w:jc w:val="center"/>
    </w:pPr>
    <w:rPr>
      <w:i/>
      <w:iCs/>
      <w:color w:val="404040" w:themeColor="text1" w:themeTint="BF"/>
    </w:rPr>
  </w:style>
  <w:style w:type="character" w:customStyle="1" w:styleId="QuoteChar">
    <w:name w:val="Quote Char"/>
    <w:basedOn w:val="DefaultParagraphFont"/>
    <w:link w:val="Quote"/>
    <w:uiPriority w:val="29"/>
    <w:rsid w:val="00FD0D01"/>
    <w:rPr>
      <w:i/>
      <w:iCs/>
      <w:color w:val="404040" w:themeColor="text1" w:themeTint="BF"/>
    </w:rPr>
  </w:style>
  <w:style w:type="paragraph" w:styleId="ListParagraph">
    <w:name w:val="List Paragraph"/>
    <w:basedOn w:val="Normal"/>
    <w:uiPriority w:val="34"/>
    <w:qFormat/>
    <w:rsid w:val="00FD0D01"/>
    <w:pPr>
      <w:ind w:left="720"/>
      <w:contextualSpacing/>
    </w:pPr>
  </w:style>
  <w:style w:type="character" w:styleId="IntenseEmphasis">
    <w:name w:val="Intense Emphasis"/>
    <w:basedOn w:val="DefaultParagraphFont"/>
    <w:uiPriority w:val="21"/>
    <w:qFormat/>
    <w:rsid w:val="00FD0D01"/>
    <w:rPr>
      <w:i/>
      <w:iCs/>
      <w:color w:val="0F4761" w:themeColor="accent1" w:themeShade="BF"/>
    </w:rPr>
  </w:style>
  <w:style w:type="paragraph" w:styleId="IntenseQuote">
    <w:name w:val="Intense Quote"/>
    <w:basedOn w:val="Normal"/>
    <w:next w:val="Normal"/>
    <w:link w:val="IntenseQuoteChar"/>
    <w:uiPriority w:val="30"/>
    <w:qFormat/>
    <w:rsid w:val="00FD0D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0D01"/>
    <w:rPr>
      <w:i/>
      <w:iCs/>
      <w:color w:val="0F4761" w:themeColor="accent1" w:themeShade="BF"/>
    </w:rPr>
  </w:style>
  <w:style w:type="character" w:styleId="IntenseReference">
    <w:name w:val="Intense Reference"/>
    <w:basedOn w:val="DefaultParagraphFont"/>
    <w:uiPriority w:val="32"/>
    <w:qFormat/>
    <w:rsid w:val="00FD0D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563</Words>
  <Characters>3212</Characters>
  <Application>Microsoft Office Word</Application>
  <DocSecurity>0</DocSecurity>
  <Lines>26</Lines>
  <Paragraphs>7</Paragraphs>
  <ScaleCrop>false</ScaleCrop>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Gopalakrishnan, Varun</dc:creator>
  <cp:keywords/>
  <dc:description/>
  <cp:lastModifiedBy>Gopalakrishnan, Varun</cp:lastModifiedBy>
  <cp:revision>1</cp:revision>
  <dcterms:created xsi:type="dcterms:W3CDTF">2026-06-20T15:39:00Z</dcterms:created>
  <dcterms:modified xsi:type="dcterms:W3CDTF">2026-06-20T15:41:00Z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2fe02cf8-8f47-46cd-9039-74b8afaf6857</vt:lpwstr>
  </property>
</Properties>
</file>