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A85" w:rsidRPr="00EA49C8" w:rsidRDefault="00FF2A85" w:rsidP="00FF2A85">
      <w:pPr>
        <w:jc w:val="both"/>
        <w:rPr>
          <w:b/>
          <w:sz w:val="28"/>
          <w:u w:val="single"/>
          <w:lang w:val="en-US"/>
        </w:rPr>
      </w:pPr>
      <w:r w:rsidRPr="00EA49C8">
        <w:rPr>
          <w:b/>
          <w:sz w:val="28"/>
          <w:u w:val="single"/>
          <w:lang w:val="en-US"/>
        </w:rPr>
        <w:t>Supplementary material</w:t>
      </w:r>
    </w:p>
    <w:p w:rsidR="00FF2A85" w:rsidRPr="00EA49C8" w:rsidRDefault="00FF2A85" w:rsidP="00FF2A85">
      <w:pPr>
        <w:jc w:val="both"/>
        <w:rPr>
          <w:lang w:val="en-US"/>
        </w:rPr>
      </w:pPr>
    </w:p>
    <w:p w:rsidR="00FF2A85" w:rsidRPr="00EA49C8" w:rsidRDefault="00FF2A85" w:rsidP="00FF2A85">
      <w:pPr>
        <w:jc w:val="both"/>
        <w:rPr>
          <w:b/>
          <w:u w:val="single"/>
          <w:lang w:val="en-US"/>
        </w:rPr>
      </w:pPr>
      <w:r w:rsidRPr="00EA49C8">
        <w:rPr>
          <w:b/>
          <w:u w:val="single"/>
          <w:lang w:val="en-US"/>
        </w:rPr>
        <w:t>Materials and Methods</w:t>
      </w:r>
    </w:p>
    <w:p w:rsidR="00FF2A85" w:rsidRPr="00C80E10" w:rsidRDefault="00FF2A85" w:rsidP="00FF2A85">
      <w:pPr>
        <w:jc w:val="both"/>
        <w:rPr>
          <w:u w:val="single"/>
          <w:lang w:val="en-US"/>
        </w:rPr>
      </w:pPr>
      <w:r w:rsidRPr="00C80E10">
        <w:rPr>
          <w:u w:val="single"/>
          <w:lang w:val="en-US"/>
        </w:rPr>
        <w:t>Chemicals</w:t>
      </w:r>
    </w:p>
    <w:p w:rsidR="00FF2A85" w:rsidRPr="00C80E10" w:rsidRDefault="00FF2A85" w:rsidP="00FF2A85">
      <w:pPr>
        <w:jc w:val="both"/>
        <w:rPr>
          <w:lang w:val="en-US"/>
        </w:rPr>
      </w:pPr>
      <w:r w:rsidRPr="00C80E10">
        <w:rPr>
          <w:lang w:val="en-US"/>
        </w:rPr>
        <w:t xml:space="preserve">Super sterol esters were kindly provided by Croda (Cowick Hall, UK), triglycerides (Miglyol 812) were supplied by Cremer Oleo (Witten, Germany). CER EOS30 and CER NS24 were provided by Evonik (Essen, Germany). Deuterated CER NS24 was </w:t>
      </w:r>
      <w:r>
        <w:rPr>
          <w:lang w:val="en-US"/>
        </w:rPr>
        <w:t>kindly</w:t>
      </w:r>
      <w:r w:rsidRPr="00C80E10">
        <w:rPr>
          <w:lang w:val="en-US"/>
        </w:rPr>
        <w:t xml:space="preserve"> </w:t>
      </w:r>
      <w:r>
        <w:rPr>
          <w:lang w:val="en-US"/>
        </w:rPr>
        <w:t>supplied by</w:t>
      </w:r>
      <w:r w:rsidRPr="00C80E10">
        <w:rPr>
          <w:lang w:val="en-US"/>
        </w:rPr>
        <w:t xml:space="preserve"> </w:t>
      </w:r>
      <w:r>
        <w:rPr>
          <w:lang w:val="en-US"/>
        </w:rPr>
        <w:t>Evonik</w:t>
      </w:r>
      <w:r w:rsidRPr="00003090">
        <w:rPr>
          <w:lang w:val="en-US"/>
        </w:rPr>
        <w:t xml:space="preserve"> Industries AG</w:t>
      </w:r>
      <w:r>
        <w:rPr>
          <w:lang w:val="en-US"/>
        </w:rPr>
        <w:t xml:space="preserve"> </w:t>
      </w:r>
      <w:r w:rsidRPr="00C80E10">
        <w:rPr>
          <w:lang w:val="en-US"/>
        </w:rPr>
        <w:t>(</w:t>
      </w:r>
      <w:r>
        <w:rPr>
          <w:lang w:val="en-US"/>
        </w:rPr>
        <w:t>Essen</w:t>
      </w:r>
      <w:r w:rsidRPr="00C80E10">
        <w:rPr>
          <w:lang w:val="en-US"/>
        </w:rPr>
        <w:t xml:space="preserve">, </w:t>
      </w:r>
      <w:r>
        <w:rPr>
          <w:lang w:val="en-US"/>
        </w:rPr>
        <w:t>Germany</w:t>
      </w:r>
      <w:r w:rsidRPr="00C80E10">
        <w:rPr>
          <w:lang w:val="en-US"/>
        </w:rPr>
        <w:t>)</w:t>
      </w:r>
      <w:r>
        <w:rPr>
          <w:lang w:val="en-US"/>
        </w:rPr>
        <w:t xml:space="preserve">, perdeuterated behenic acid was acquired from </w:t>
      </w:r>
      <w:r w:rsidRPr="00A072FA">
        <w:rPr>
          <w:lang w:val="en-US"/>
        </w:rPr>
        <w:t>Cambridge Isotope Laboratories (Tewksbury, MA, USA)</w:t>
      </w:r>
      <w:r>
        <w:rPr>
          <w:lang w:val="en-US"/>
        </w:rPr>
        <w:t xml:space="preserve">. </w:t>
      </w:r>
      <w:r w:rsidRPr="00C80E10">
        <w:rPr>
          <w:lang w:val="en-US"/>
        </w:rPr>
        <w:t>Cyanoacrylate (Bison, Goes, the Netherlands) was bought locally. Xylene and methanol were obtained from Biosolve (Valkenswaar</w:t>
      </w:r>
      <w:r>
        <w:rPr>
          <w:lang w:val="en-US"/>
        </w:rPr>
        <w:t>d</w:t>
      </w:r>
      <w:r w:rsidRPr="00C80E10">
        <w:rPr>
          <w:lang w:val="en-US"/>
        </w:rPr>
        <w:t xml:space="preserve">, the Netherlands), 4% buffered formaldehyde was purchased from Added Pharma (Oss, the Netherlands), paraffin, haematoxylin, and eosin were acquired from Klinipath (Duiven, the Netherlands). DMEM, Ham’s F12, and penicillin/streptomycin were purchased from Fisher Scientific (Waltham, Massachusetts, USA). Squalene, cholesterol, bovine serum albumin, sodium bromide, ethanol, acetone, trypsin, trypsin inhibitor, selenious acid, hydrocortisone, isoproterenol, L-carnitine, L-serine, insulin, α-tocopherol acetate, vitamin C, arachidonic acid, linoleic acid, and palmitic acid were </w:t>
      </w:r>
      <w:r>
        <w:rPr>
          <w:lang w:val="en-US"/>
        </w:rPr>
        <w:t>bought</w:t>
      </w:r>
      <w:r w:rsidRPr="00C80E10">
        <w:rPr>
          <w:lang w:val="en-US"/>
        </w:rPr>
        <w:t xml:space="preserve"> from Sigma-Aldrich (Zwijndrecht, the Netherlands</w:t>
      </w:r>
      <w:r>
        <w:rPr>
          <w:lang w:val="en-US"/>
        </w:rPr>
        <w:t>)</w:t>
      </w:r>
      <w:r w:rsidRPr="00C80E10">
        <w:rPr>
          <w:lang w:val="en-US"/>
        </w:rPr>
        <w:t>. Chloroform was obtained from Macron Fine Chemicals (Gliwice, Poland). All solvents were HPLC grade or higher.</w:t>
      </w:r>
    </w:p>
    <w:p w:rsidR="00FF2A85" w:rsidRPr="00EA49C8" w:rsidRDefault="00FF2A85" w:rsidP="00FF2A85">
      <w:pPr>
        <w:jc w:val="both"/>
        <w:rPr>
          <w:lang w:val="en-US"/>
        </w:rPr>
      </w:pPr>
    </w:p>
    <w:p w:rsidR="00FF2A85" w:rsidRPr="00C80E10" w:rsidRDefault="00FF2A85" w:rsidP="00FF2A85">
      <w:pPr>
        <w:jc w:val="both"/>
        <w:rPr>
          <w:u w:val="single"/>
          <w:lang w:val="en-US"/>
        </w:rPr>
      </w:pPr>
      <w:r w:rsidRPr="00C80E10">
        <w:rPr>
          <w:u w:val="single"/>
          <w:lang w:val="en-US"/>
        </w:rPr>
        <w:t xml:space="preserve">Stripping and culturing of </w:t>
      </w:r>
      <w:r w:rsidRPr="00C80E10">
        <w:rPr>
          <w:i/>
          <w:u w:val="single"/>
          <w:lang w:val="en-US"/>
        </w:rPr>
        <w:t>ex vivo</w:t>
      </w:r>
      <w:r w:rsidRPr="00C80E10">
        <w:rPr>
          <w:u w:val="single"/>
          <w:lang w:val="en-US"/>
        </w:rPr>
        <w:t xml:space="preserve"> skin</w:t>
      </w:r>
    </w:p>
    <w:p w:rsidR="00FF2A85" w:rsidRPr="00C80E10" w:rsidRDefault="00FF2A85" w:rsidP="007C3991">
      <w:pPr>
        <w:jc w:val="both"/>
        <w:rPr>
          <w:lang w:val="en-US"/>
        </w:rPr>
      </w:pPr>
      <w:r w:rsidRPr="00C80E10">
        <w:rPr>
          <w:lang w:val="en-US"/>
        </w:rPr>
        <w:t>Before dermatoming to a thickness of 600 µm (</w:t>
      </w:r>
      <w:r w:rsidRPr="002B1852">
        <w:rPr>
          <w:lang w:val="en-US"/>
        </w:rPr>
        <w:t>D</w:t>
      </w:r>
      <w:r>
        <w:rPr>
          <w:lang w:val="en-US"/>
        </w:rPr>
        <w:t>80</w:t>
      </w:r>
      <w:r w:rsidRPr="002B1852">
        <w:rPr>
          <w:lang w:val="en-US"/>
        </w:rPr>
        <w:t xml:space="preserve"> Dermatome, </w:t>
      </w:r>
      <w:r>
        <w:rPr>
          <w:lang w:val="en-US"/>
        </w:rPr>
        <w:t>Humeca</w:t>
      </w:r>
      <w:r w:rsidRPr="002B1852">
        <w:rPr>
          <w:lang w:val="en-US"/>
        </w:rPr>
        <w:t xml:space="preserve">, </w:t>
      </w:r>
      <w:r w:rsidRPr="00C63738">
        <w:rPr>
          <w:lang w:val="en-US"/>
        </w:rPr>
        <w:t>Borne</w:t>
      </w:r>
      <w:r>
        <w:rPr>
          <w:lang w:val="en-US"/>
        </w:rPr>
        <w:t xml:space="preserve">, </w:t>
      </w:r>
      <w:r w:rsidRPr="00C63738">
        <w:rPr>
          <w:lang w:val="en-US"/>
        </w:rPr>
        <w:t>the Netherlands</w:t>
      </w:r>
      <w:r w:rsidRPr="00C80E10">
        <w:rPr>
          <w:lang w:val="en-US"/>
        </w:rPr>
        <w:t>), the subcutaneous fat was removed, and the skin was wiped with 70% EtOH and Millipore water. SC was removed by sequential stripping as described before</w:t>
      </w:r>
      <w:r>
        <w:rPr>
          <w:lang w:val="en-US"/>
        </w:rPr>
        <w:t xml:space="preserve"> </w:t>
      </w:r>
      <w:r>
        <w:rPr>
          <w:lang w:val="en-US"/>
        </w:rPr>
        <w:fldChar w:fldCharType="begin"/>
      </w:r>
      <w:r w:rsidR="007C3991">
        <w:rPr>
          <w:lang w:val="en-US"/>
        </w:rPr>
        <w:instrText xml:space="preserve"> ADDIN EN.CITE &lt;EndNote&gt;&lt;Cite&gt;&lt;Author&gt;Danso&lt;/Author&gt;&lt;Year&gt;2015&lt;/Year&gt;&lt;RecNum&gt;3&lt;/RecNum&gt;&lt;DisplayText&gt;(1)&lt;/DisplayText&gt;&lt;record&gt;&lt;rec-number&gt;3&lt;/rec-number&gt;&lt;foreign-keys&gt;&lt;key app="EN" db-id="tessxveejav0v2ez005v2rskevttd925ddvz" timestamp="1485512291"&gt;3&lt;/key&gt;&lt;/foreign-keys&gt;&lt;ref-type name="Journal Article"&gt;17&lt;/ref-type&gt;&lt;contributors&gt;&lt;authors&gt;&lt;author&gt;Danso, M.O.&lt;/author&gt;&lt;author&gt;Berkers, T.&lt;/author&gt;&lt;author&gt;Mieremet, A.&lt;/author&gt;&lt;author&gt;Hausil, F.&lt;/author&gt;&lt;author&gt;Bouwstra, J.A.&lt;/author&gt;&lt;/authors&gt;&lt;/contributors&gt;&lt;auth-address&gt;Department of Drug Delivery Technology, Leiden Academic Centre for Drug Research, Leiden University, Leiden, The Netherlands&lt;/auth-address&gt;&lt;titles&gt;&lt;title&gt;An ex vivo human skin model for studying skin barrier repair&lt;/title&gt;&lt;secondary-title&gt;Exp. Dermatol&lt;/secondary-title&gt;&lt;/titles&gt;&lt;periodical&gt;&lt;full-title&gt;Exp. Dermatol&lt;/full-title&gt;&lt;/periodical&gt;&lt;pages&gt;48-54&lt;/pages&gt;&lt;volume&gt;24&lt;/volume&gt;&lt;number&gt;1&lt;/number&gt;&lt;reprint-edition&gt;Not in File&lt;/reprint-edition&gt;&lt;keywords&gt;&lt;keyword&gt;Lipids&lt;/keyword&gt;&lt;keyword&gt;Proteins&lt;/keyword&gt;&lt;keyword&gt;Skin&lt;/keyword&gt;&lt;keyword&gt;Temperature&lt;/keyword&gt;&lt;/keywords&gt;&lt;dates&gt;&lt;year&gt;2015&lt;/year&gt;&lt;pub-dates&gt;&lt;date&gt;1/2015&lt;/date&gt;&lt;/pub-dates&gt;&lt;/dates&gt;&lt;label&gt;51&lt;/label&gt;&lt;urls&gt;&lt;related-urls&gt;&lt;url&gt;http://www.ncbi.nlm.nih.gov/pubmed/25363465&lt;/url&gt;&lt;/related-urls&gt;&lt;/urls&gt;&lt;electronic-resource-num&gt;10.1111/exd.12579 [doi]&lt;/electronic-resource-num&gt;&lt;/record&gt;&lt;/Cite&gt;&lt;/EndNote&gt;</w:instrText>
      </w:r>
      <w:r>
        <w:rPr>
          <w:lang w:val="en-US"/>
        </w:rPr>
        <w:fldChar w:fldCharType="separate"/>
      </w:r>
      <w:r w:rsidR="007C3991">
        <w:rPr>
          <w:noProof/>
          <w:lang w:val="en-US"/>
        </w:rPr>
        <w:t>(1)</w:t>
      </w:r>
      <w:r>
        <w:rPr>
          <w:lang w:val="en-US"/>
        </w:rPr>
        <w:fldChar w:fldCharType="end"/>
      </w:r>
      <w:r>
        <w:rPr>
          <w:lang w:val="en-US"/>
        </w:rPr>
        <w:t>.</w:t>
      </w:r>
      <w:r w:rsidRPr="00C80E10">
        <w:rPr>
          <w:lang w:val="en-US"/>
        </w:rPr>
        <w:t xml:space="preserve"> Briefly, skin was punched (ø=26</w:t>
      </w:r>
      <w:r>
        <w:rPr>
          <w:lang w:val="en-US"/>
        </w:rPr>
        <w:t xml:space="preserve"> </w:t>
      </w:r>
      <w:r w:rsidRPr="00C80E10">
        <w:rPr>
          <w:lang w:val="en-US"/>
        </w:rPr>
        <w:t xml:space="preserve">mm) and stretched on a custom made clamping device. SC was removed by preheated (40°C) </w:t>
      </w:r>
      <w:r>
        <w:rPr>
          <w:lang w:val="en-US"/>
        </w:rPr>
        <w:t xml:space="preserve">metal cylinder with preheated </w:t>
      </w:r>
      <w:r w:rsidRPr="00C80E10">
        <w:rPr>
          <w:lang w:val="en-US"/>
        </w:rPr>
        <w:t>cyanoacrylate</w:t>
      </w:r>
      <w:r>
        <w:rPr>
          <w:lang w:val="en-US"/>
        </w:rPr>
        <w:t>. During each stripping the</w:t>
      </w:r>
      <w:r w:rsidRPr="00C80E10">
        <w:rPr>
          <w:lang w:val="en-US"/>
        </w:rPr>
        <w:t xml:space="preserve"> metal cylinder was applied on the skin for 2 minutes with a pressure of 0.7 kg/cm</w:t>
      </w:r>
      <w:r w:rsidRPr="00C80E10">
        <w:rPr>
          <w:vertAlign w:val="superscript"/>
          <w:lang w:val="en-US"/>
        </w:rPr>
        <w:t>2</w:t>
      </w:r>
      <w:r w:rsidRPr="00C80E10">
        <w:rPr>
          <w:lang w:val="en-US"/>
        </w:rPr>
        <w:t xml:space="preserve">. This procedure was repeated until the SC was removed which is indicated by a shiny appearance of the skin. </w:t>
      </w:r>
    </w:p>
    <w:p w:rsidR="00FF2A85" w:rsidRPr="00EA49C8" w:rsidRDefault="00FF2A85" w:rsidP="007C3991">
      <w:pPr>
        <w:jc w:val="both"/>
        <w:rPr>
          <w:lang w:val="en-US"/>
        </w:rPr>
      </w:pPr>
      <w:r w:rsidRPr="00C80E10">
        <w:rPr>
          <w:lang w:val="en-US"/>
        </w:rPr>
        <w:t xml:space="preserve">The detailed culturing procedure </w:t>
      </w:r>
      <w:r>
        <w:rPr>
          <w:lang w:val="en-US"/>
        </w:rPr>
        <w:t>has been</w:t>
      </w:r>
      <w:r w:rsidRPr="00C80E10">
        <w:rPr>
          <w:lang w:val="en-US"/>
        </w:rPr>
        <w:t xml:space="preserve"> described previously</w:t>
      </w:r>
      <w:r>
        <w:rPr>
          <w:lang w:val="en-US"/>
        </w:rPr>
        <w:t xml:space="preserve"> </w:t>
      </w:r>
      <w:r>
        <w:rPr>
          <w:lang w:val="en-US"/>
        </w:rPr>
        <w:fldChar w:fldCharType="begin">
          <w:fldData xml:space="preserve">PEVuZE5vdGU+PENpdGU+PEF1dGhvcj5EYW5zbzwvQXV0aG9yPjxZZWFyPjIwMTU8L1llYXI+PFJl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</w:fldData>
        </w:fldChar>
      </w:r>
      <w:r w:rsidR="007C3991">
        <w:rPr>
          <w:lang w:val="en-US"/>
        </w:rPr>
        <w:instrText xml:space="preserve"> ADDIN EN.CITE </w:instrText>
      </w:r>
      <w:r w:rsidR="007C3991">
        <w:rPr>
          <w:lang w:val="en-US"/>
        </w:rPr>
        <w:fldChar w:fldCharType="begin">
          <w:fldData xml:space="preserve">PEVuZE5vdGU+PENpdGU+PEF1dGhvcj5EYW5zbzwvQXV0aG9yPjxZZWFyPjIwMTU8L1llYXI+PFJl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</w:fldData>
        </w:fldChar>
      </w:r>
      <w:r w:rsidR="007C3991">
        <w:rPr>
          <w:lang w:val="en-US"/>
        </w:rPr>
        <w:instrText xml:space="preserve"> ADDIN EN.CITE.DATA </w:instrText>
      </w:r>
      <w:r w:rsidR="007C3991">
        <w:rPr>
          <w:lang w:val="en-US"/>
        </w:rPr>
      </w:r>
      <w:r w:rsidR="007C3991">
        <w:rPr>
          <w:lang w:val="en-US"/>
        </w:rPr>
        <w:fldChar w:fldCharType="end"/>
      </w:r>
      <w:r>
        <w:rPr>
          <w:lang w:val="en-US"/>
        </w:rPr>
        <w:fldChar w:fldCharType="separate"/>
      </w:r>
      <w:r w:rsidR="007C3991">
        <w:rPr>
          <w:noProof/>
          <w:lang w:val="en-US"/>
        </w:rPr>
        <w:t>(1, 2)</w:t>
      </w:r>
      <w:r>
        <w:rPr>
          <w:lang w:val="en-US"/>
        </w:rPr>
        <w:fldChar w:fldCharType="end"/>
      </w:r>
      <w:r>
        <w:rPr>
          <w:lang w:val="en-US"/>
        </w:rPr>
        <w:t>.</w:t>
      </w:r>
      <w:r w:rsidRPr="00C80E10">
        <w:rPr>
          <w:lang w:val="en-US"/>
        </w:rPr>
        <w:t xml:space="preserve"> In short, the stripped skin was placed on top of a cotton pad and a transwell filter insert (Corning Life sciences, Amsterdam, Netherlands) in a deep 6-well culturing plate (Organogenesis, Canton, MA, USA). A metal ring (inner diameter 15 mm) was placed on the SC side of the skin.</w:t>
      </w:r>
    </w:p>
    <w:p w:rsidR="00FF2A85" w:rsidRPr="00EA49C8" w:rsidRDefault="00FF2A85" w:rsidP="00FF2A85">
      <w:pPr>
        <w:jc w:val="both"/>
        <w:rPr>
          <w:lang w:val="en-US"/>
        </w:rPr>
      </w:pPr>
    </w:p>
    <w:p w:rsidR="00FF2A85" w:rsidRPr="00C80E10" w:rsidRDefault="00FF2A85" w:rsidP="00FF2A85">
      <w:pPr>
        <w:jc w:val="both"/>
        <w:rPr>
          <w:i/>
          <w:u w:val="single"/>
          <w:lang w:val="en-US"/>
        </w:rPr>
      </w:pPr>
      <w:r w:rsidRPr="00C80E10">
        <w:rPr>
          <w:u w:val="single"/>
          <w:lang w:val="en-US"/>
        </w:rPr>
        <w:t>Isolation of SC</w:t>
      </w:r>
    </w:p>
    <w:p w:rsidR="00FF2A85" w:rsidRPr="00C80E10" w:rsidRDefault="00FF2A85" w:rsidP="00FF2A85">
      <w:pPr>
        <w:jc w:val="both"/>
        <w:rPr>
          <w:lang w:val="en-US"/>
        </w:rPr>
      </w:pPr>
      <w:r w:rsidRPr="00C80E10">
        <w:rPr>
          <w:lang w:val="en-US"/>
        </w:rPr>
        <w:t>Trypsin was used to isolate SC from cultured skin. The skin was kept at 4°C overnight in 0.1% trypsin solution in PBS, followed by one hour at 37°C. SC was peeled off and washed in 0.1% trypsin inhibitor solution in PBS. SC sheets were cleaned twice in Millipore water and stored over silica gel under argon in the dark until use. SC was used for either infrared spectroscopy measurements or X-ray diffraction measurements.</w:t>
      </w:r>
    </w:p>
    <w:p w:rsidR="00FF2A85" w:rsidRPr="00C80E10" w:rsidRDefault="00FF2A85" w:rsidP="00FF2A85">
      <w:pPr>
        <w:jc w:val="both"/>
        <w:rPr>
          <w:lang w:val="en-US"/>
        </w:rPr>
      </w:pPr>
    </w:p>
    <w:p w:rsidR="00FF2A85" w:rsidRPr="00C80E10" w:rsidRDefault="00FF2A85" w:rsidP="00FF2A85">
      <w:pPr>
        <w:jc w:val="both"/>
        <w:rPr>
          <w:u w:val="single"/>
          <w:lang w:val="en-US"/>
        </w:rPr>
      </w:pPr>
      <w:r w:rsidRPr="00C80E10">
        <w:rPr>
          <w:u w:val="single"/>
          <w:lang w:val="en-US"/>
        </w:rPr>
        <w:t>Fourier transform infrared spectroscopy</w:t>
      </w:r>
    </w:p>
    <w:p w:rsidR="00FF2A85" w:rsidRDefault="00FF2A85" w:rsidP="007C3991">
      <w:pPr>
        <w:jc w:val="both"/>
        <w:rPr>
          <w:lang w:val="en-US"/>
        </w:rPr>
      </w:pPr>
      <w:r w:rsidRPr="00C80E10">
        <w:rPr>
          <w:lang w:val="en-US"/>
        </w:rPr>
        <w:t>The conformational ordering and the lateral packing of the lipids in the SC matrix and the formulations was examined using Fourier transform infrared spectroscopy (FTIR). SC samples were hydrated over a 27% NaBr solution in D</w:t>
      </w:r>
      <w:r w:rsidRPr="00C80E10">
        <w:rPr>
          <w:vertAlign w:val="subscript"/>
          <w:lang w:val="en-US"/>
        </w:rPr>
        <w:t>2</w:t>
      </w:r>
      <w:r w:rsidRPr="00C80E10">
        <w:rPr>
          <w:lang w:val="en-US"/>
        </w:rPr>
        <w:t xml:space="preserve">O for 24 hours at room temperature. FTIR spectra were recorded using a Varian 670-IR FTIR spectrometer (Agilent Technologies, Santa Clara, USA), equipped with a broadband mercury-cadmium-telluride detector. A hydrated SC sample or a formulation was </w:t>
      </w:r>
      <w:r w:rsidRPr="00C80E10">
        <w:rPr>
          <w:lang w:val="en-US"/>
        </w:rPr>
        <w:lastRenderedPageBreak/>
        <w:t xml:space="preserve">placed between two AgBr-windows and measured in transmission mode. Samples were put under a continuous purge of dry air starting 30 minutes before the </w:t>
      </w:r>
      <w:r>
        <w:rPr>
          <w:lang w:val="en-US"/>
        </w:rPr>
        <w:t>beginning</w:t>
      </w:r>
      <w:r w:rsidRPr="00C80E10">
        <w:rPr>
          <w:lang w:val="en-US"/>
        </w:rPr>
        <w:t xml:space="preserve"> of the measurement. Spectra were obtained as a co-addition of </w:t>
      </w:r>
      <w:r>
        <w:rPr>
          <w:lang w:val="en-US"/>
        </w:rPr>
        <w:t>128</w:t>
      </w:r>
      <w:r w:rsidRPr="00C80E10">
        <w:rPr>
          <w:lang w:val="en-US"/>
        </w:rPr>
        <w:t xml:space="preserve"> scans at 1 cm</w:t>
      </w:r>
      <w:r w:rsidRPr="00C80E10">
        <w:rPr>
          <w:vertAlign w:val="superscript"/>
          <w:lang w:val="en-US"/>
        </w:rPr>
        <w:t xml:space="preserve">-1 </w:t>
      </w:r>
      <w:r w:rsidRPr="00C80E10">
        <w:rPr>
          <w:lang w:val="en-US"/>
        </w:rPr>
        <w:t xml:space="preserve">resolution during 2 minutes, during which the sample temperature was increased from 0 to 90°C at a heating rate of 0.5°C/min. Resolutions Pro 4.1 (Varian Inc.) software was used to analyze the data </w:t>
      </w:r>
      <w:r>
        <w:rPr>
          <w:lang w:val="en-US"/>
        </w:rPr>
        <w:fldChar w:fldCharType="begin"/>
      </w:r>
      <w:r w:rsidR="007C3991">
        <w:rPr>
          <w:lang w:val="en-US"/>
        </w:rPr>
        <w:instrText xml:space="preserve"> ADDIN EN.CITE &lt;EndNote&gt;&lt;Cite&gt;&lt;Author&gt;Damien&lt;/Author&gt;&lt;Year&gt;2010&lt;/Year&gt;&lt;RecNum&gt;2&lt;/RecNum&gt;&lt;DisplayText&gt;(3)&lt;/DisplayText&gt;&lt;record&gt;&lt;rec-number&gt;2&lt;/rec-number&gt;&lt;foreign-keys&gt;&lt;key app="EN" db-id="tessxveejav0v2ez005v2rskevttd925ddvz" timestamp="1485512291"&gt;2&lt;/key&gt;&lt;/foreign-keys&gt;&lt;ref-type name="Journal Article"&gt;17&lt;/ref-type&gt;&lt;contributors&gt;&lt;authors&gt;&lt;author&gt;Damien, F.&lt;/author&gt;&lt;author&gt;Boncheva, M.&lt;/author&gt;&lt;/authors&gt;&lt;/contributors&gt;&lt;titles&gt;&lt;title&gt;The extent of orthorhombic lipid phases in the stratum corneum determines the barrier efficiency of human skin in vivo&lt;/title&gt;&lt;secondary-title&gt;J. Invest Dermatol&lt;/secondary-title&gt;&lt;/titles&gt;&lt;periodical&gt;&lt;full-title&gt;J. Invest Dermatol&lt;/full-title&gt;&lt;/periodical&gt;&lt;pages&gt;611-614&lt;/pages&gt;&lt;volume&gt;130&lt;/volume&gt;&lt;number&gt;2&lt;/number&gt;&lt;reprint-edition&gt;Not in File&lt;/reprint-edition&gt;&lt;keywords&gt;&lt;keyword&gt;Administration,Topical&lt;/keyword&gt;&lt;keyword&gt;Adult&lt;/keyword&gt;&lt;keyword&gt;Aged&lt;/keyword&gt;&lt;keyword&gt;chemistry&lt;/keyword&gt;&lt;keyword&gt;Drug Delivery Systems&lt;/keyword&gt;&lt;keyword&gt;Epidermis&lt;/keyword&gt;&lt;keyword&gt;Female&lt;/keyword&gt;&lt;keyword&gt;Humans&lt;/keyword&gt;&lt;keyword&gt;Lipids&lt;/keyword&gt;&lt;keyword&gt;Male&lt;/keyword&gt;&lt;keyword&gt;metabolism&lt;/keyword&gt;&lt;keyword&gt;methods&lt;/keyword&gt;&lt;keyword&gt;Middle Aged&lt;/keyword&gt;&lt;keyword&gt;Skin&lt;/keyword&gt;&lt;keyword&gt;Skin Physiological Phenomena&lt;/keyword&gt;&lt;keyword&gt;Spectroscopy,Fourier Transform Infrared&lt;/keyword&gt;&lt;keyword&gt;Water&lt;/keyword&gt;&lt;/keywords&gt;&lt;dates&gt;&lt;year&gt;2010&lt;/year&gt;&lt;pub-dates&gt;&lt;date&gt;2/2010&lt;/date&gt;&lt;/pub-dates&gt;&lt;/dates&gt;&lt;label&gt;44&lt;/label&gt;&lt;urls&gt;&lt;related-urls&gt;&lt;url&gt;http://www.ncbi.nlm.nih.gov/pubmed/19727117&lt;/url&gt;&lt;/related-urls&gt;&lt;/urls&gt;&lt;electronic-resource-num&gt;jid2009272 [pii];10.1038/jid.2009.272 [doi]&lt;/electronic-resource-num&gt;&lt;/record&gt;&lt;/Cite&gt;&lt;/EndNote&gt;</w:instrText>
      </w:r>
      <w:r>
        <w:rPr>
          <w:lang w:val="en-US"/>
        </w:rPr>
        <w:fldChar w:fldCharType="separate"/>
      </w:r>
      <w:r w:rsidR="007C3991">
        <w:rPr>
          <w:noProof/>
          <w:lang w:val="en-US"/>
        </w:rPr>
        <w:t>(3)</w:t>
      </w:r>
      <w:r>
        <w:rPr>
          <w:lang w:val="en-US"/>
        </w:rPr>
        <w:fldChar w:fldCharType="end"/>
      </w:r>
      <w:r>
        <w:rPr>
          <w:lang w:val="en-US"/>
        </w:rPr>
        <w:t>.</w:t>
      </w:r>
    </w:p>
    <w:p w:rsidR="00FF2A85" w:rsidRPr="00C80E10" w:rsidRDefault="00FF2A85" w:rsidP="007C3991">
      <w:pPr>
        <w:jc w:val="both"/>
        <w:rPr>
          <w:lang w:val="en-US"/>
        </w:rPr>
      </w:pPr>
      <w:r w:rsidRPr="00B714E9">
        <w:rPr>
          <w:lang w:val="en-US"/>
        </w:rPr>
        <w:t>Th</w:t>
      </w:r>
      <w:r>
        <w:rPr>
          <w:lang w:val="en-US"/>
        </w:rPr>
        <w:t>e peak positions of the CH</w:t>
      </w:r>
      <w:r>
        <w:rPr>
          <w:vertAlign w:val="subscript"/>
          <w:lang w:val="en-US"/>
        </w:rPr>
        <w:t>2</w:t>
      </w:r>
      <w:r>
        <w:rPr>
          <w:lang w:val="en-US"/>
        </w:rPr>
        <w:t xml:space="preserve"> symmetric and CD</w:t>
      </w:r>
      <w:r>
        <w:rPr>
          <w:vertAlign w:val="subscript"/>
          <w:lang w:val="en-US"/>
        </w:rPr>
        <w:t>2</w:t>
      </w:r>
      <w:r>
        <w:rPr>
          <w:lang w:val="en-US"/>
        </w:rPr>
        <w:t xml:space="preserve"> asymmetric stretching vibrations in the FTIR spectra were used to determine the onset temperature of the ordered-disordered transition. Two regression lines were fitted to the linear parts of the graph obtained after plotting the peak positions against temperature. The intercept of the two regression lines determines the onset transition temperature, as described before </w:t>
      </w:r>
      <w:r>
        <w:rPr>
          <w:lang w:val="en-US"/>
        </w:rPr>
        <w:fldChar w:fldCharType="begin"/>
      </w:r>
      <w:r w:rsidR="007C3991">
        <w:rPr>
          <w:lang w:val="en-US"/>
        </w:rPr>
        <w:instrText xml:space="preserve"> ADDIN EN.CITE &lt;EndNote&gt;&lt;Cite&gt;&lt;Author&gt;Berkers&lt;/Author&gt;&lt;Year&gt;2016&lt;/Year&gt;&lt;RecNum&gt;27&lt;/RecNum&gt;&lt;DisplayText&gt;(2)&lt;/DisplayText&gt;&lt;record&gt;&lt;rec-number&gt;27&lt;/rec-number&gt;&lt;foreign-keys&gt;&lt;key app="EN" db-id="tessxveejav0v2ez005v2rskevttd925ddvz" timestamp="1485512291"&gt;27&lt;/key&gt;&lt;/foreign-keys&gt;&lt;ref-type name="Journal Article"&gt;17&lt;/ref-type&gt;&lt;contributors&gt;&lt;authors&gt;&lt;author&gt;Berkers, T.&lt;/author&gt;&lt;author&gt;van Dijk, L.&lt;/author&gt;&lt;author&gt;Absalah, S.&lt;/author&gt;&lt;author&gt;van Smeden, J.&lt;/author&gt;&lt;author&gt;Bouwstra, J.A.&lt;/author&gt;&lt;/authors&gt;&lt;/contributors&gt;&lt;auth-address&gt;Department of Drug Delivery Technology, Leiden Academic Centre for Drug Research, Leiden University, Leiden, 2333 CC, The Netherlands&amp;#xD;Department of Drug Delivery Technology, Leiden Academic Centre for Drug Research, Leiden University, Leiden, 2333 CC, The Netherlands&amp;#xD;Department of Drug Delivery Technology, Leiden Academic Centre for Drug Research, Leiden University, Leiden, 2333 CC, The Netherlands&amp;#xD;Department of Drug Delivery Technology, Leiden Academic Centre for Drug Research, Leiden University, Leiden, 2333 CC, The Netherlands&amp;#xD;Department of Drug Delivery Technology, Leiden Academic Centre for Drug Research, Leiden University, Leiden, 2333 CC, The Netherlands&lt;/auth-address&gt;&lt;titles&gt;&lt;title&gt;Topically applied fatty acids are elongated before incorporation in the stratum corneum lipid matrix in compromised skin&lt;/title&gt;&lt;secondary-title&gt;Exp. Dermatol&lt;/secondary-title&gt;&lt;/titles&gt;&lt;periodical&gt;&lt;full-title&gt;Exp. Dermatol&lt;/full-title&gt;&lt;/periodical&gt;&lt;reprint-edition&gt;Not in File&lt;/reprint-edition&gt;&lt;keywords&gt;&lt;keyword&gt;biosynthesis&lt;/keyword&gt;&lt;keyword&gt;Fatty Acids&lt;/keyword&gt;&lt;keyword&gt;Lipids&lt;/keyword&gt;&lt;keyword&gt;Skin&lt;/keyword&gt;&lt;keyword&gt;Skin Diseases&lt;/keyword&gt;&lt;keyword&gt;Vernix Caseosa&lt;/keyword&gt;&lt;/keywords&gt;&lt;dates&gt;&lt;year&gt;2016&lt;/year&gt;&lt;pub-dates&gt;&lt;date&gt;6/16/2016&lt;/date&gt;&lt;/pub-dates&gt;&lt;/dates&gt;&lt;label&gt;91&lt;/label&gt;&lt;urls&gt;&lt;related-urls&gt;&lt;url&gt;http://www.ncbi.nlm.nih.gov/pubmed/27305861&lt;/url&gt;&lt;/related-urls&gt;&lt;/urls&gt;&lt;electronic-resource-num&gt;10.1111/exd.13116 [doi]&lt;/electronic-resource-num&gt;&lt;/record&gt;&lt;/Cite&gt;&lt;/EndNote&gt;</w:instrText>
      </w:r>
      <w:r>
        <w:rPr>
          <w:lang w:val="en-US"/>
        </w:rPr>
        <w:fldChar w:fldCharType="separate"/>
      </w:r>
      <w:r w:rsidR="007C3991">
        <w:rPr>
          <w:noProof/>
          <w:lang w:val="en-US"/>
        </w:rPr>
        <w:t>(2)</w:t>
      </w:r>
      <w:r>
        <w:rPr>
          <w:lang w:val="en-US"/>
        </w:rPr>
        <w:fldChar w:fldCharType="end"/>
      </w:r>
      <w:r>
        <w:rPr>
          <w:lang w:val="en-US"/>
        </w:rPr>
        <w:t>. The end of the ordered-disordered phase transition was determined in the same manner as the onset transition temperature.</w:t>
      </w:r>
    </w:p>
    <w:p w:rsidR="00FF2A85" w:rsidRPr="00C80E10" w:rsidRDefault="00FF2A85" w:rsidP="00FF2A85">
      <w:pPr>
        <w:jc w:val="both"/>
        <w:rPr>
          <w:lang w:val="en-US"/>
        </w:rPr>
      </w:pPr>
    </w:p>
    <w:p w:rsidR="00FF2A85" w:rsidRPr="00C80E10" w:rsidRDefault="00FF2A85" w:rsidP="00FF2A85">
      <w:pPr>
        <w:jc w:val="both"/>
        <w:rPr>
          <w:u w:val="single"/>
          <w:lang w:val="en-US"/>
        </w:rPr>
      </w:pPr>
      <w:r w:rsidRPr="00C80E10">
        <w:rPr>
          <w:u w:val="single"/>
          <w:lang w:val="en-US"/>
        </w:rPr>
        <w:t>Small angle X-ray diffraction</w:t>
      </w:r>
    </w:p>
    <w:p w:rsidR="00FF2A85" w:rsidRPr="00C80E10" w:rsidRDefault="00FF2A85" w:rsidP="007C3991">
      <w:pPr>
        <w:autoSpaceDE w:val="0"/>
        <w:autoSpaceDN w:val="0"/>
        <w:adjustRightInd w:val="0"/>
        <w:jc w:val="both"/>
        <w:rPr>
          <w:lang w:val="en-US"/>
        </w:rPr>
      </w:pPr>
      <w:r w:rsidRPr="00C80E10">
        <w:rPr>
          <w:lang w:val="en-US"/>
        </w:rPr>
        <w:t>The lamellar lipid organization was examined using small angle X-ray diffraction (SAXD). Measurements were performed at the European Synch</w:t>
      </w:r>
      <w:r>
        <w:rPr>
          <w:lang w:val="en-US"/>
        </w:rPr>
        <w:t>r</w:t>
      </w:r>
      <w:r w:rsidRPr="00C80E10">
        <w:rPr>
          <w:lang w:val="en-US"/>
        </w:rPr>
        <w:t xml:space="preserve">otron Radiation Facility (ESRF, Grenoble, France) at station BM26B. The SC samples were hydrated over a 27% NaBr solution during 24 hours prior to the measurements. SC samples were carefully oriented parallel to the X-ray beam in a custom made sample holder. SAXD patterns were detected with a </w:t>
      </w:r>
      <w:r>
        <w:rPr>
          <w:lang w:val="en-US"/>
        </w:rPr>
        <w:t xml:space="preserve">Pilatus 1M </w:t>
      </w:r>
      <w:r w:rsidRPr="00C80E10">
        <w:rPr>
          <w:lang w:val="en-US"/>
        </w:rPr>
        <w:t>detector at room temperature for a period of 5 or 10 min as described earlier</w:t>
      </w:r>
      <w:r>
        <w:rPr>
          <w:lang w:val="en-US"/>
        </w:rPr>
        <w:t xml:space="preserve"> </w:t>
      </w:r>
      <w:r>
        <w:rPr>
          <w:lang w:val="en-US"/>
        </w:rPr>
        <w:fldChar w:fldCharType="begin"/>
      </w:r>
      <w:r w:rsidR="007C3991">
        <w:rPr>
          <w:lang w:val="en-US"/>
        </w:rPr>
        <w:instrText xml:space="preserve"> ADDIN EN.CITE &lt;EndNote&gt;&lt;Cite&gt;&lt;Author&gt;Groen&lt;/Author&gt;&lt;Year&gt;2009&lt;/Year&gt;&lt;RecNum&gt;6&lt;/RecNum&gt;&lt;DisplayText&gt;(4)&lt;/DisplayText&gt;&lt;record&gt;&lt;rec-number&gt;6&lt;/rec-number&gt;&lt;foreign-keys&gt;&lt;key app="EN" db-id="tessxveejav0v2ez005v2rskevttd925ddvz" timestamp="1485512291"&gt;6&lt;/key&gt;&lt;/foreign-keys&gt;&lt;ref-type name="Journal Article"&gt;17&lt;/ref-type&gt;&lt;contributors&gt;&lt;authors&gt;&lt;author&gt;Groen, D.&lt;/author&gt;&lt;author&gt;Gooris, G.S.&lt;/author&gt;&lt;author&gt;Bouwstra, J.A.&lt;/author&gt;&lt;/authors&gt;&lt;/contributors&gt;&lt;auth-address&gt;Leiden/Amsterdam Center for Drug Research, Department of Drug Delivery Technology, Gorlaeus Laboratories, University of Leiden, Leiden, The Netherlands&lt;/auth-address&gt;&lt;titles&gt;&lt;title&gt;New insights into the stratum corneum lipid organization by X-ray diffraction analysis&lt;/title&gt;&lt;secondary-title&gt;Biophys. J&lt;/secondary-title&gt;&lt;/titles&gt;&lt;periodical&gt;&lt;full-title&gt;Biophys. J&lt;/full-title&gt;&lt;/periodical&gt;&lt;pages&gt;2242-2249&lt;/pages&gt;&lt;volume&gt;97&lt;/volume&gt;&lt;number&gt;8&lt;/number&gt;&lt;reprint-edition&gt;Not in File&lt;/reprint-edition&gt;&lt;keywords&gt;&lt;keyword&gt;Algorithms&lt;/keyword&gt;&lt;keyword&gt;analysis&lt;/keyword&gt;&lt;keyword&gt;Animals&lt;/keyword&gt;&lt;keyword&gt;Cells,Cultured&lt;/keyword&gt;&lt;keyword&gt;chemistry&lt;/keyword&gt;&lt;keyword&gt;Electrons&lt;/keyword&gt;&lt;keyword&gt;Epidermis&lt;/keyword&gt;&lt;keyword&gt;Fourier Analysis&lt;/keyword&gt;&lt;keyword&gt;Humans&lt;/keyword&gt;&lt;keyword&gt;Lipids&lt;/keyword&gt;&lt;keyword&gt;Mice&lt;/keyword&gt;&lt;keyword&gt;Models,Biological&lt;/keyword&gt;&lt;keyword&gt;Scattering,Small Angle&lt;/keyword&gt;&lt;keyword&gt;Skin&lt;/keyword&gt;&lt;keyword&gt;Swine&lt;/keyword&gt;&lt;keyword&gt;X-Ray Diffraction&lt;/keyword&gt;&lt;/keywords&gt;&lt;dates&gt;&lt;year&gt;2009&lt;/year&gt;&lt;pub-dates&gt;&lt;date&gt;10/21/2009&lt;/date&gt;&lt;/pub-dates&gt;&lt;/dates&gt;&lt;label&gt;43&lt;/label&gt;&lt;urls&gt;&lt;related-urls&gt;&lt;url&gt;http://www.ncbi.nlm.nih.gov/pubmed/19843456&lt;/url&gt;&lt;/related-urls&gt;&lt;/urls&gt;&lt;electronic-resource-num&gt;S0006-3495(09)01303-4 [pii];10.1016/j.bpj.2009.07.040 [doi]&lt;/electronic-resource-num&gt;&lt;/record&gt;&lt;/Cite&gt;&lt;/EndNote&gt;</w:instrText>
      </w:r>
      <w:r>
        <w:rPr>
          <w:lang w:val="en-US"/>
        </w:rPr>
        <w:fldChar w:fldCharType="separate"/>
      </w:r>
      <w:r w:rsidR="007C3991">
        <w:rPr>
          <w:noProof/>
          <w:lang w:val="en-US"/>
        </w:rPr>
        <w:t>(4)</w:t>
      </w:r>
      <w:r>
        <w:rPr>
          <w:lang w:val="en-US"/>
        </w:rPr>
        <w:fldChar w:fldCharType="end"/>
      </w:r>
      <w:r>
        <w:rPr>
          <w:lang w:val="en-US"/>
        </w:rPr>
        <w:t>.</w:t>
      </w:r>
      <w:r w:rsidRPr="00C80E10">
        <w:rPr>
          <w:lang w:val="en-US"/>
        </w:rPr>
        <w:t xml:space="preserve"> The scattering vector (q) was calculated from the scattering angle (Θ) and the wavelength (λ) by </w:t>
      </w:r>
      <w:r w:rsidRPr="00C80E10">
        <w:rPr>
          <w:i/>
          <w:lang w:val="en-US"/>
        </w:rPr>
        <w:t>q=4π sin Θ/λ</w:t>
      </w:r>
      <w:r w:rsidRPr="00C80E10">
        <w:rPr>
          <w:lang w:val="en-US"/>
        </w:rPr>
        <w:t xml:space="preserve">. From the position of the peak maxima (q), the </w:t>
      </w:r>
      <w:r>
        <w:rPr>
          <w:lang w:val="en-US"/>
        </w:rPr>
        <w:t>spacing</w:t>
      </w:r>
      <w:r w:rsidRPr="00C80E10">
        <w:rPr>
          <w:lang w:val="en-US"/>
        </w:rPr>
        <w:t xml:space="preserve"> of the lamellar phase can be calculated using </w:t>
      </w:r>
      <w:r>
        <w:rPr>
          <w:i/>
          <w:lang w:val="en-US"/>
        </w:rPr>
        <w:t>2</w:t>
      </w:r>
      <w:r w:rsidRPr="00C80E10">
        <w:rPr>
          <w:i/>
          <w:lang w:val="en-US"/>
        </w:rPr>
        <w:t>π/</w:t>
      </w:r>
      <w:r>
        <w:rPr>
          <w:i/>
          <w:lang w:val="en-US"/>
        </w:rPr>
        <w:t>q</w:t>
      </w:r>
      <w:r w:rsidRPr="00C80E10">
        <w:rPr>
          <w:lang w:val="en-US"/>
        </w:rPr>
        <w:t xml:space="preserve">. A peak positioned at a lower q-value corresponds to a </w:t>
      </w:r>
      <w:r>
        <w:rPr>
          <w:lang w:val="en-US"/>
        </w:rPr>
        <w:t>larger spacing</w:t>
      </w:r>
      <w:r w:rsidRPr="00C80E10">
        <w:rPr>
          <w:lang w:val="en-US"/>
        </w:rPr>
        <w:t xml:space="preserve"> of the lipid lamellae.</w:t>
      </w:r>
    </w:p>
    <w:p w:rsidR="00FF2A85" w:rsidRPr="00FD5038" w:rsidRDefault="00FF2A85" w:rsidP="00FF2A85">
      <w:pPr>
        <w:jc w:val="both"/>
        <w:rPr>
          <w:lang w:val="en-US"/>
        </w:rPr>
      </w:pPr>
    </w:p>
    <w:p w:rsidR="00FF2A85" w:rsidRDefault="00FF2A85" w:rsidP="00FF2A85">
      <w:pPr>
        <w:jc w:val="both"/>
        <w:rPr>
          <w:b/>
          <w:u w:val="single"/>
        </w:rPr>
      </w:pPr>
      <w:r w:rsidRPr="00FD5038">
        <w:rPr>
          <w:b/>
          <w:u w:val="single"/>
          <w:lang w:val="en-US"/>
        </w:rPr>
        <w:t>Results</w:t>
      </w:r>
    </w:p>
    <w:p w:rsidR="00FF2A85" w:rsidRPr="00392DD4" w:rsidRDefault="00FF2A85" w:rsidP="00FF2A85">
      <w:pPr>
        <w:jc w:val="both"/>
      </w:pPr>
      <w:r>
        <w:rPr>
          <w:noProof/>
          <w:lang w:eastAsia="nl-NL"/>
        </w:rPr>
        <w:drawing>
          <wp:inline distT="0" distB="0" distL="0" distR="0" wp14:anchorId="132676C2" wp14:editId="45A6A9A6">
            <wp:extent cx="3026664" cy="1795272"/>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2_rock_form_Sup_v3-0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6664" cy="1795272"/>
                    </a:xfrm>
                    <a:prstGeom prst="rect">
                      <a:avLst/>
                    </a:prstGeom>
                  </pic:spPr>
                </pic:pic>
              </a:graphicData>
            </a:graphic>
          </wp:inline>
        </w:drawing>
      </w:r>
    </w:p>
    <w:p w:rsidR="00FF2A85" w:rsidRDefault="00FF2A85" w:rsidP="00FF2A85">
      <w:pPr>
        <w:pStyle w:val="Caption"/>
        <w:spacing w:after="0" w:line="276" w:lineRule="auto"/>
        <w:jc w:val="both"/>
        <w:rPr>
          <w:b w:val="0"/>
          <w:color w:val="auto"/>
          <w:lang w:val="en-US"/>
        </w:rPr>
      </w:pPr>
      <w:r w:rsidRPr="000D4E37">
        <w:rPr>
          <w:color w:val="auto"/>
          <w:lang w:val="en-US"/>
        </w:rPr>
        <w:t>Supplementary Figure 1.</w:t>
      </w:r>
      <w:r w:rsidRPr="00392DD4">
        <w:rPr>
          <w:b w:val="0"/>
          <w:color w:val="auto"/>
          <w:lang w:val="en-US"/>
        </w:rPr>
        <w:t xml:space="preserve"> FTIR</w:t>
      </w:r>
      <w:r w:rsidRPr="00C80E10">
        <w:rPr>
          <w:b w:val="0"/>
          <w:color w:val="auto"/>
          <w:lang w:val="en-US"/>
        </w:rPr>
        <w:t xml:space="preserve"> spectra showing CH</w:t>
      </w:r>
      <w:r w:rsidRPr="00C80E10">
        <w:rPr>
          <w:b w:val="0"/>
          <w:color w:val="auto"/>
          <w:vertAlign w:val="subscript"/>
          <w:lang w:val="en-US"/>
        </w:rPr>
        <w:t>2</w:t>
      </w:r>
      <w:r w:rsidRPr="00C80E10">
        <w:rPr>
          <w:b w:val="0"/>
          <w:color w:val="auto"/>
          <w:lang w:val="en-US"/>
        </w:rPr>
        <w:t xml:space="preserve"> rocking vibrations of </w:t>
      </w:r>
      <w:r>
        <w:rPr>
          <w:b w:val="0"/>
          <w:color w:val="auto"/>
          <w:lang w:val="en-US"/>
        </w:rPr>
        <w:t xml:space="preserve">pure CER as a function of temperature (0-60°C) </w:t>
      </w:r>
      <w:r w:rsidRPr="000A3808">
        <w:rPr>
          <w:color w:val="auto"/>
          <w:lang w:val="en-US"/>
        </w:rPr>
        <w:t>A)</w:t>
      </w:r>
      <w:r w:rsidRPr="000A3808">
        <w:rPr>
          <w:b w:val="0"/>
          <w:color w:val="auto"/>
          <w:lang w:val="en-US"/>
        </w:rPr>
        <w:t xml:space="preserve"> </w:t>
      </w:r>
      <w:r w:rsidRPr="00392DD4">
        <w:rPr>
          <w:b w:val="0"/>
          <w:color w:val="auto"/>
          <w:lang w:val="en-US"/>
        </w:rPr>
        <w:t>CER EOS,</w:t>
      </w:r>
      <w:r>
        <w:rPr>
          <w:b w:val="0"/>
          <w:color w:val="auto"/>
          <w:lang w:val="en-US"/>
        </w:rPr>
        <w:t xml:space="preserve"> characterized by a doublet with vibrations at around 719 and 730 cm</w:t>
      </w:r>
      <w:r>
        <w:rPr>
          <w:b w:val="0"/>
          <w:color w:val="auto"/>
          <w:vertAlign w:val="superscript"/>
          <w:lang w:val="en-US"/>
        </w:rPr>
        <w:t>-1</w:t>
      </w:r>
      <w:r>
        <w:rPr>
          <w:color w:val="auto"/>
          <w:lang w:val="en-US"/>
        </w:rPr>
        <w:t xml:space="preserve"> B)</w:t>
      </w:r>
      <w:r w:rsidRPr="00EF5225">
        <w:rPr>
          <w:b w:val="0"/>
          <w:color w:val="auto"/>
          <w:lang w:val="en-US"/>
        </w:rPr>
        <w:t xml:space="preserve"> </w:t>
      </w:r>
      <w:r>
        <w:rPr>
          <w:b w:val="0"/>
          <w:color w:val="auto"/>
          <w:lang w:val="en-US"/>
        </w:rPr>
        <w:t>C</w:t>
      </w:r>
      <w:r w:rsidRPr="00392DD4">
        <w:rPr>
          <w:b w:val="0"/>
          <w:color w:val="auto"/>
          <w:lang w:val="en-US"/>
        </w:rPr>
        <w:t>ER NS</w:t>
      </w:r>
      <w:r>
        <w:rPr>
          <w:b w:val="0"/>
          <w:color w:val="auto"/>
          <w:lang w:val="en-US"/>
        </w:rPr>
        <w:t>, characterized by a singlet at a wavenumber of around 719 cm</w:t>
      </w:r>
      <w:r>
        <w:rPr>
          <w:b w:val="0"/>
          <w:color w:val="auto"/>
          <w:vertAlign w:val="superscript"/>
          <w:lang w:val="en-US"/>
        </w:rPr>
        <w:t>-1</w:t>
      </w:r>
      <w:r>
        <w:rPr>
          <w:b w:val="0"/>
          <w:color w:val="auto"/>
          <w:lang w:val="en-US"/>
        </w:rPr>
        <w:t>.</w:t>
      </w:r>
    </w:p>
    <w:p w:rsidR="00FF2A85" w:rsidRPr="00EA49C8" w:rsidRDefault="00FF2A85" w:rsidP="00FF2A85">
      <w:pPr>
        <w:jc w:val="both"/>
        <w:rPr>
          <w:lang w:val="en-US"/>
        </w:rPr>
      </w:pPr>
    </w:p>
    <w:p w:rsidR="00FF2A85" w:rsidRDefault="00FF2A85" w:rsidP="00FF2A85">
      <w:pPr>
        <w:pStyle w:val="Caption"/>
        <w:spacing w:after="0" w:line="276" w:lineRule="auto"/>
        <w:jc w:val="both"/>
        <w:rPr>
          <w:color w:val="auto"/>
          <w:sz w:val="22"/>
          <w:lang w:val="en-US"/>
        </w:rPr>
      </w:pPr>
      <w:r>
        <w:rPr>
          <w:noProof/>
          <w:color w:val="auto"/>
          <w:sz w:val="22"/>
          <w:lang w:eastAsia="nl-NL"/>
        </w:rPr>
        <w:lastRenderedPageBreak/>
        <w:drawing>
          <wp:inline distT="0" distB="0" distL="0" distR="0" wp14:anchorId="25C70F7C" wp14:editId="60A9DB24">
            <wp:extent cx="2584949" cy="3900549"/>
            <wp:effectExtent l="0" t="0" r="635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H2_rock_native SC_v3-01.tif"/>
                    <pic:cNvPicPr/>
                  </pic:nvPicPr>
                  <pic:blipFill>
                    <a:blip r:embed="rId8">
                      <a:extLst>
                        <a:ext uri="{28A0092B-C50C-407E-A947-70E740481C1C}">
                          <a14:useLocalDpi xmlns:a14="http://schemas.microsoft.com/office/drawing/2010/main" val="0"/>
                        </a:ext>
                      </a:extLst>
                    </a:blip>
                    <a:stretch>
                      <a:fillRect/>
                    </a:stretch>
                  </pic:blipFill>
                  <pic:spPr>
                    <a:xfrm>
                      <a:off x="0" y="0"/>
                      <a:ext cx="2592777" cy="3912360"/>
                    </a:xfrm>
                    <a:prstGeom prst="rect">
                      <a:avLst/>
                    </a:prstGeom>
                  </pic:spPr>
                </pic:pic>
              </a:graphicData>
            </a:graphic>
          </wp:inline>
        </w:drawing>
      </w:r>
    </w:p>
    <w:p w:rsidR="00FF2A85" w:rsidRPr="00EA49C8" w:rsidRDefault="00FF2A85" w:rsidP="00FF2A85">
      <w:pPr>
        <w:jc w:val="both"/>
        <w:rPr>
          <w:sz w:val="18"/>
          <w:szCs w:val="18"/>
          <w:lang w:val="en-US"/>
        </w:rPr>
      </w:pPr>
      <w:r w:rsidRPr="00C05564">
        <w:rPr>
          <w:b/>
          <w:sz w:val="18"/>
          <w:lang w:val="en-US"/>
        </w:rPr>
        <w:t>Supplementary Figu</w:t>
      </w:r>
      <w:r w:rsidRPr="00EA49C8">
        <w:rPr>
          <w:b/>
          <w:sz w:val="18"/>
          <w:szCs w:val="18"/>
          <w:lang w:val="en-US"/>
        </w:rPr>
        <w:t>re 2</w:t>
      </w:r>
      <w:r w:rsidRPr="00903B28">
        <w:rPr>
          <w:b/>
          <w:sz w:val="18"/>
          <w:szCs w:val="18"/>
          <w:lang w:val="en-US"/>
        </w:rPr>
        <w:t>.</w:t>
      </w:r>
      <w:r w:rsidRPr="00EA49C8">
        <w:rPr>
          <w:sz w:val="18"/>
          <w:szCs w:val="18"/>
          <w:lang w:val="en-US"/>
        </w:rPr>
        <w:t xml:space="preserve"> FTIR spectrum</w:t>
      </w:r>
      <w:r w:rsidRPr="00903B28">
        <w:rPr>
          <w:sz w:val="18"/>
          <w:szCs w:val="18"/>
          <w:lang w:val="en-US"/>
        </w:rPr>
        <w:t xml:space="preserve"> showing CH</w:t>
      </w:r>
      <w:r w:rsidRPr="00903B28">
        <w:rPr>
          <w:sz w:val="18"/>
          <w:szCs w:val="18"/>
          <w:vertAlign w:val="subscript"/>
          <w:lang w:val="en-US"/>
        </w:rPr>
        <w:t>2</w:t>
      </w:r>
      <w:r w:rsidRPr="00903B28">
        <w:rPr>
          <w:sz w:val="18"/>
          <w:szCs w:val="18"/>
          <w:lang w:val="en-US"/>
        </w:rPr>
        <w:t xml:space="preserve"> rocking vibrations of </w:t>
      </w:r>
      <w:r>
        <w:rPr>
          <w:sz w:val="18"/>
          <w:szCs w:val="18"/>
          <w:lang w:val="en-US"/>
        </w:rPr>
        <w:t xml:space="preserve">native </w:t>
      </w:r>
      <w:r w:rsidRPr="00EA49C8">
        <w:rPr>
          <w:sz w:val="18"/>
          <w:szCs w:val="18"/>
          <w:lang w:val="en-US"/>
        </w:rPr>
        <w:t>SC. Two strong peaks are observed at wavenumbers of around 719 and 730 cm</w:t>
      </w:r>
      <w:r w:rsidRPr="00EA49C8">
        <w:rPr>
          <w:sz w:val="18"/>
          <w:szCs w:val="18"/>
          <w:vertAlign w:val="superscript"/>
          <w:lang w:val="en-US"/>
        </w:rPr>
        <w:t>-1</w:t>
      </w:r>
      <w:r w:rsidRPr="00EA49C8">
        <w:rPr>
          <w:sz w:val="18"/>
          <w:szCs w:val="18"/>
          <w:lang w:val="en-US"/>
        </w:rPr>
        <w:t xml:space="preserve">. </w:t>
      </w:r>
      <w:r w:rsidRPr="0095473B">
        <w:rPr>
          <w:sz w:val="18"/>
          <w:szCs w:val="18"/>
          <w:lang w:val="en-US"/>
        </w:rPr>
        <w:t>The intensity of the peak at 730 cm</w:t>
      </w:r>
      <w:r w:rsidRPr="0095473B">
        <w:rPr>
          <w:sz w:val="18"/>
          <w:szCs w:val="18"/>
          <w:vertAlign w:val="superscript"/>
          <w:lang w:val="en-US"/>
        </w:rPr>
        <w:t>-1</w:t>
      </w:r>
      <w:r w:rsidRPr="0095473B">
        <w:rPr>
          <w:sz w:val="18"/>
          <w:szCs w:val="18"/>
          <w:lang w:val="en-US"/>
        </w:rPr>
        <w:t xml:space="preserve"> started to decrease at a temperature of around 30°C and the contour disappeared at 48°C. This change in rocking profile is indicative for the orthorhombic to hexagonal phase transition.</w:t>
      </w:r>
    </w:p>
    <w:p w:rsidR="00FF2A85" w:rsidRDefault="00FF2A85" w:rsidP="00FF2A85">
      <w:pPr>
        <w:jc w:val="both"/>
        <w:rPr>
          <w:noProof/>
          <w:lang w:val="en-US" w:eastAsia="nl-NL"/>
        </w:rPr>
      </w:pPr>
    </w:p>
    <w:p w:rsidR="00FF2A85" w:rsidRDefault="00FF2A85" w:rsidP="00FF2A85">
      <w:pPr>
        <w:jc w:val="both"/>
        <w:rPr>
          <w:noProof/>
          <w:lang w:val="en-US" w:eastAsia="nl-NL"/>
        </w:rPr>
      </w:pPr>
      <w:r>
        <w:rPr>
          <w:noProof/>
          <w:lang w:eastAsia="nl-NL"/>
        </w:rPr>
        <w:drawing>
          <wp:inline distT="0" distB="0" distL="0" distR="0" wp14:anchorId="6F48DEC6" wp14:editId="599744F2">
            <wp:extent cx="2051050" cy="2350327"/>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D2_sym stretch_form combi dfa_Sup_v2-0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6772" cy="2356884"/>
                    </a:xfrm>
                    <a:prstGeom prst="rect">
                      <a:avLst/>
                    </a:prstGeom>
                  </pic:spPr>
                </pic:pic>
              </a:graphicData>
            </a:graphic>
          </wp:inline>
        </w:drawing>
      </w:r>
    </w:p>
    <w:p w:rsidR="00FF2A85" w:rsidRDefault="00FF2A85" w:rsidP="00FF2A85">
      <w:pPr>
        <w:jc w:val="both"/>
        <w:rPr>
          <w:sz w:val="18"/>
          <w:szCs w:val="18"/>
          <w:lang w:val="en-US"/>
        </w:rPr>
      </w:pPr>
      <w:r w:rsidRPr="00C05564">
        <w:rPr>
          <w:b/>
          <w:sz w:val="18"/>
          <w:lang w:val="en-US"/>
        </w:rPr>
        <w:t>Supplementary Figu</w:t>
      </w:r>
      <w:r w:rsidRPr="00EA49C8">
        <w:rPr>
          <w:b/>
          <w:sz w:val="18"/>
          <w:szCs w:val="18"/>
          <w:lang w:val="en-US"/>
        </w:rPr>
        <w:t xml:space="preserve">re </w:t>
      </w:r>
      <w:r>
        <w:rPr>
          <w:b/>
          <w:sz w:val="18"/>
          <w:szCs w:val="18"/>
          <w:lang w:val="en-US"/>
        </w:rPr>
        <w:t>3</w:t>
      </w:r>
      <w:r w:rsidRPr="00903B28">
        <w:rPr>
          <w:b/>
          <w:sz w:val="18"/>
          <w:szCs w:val="18"/>
          <w:lang w:val="en-US"/>
        </w:rPr>
        <w:t>.</w:t>
      </w:r>
      <w:r>
        <w:rPr>
          <w:sz w:val="18"/>
          <w:szCs w:val="18"/>
          <w:lang w:val="en-US"/>
        </w:rPr>
        <w:t xml:space="preserve"> FTIR spectrum showing CD</w:t>
      </w:r>
      <w:r w:rsidRPr="001A6CF3">
        <w:rPr>
          <w:sz w:val="18"/>
          <w:szCs w:val="18"/>
          <w:vertAlign w:val="subscript"/>
          <w:lang w:val="en-US"/>
        </w:rPr>
        <w:t>2</w:t>
      </w:r>
      <w:r>
        <w:rPr>
          <w:sz w:val="18"/>
          <w:szCs w:val="18"/>
          <w:lang w:val="en-US"/>
        </w:rPr>
        <w:t xml:space="preserve"> symmetric stretching vibrations of Form</w:t>
      </w:r>
      <w:r w:rsidRPr="001A6CF3">
        <w:rPr>
          <w:sz w:val="18"/>
          <w:szCs w:val="18"/>
          <w:vertAlign w:val="superscript"/>
          <w:lang w:val="en-US"/>
        </w:rPr>
        <w:t>COMBI(dFA)</w:t>
      </w:r>
      <w:r>
        <w:rPr>
          <w:sz w:val="18"/>
          <w:szCs w:val="18"/>
          <w:lang w:val="en-US"/>
        </w:rPr>
        <w:t xml:space="preserve">. </w:t>
      </w:r>
      <w:r w:rsidRPr="001A6CF3">
        <w:rPr>
          <w:sz w:val="18"/>
          <w:szCs w:val="18"/>
          <w:lang w:val="en-US"/>
        </w:rPr>
        <w:t xml:space="preserve">The shape of the peak indicatest </w:t>
      </w:r>
      <w:r>
        <w:rPr>
          <w:sz w:val="18"/>
          <w:szCs w:val="18"/>
          <w:lang w:val="en-US"/>
        </w:rPr>
        <w:t>t</w:t>
      </w:r>
      <w:r w:rsidRPr="001A6CF3">
        <w:rPr>
          <w:sz w:val="18"/>
          <w:szCs w:val="18"/>
          <w:lang w:val="en-US"/>
        </w:rPr>
        <w:t>he presence of t</w:t>
      </w:r>
      <w:r>
        <w:rPr>
          <w:sz w:val="18"/>
          <w:szCs w:val="18"/>
          <w:lang w:val="en-US"/>
        </w:rPr>
        <w:t>w</w:t>
      </w:r>
      <w:r w:rsidRPr="001A6CF3">
        <w:rPr>
          <w:sz w:val="18"/>
          <w:szCs w:val="18"/>
          <w:lang w:val="en-US"/>
        </w:rPr>
        <w:t>o type</w:t>
      </w:r>
      <w:r>
        <w:rPr>
          <w:sz w:val="18"/>
          <w:szCs w:val="18"/>
          <w:lang w:val="en-US"/>
        </w:rPr>
        <w:t>s</w:t>
      </w:r>
      <w:r w:rsidRPr="001A6CF3">
        <w:rPr>
          <w:sz w:val="18"/>
          <w:szCs w:val="18"/>
          <w:lang w:val="en-US"/>
        </w:rPr>
        <w:t xml:space="preserve"> of vibrations, 2090 cm</w:t>
      </w:r>
      <w:r w:rsidRPr="001A6CF3">
        <w:rPr>
          <w:sz w:val="18"/>
          <w:szCs w:val="18"/>
          <w:vertAlign w:val="superscript"/>
          <w:lang w:val="en-US"/>
        </w:rPr>
        <w:t>-1</w:t>
      </w:r>
      <w:r w:rsidRPr="001A6CF3">
        <w:rPr>
          <w:sz w:val="18"/>
          <w:szCs w:val="18"/>
          <w:lang w:val="en-US"/>
        </w:rPr>
        <w:t xml:space="preserve"> and 2086 cm</w:t>
      </w:r>
      <w:r w:rsidRPr="001A6CF3">
        <w:rPr>
          <w:sz w:val="18"/>
          <w:szCs w:val="18"/>
          <w:vertAlign w:val="superscript"/>
          <w:lang w:val="en-US"/>
        </w:rPr>
        <w:t>-1</w:t>
      </w:r>
      <w:r>
        <w:rPr>
          <w:sz w:val="18"/>
          <w:szCs w:val="18"/>
          <w:lang w:val="en-US"/>
        </w:rPr>
        <w:t xml:space="preserve">. </w:t>
      </w:r>
    </w:p>
    <w:p w:rsidR="00FF2A85" w:rsidRDefault="00FF2A85" w:rsidP="00FF2A85">
      <w:pPr>
        <w:jc w:val="both"/>
        <w:rPr>
          <w:b/>
          <w:sz w:val="18"/>
          <w:lang w:val="en-US"/>
        </w:rPr>
      </w:pPr>
      <w:r>
        <w:rPr>
          <w:b/>
          <w:noProof/>
          <w:sz w:val="18"/>
          <w:lang w:eastAsia="nl-NL"/>
        </w:rPr>
        <w:lastRenderedPageBreak/>
        <w:drawing>
          <wp:inline distT="0" distB="0" distL="0" distR="0" wp14:anchorId="1B3CCADD" wp14:editId="063F36B0">
            <wp:extent cx="4762500" cy="2570695"/>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XD_v5_small-01.tif"/>
                    <pic:cNvPicPr/>
                  </pic:nvPicPr>
                  <pic:blipFill>
                    <a:blip r:embed="rId10">
                      <a:extLst>
                        <a:ext uri="{28A0092B-C50C-407E-A947-70E740481C1C}">
                          <a14:useLocalDpi xmlns:a14="http://schemas.microsoft.com/office/drawing/2010/main" val="0"/>
                        </a:ext>
                      </a:extLst>
                    </a:blip>
                    <a:stretch>
                      <a:fillRect/>
                    </a:stretch>
                  </pic:blipFill>
                  <pic:spPr>
                    <a:xfrm>
                      <a:off x="0" y="0"/>
                      <a:ext cx="4769137" cy="2574277"/>
                    </a:xfrm>
                    <a:prstGeom prst="rect">
                      <a:avLst/>
                    </a:prstGeom>
                  </pic:spPr>
                </pic:pic>
              </a:graphicData>
            </a:graphic>
          </wp:inline>
        </w:drawing>
      </w:r>
    </w:p>
    <w:p w:rsidR="00FF2A85" w:rsidRPr="00EA49C8" w:rsidRDefault="00FF2A85" w:rsidP="00FF2A85">
      <w:pPr>
        <w:jc w:val="both"/>
        <w:rPr>
          <w:sz w:val="18"/>
          <w:szCs w:val="18"/>
          <w:lang w:val="en-US"/>
        </w:rPr>
      </w:pPr>
      <w:r w:rsidRPr="00C05564">
        <w:rPr>
          <w:b/>
          <w:sz w:val="18"/>
          <w:lang w:val="en-US"/>
        </w:rPr>
        <w:t>Supplementary Figu</w:t>
      </w:r>
      <w:r w:rsidRPr="00EA49C8">
        <w:rPr>
          <w:b/>
          <w:sz w:val="18"/>
          <w:szCs w:val="18"/>
          <w:lang w:val="en-US"/>
        </w:rPr>
        <w:t xml:space="preserve">re </w:t>
      </w:r>
      <w:r>
        <w:rPr>
          <w:b/>
          <w:sz w:val="18"/>
          <w:szCs w:val="18"/>
          <w:lang w:val="en-US"/>
        </w:rPr>
        <w:t>4</w:t>
      </w:r>
      <w:r w:rsidRPr="00903B28">
        <w:rPr>
          <w:b/>
          <w:sz w:val="18"/>
          <w:szCs w:val="18"/>
          <w:lang w:val="en-US"/>
        </w:rPr>
        <w:t>.</w:t>
      </w:r>
      <w:r w:rsidRPr="00EA49C8">
        <w:rPr>
          <w:sz w:val="18"/>
          <w:szCs w:val="18"/>
          <w:lang w:val="en-US"/>
        </w:rPr>
        <w:t xml:space="preserve"> X-ray diffraction patterns of native SC and regenerated SC with and without application of</w:t>
      </w:r>
      <w:r>
        <w:rPr>
          <w:sz w:val="18"/>
          <w:szCs w:val="18"/>
          <w:lang w:val="en-US"/>
        </w:rPr>
        <w:t xml:space="preserve"> </w:t>
      </w:r>
      <w:r w:rsidRPr="00EA49C8">
        <w:rPr>
          <w:sz w:val="18"/>
          <w:szCs w:val="18"/>
          <w:lang w:val="en-US"/>
        </w:rPr>
        <w:t xml:space="preserve">formulation. Both SPP and LPP attribute to the peaks at q=1. Phase separated CHOL is observed at q=1.8 and indicated by an asterisk. </w:t>
      </w:r>
      <w:r w:rsidRPr="00EA49C8">
        <w:rPr>
          <w:b/>
          <w:sz w:val="18"/>
          <w:szCs w:val="18"/>
          <w:lang w:val="en-US"/>
        </w:rPr>
        <w:t>A)</w:t>
      </w:r>
      <w:r w:rsidRPr="00EA49C8">
        <w:rPr>
          <w:sz w:val="18"/>
          <w:szCs w:val="18"/>
          <w:lang w:val="en-US"/>
        </w:rPr>
        <w:t xml:space="preserve"> SAXD profiles of native SC, regenerated SC, and regenerated SC with application of Form</w:t>
      </w:r>
      <w:r w:rsidRPr="00EA49C8">
        <w:rPr>
          <w:sz w:val="18"/>
          <w:szCs w:val="18"/>
          <w:vertAlign w:val="superscript"/>
          <w:lang w:val="en-US"/>
        </w:rPr>
        <w:t>EOS</w:t>
      </w:r>
      <w:r w:rsidRPr="00EA49C8">
        <w:rPr>
          <w:sz w:val="18"/>
          <w:szCs w:val="18"/>
          <w:lang w:val="en-US"/>
        </w:rPr>
        <w:t xml:space="preserve"> and Form</w:t>
      </w:r>
      <w:r w:rsidRPr="00EA49C8">
        <w:rPr>
          <w:sz w:val="18"/>
          <w:szCs w:val="18"/>
          <w:vertAlign w:val="superscript"/>
          <w:lang w:val="en-US"/>
        </w:rPr>
        <w:t>NS</w:t>
      </w:r>
      <w:r w:rsidRPr="00EA49C8">
        <w:rPr>
          <w:sz w:val="18"/>
          <w:szCs w:val="18"/>
          <w:lang w:val="en-US"/>
        </w:rPr>
        <w:t xml:space="preserve">, </w:t>
      </w:r>
      <w:r w:rsidRPr="00EA49C8">
        <w:rPr>
          <w:b/>
          <w:sz w:val="18"/>
          <w:szCs w:val="18"/>
          <w:lang w:val="en-US"/>
        </w:rPr>
        <w:t>B)</w:t>
      </w:r>
      <w:r>
        <w:rPr>
          <w:sz w:val="18"/>
          <w:szCs w:val="18"/>
          <w:lang w:val="en-US"/>
        </w:rPr>
        <w:t xml:space="preserve"> </w:t>
      </w:r>
      <w:r w:rsidRPr="00EA49C8">
        <w:rPr>
          <w:sz w:val="18"/>
          <w:szCs w:val="18"/>
          <w:lang w:val="en-US"/>
        </w:rPr>
        <w:t>SAXD profiles of native SC, regenerated SC, and regenerated SC with application of Form</w:t>
      </w:r>
      <w:r w:rsidRPr="00EA49C8">
        <w:rPr>
          <w:sz w:val="18"/>
          <w:szCs w:val="18"/>
          <w:vertAlign w:val="superscript"/>
          <w:lang w:val="en-US"/>
        </w:rPr>
        <w:t>COMBI</w:t>
      </w:r>
      <w:r w:rsidRPr="00EA49C8">
        <w:rPr>
          <w:sz w:val="18"/>
          <w:szCs w:val="18"/>
          <w:lang w:val="en-US"/>
        </w:rPr>
        <w:t>.</w:t>
      </w:r>
    </w:p>
    <w:p w:rsidR="00FF2A85" w:rsidRPr="00C80E10" w:rsidRDefault="00FF2A85" w:rsidP="00FF2A85">
      <w:pPr>
        <w:jc w:val="both"/>
        <w:rPr>
          <w:b/>
          <w:u w:val="single"/>
          <w:lang w:val="en-US"/>
        </w:rPr>
      </w:pPr>
      <w:bookmarkStart w:id="0" w:name="_GoBack"/>
      <w:bookmarkEnd w:id="0"/>
    </w:p>
    <w:p w:rsidR="007C3991" w:rsidRPr="00EA49C8" w:rsidRDefault="007C3991" w:rsidP="007C3991">
      <w:pPr>
        <w:jc w:val="both"/>
        <w:rPr>
          <w:lang w:val="en-US"/>
        </w:rPr>
      </w:pPr>
    </w:p>
    <w:p w:rsidR="007C3991" w:rsidRPr="00EA49C8" w:rsidRDefault="007C3991" w:rsidP="007C3991">
      <w:pPr>
        <w:jc w:val="both"/>
        <w:rPr>
          <w:b/>
          <w:u w:val="single"/>
          <w:lang w:val="en-US"/>
        </w:rPr>
      </w:pPr>
      <w:r>
        <w:rPr>
          <w:b/>
          <w:u w:val="single"/>
          <w:lang w:val="en-US"/>
        </w:rPr>
        <w:t>References</w:t>
      </w:r>
    </w:p>
    <w:p w:rsidR="007C3991" w:rsidRPr="007C3991" w:rsidRDefault="007C3991" w:rsidP="007C3991">
      <w:pPr>
        <w:pStyle w:val="EndNoteBibliography"/>
        <w:ind w:left="720" w:hanging="720"/>
      </w:pPr>
      <w:r>
        <w:fldChar w:fldCharType="begin"/>
      </w:r>
      <w:r>
        <w:instrText xml:space="preserve"> ADDIN EN.REFLIST </w:instrText>
      </w:r>
      <w:r>
        <w:fldChar w:fldCharType="separate"/>
      </w:r>
      <w:r w:rsidRPr="007C3991">
        <w:t>1.</w:t>
      </w:r>
      <w:r w:rsidRPr="007C3991">
        <w:tab/>
        <w:t>Danso MO, Berkers T, Mieremet A, Hausil F, Bouwstra JA. An ex vivo human skin model for studying skin barrier repair. Exp Dermatol. 2015;24(1):48-54.</w:t>
      </w:r>
    </w:p>
    <w:p w:rsidR="007C3991" w:rsidRPr="007C3991" w:rsidRDefault="007C3991" w:rsidP="007C3991">
      <w:pPr>
        <w:pStyle w:val="EndNoteBibliography"/>
        <w:ind w:left="720" w:hanging="720"/>
      </w:pPr>
      <w:r w:rsidRPr="007C3991">
        <w:t>2.</w:t>
      </w:r>
      <w:r w:rsidRPr="007C3991">
        <w:tab/>
        <w:t>Berkers T, van Dijk L, Absalah S, van Smeden J, Bouwstra JA. Topically applied fatty acids are elongated before incorporation in the stratum corneum lipid matrix in compromised skin. Exp Dermatol. 2016.</w:t>
      </w:r>
    </w:p>
    <w:p w:rsidR="007C3991" w:rsidRPr="007C3991" w:rsidRDefault="007C3991" w:rsidP="007C3991">
      <w:pPr>
        <w:pStyle w:val="EndNoteBibliography"/>
        <w:ind w:left="720" w:hanging="720"/>
      </w:pPr>
      <w:r w:rsidRPr="007C3991">
        <w:t>3.</w:t>
      </w:r>
      <w:r w:rsidRPr="007C3991">
        <w:tab/>
        <w:t>Damien F, Boncheva M. The extent of orthorhombic lipid phases in the stratum corneum determines the barrier efficiency of human skin in vivo. J Invest Dermatol. 2010;130(2):611-614.</w:t>
      </w:r>
    </w:p>
    <w:p w:rsidR="007C3991" w:rsidRPr="007C3991" w:rsidRDefault="007C3991" w:rsidP="007C3991">
      <w:pPr>
        <w:pStyle w:val="EndNoteBibliography"/>
        <w:ind w:left="720" w:hanging="720"/>
      </w:pPr>
      <w:r w:rsidRPr="007C3991">
        <w:t>4.</w:t>
      </w:r>
      <w:r w:rsidRPr="007C3991">
        <w:tab/>
        <w:t>Groen D, Gooris GS, Bouwstra JA. New insights into the stratum corneum lipid organization by X-ray diffraction analysis. Biophys J. 2009;97(8):2242-2249.</w:t>
      </w:r>
    </w:p>
    <w:p w:rsidR="006C0E3D" w:rsidRPr="00FF2A85" w:rsidRDefault="007C3991" w:rsidP="007C3991">
      <w:pPr>
        <w:rPr>
          <w:lang w:val="en-US"/>
        </w:rPr>
      </w:pPr>
      <w:r>
        <w:rPr>
          <w:lang w:val="en-US"/>
        </w:rPr>
        <w:fldChar w:fldCharType="end"/>
      </w:r>
    </w:p>
    <w:sectPr w:rsidR="006C0E3D" w:rsidRPr="00FF2A85" w:rsidSect="0066224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C3991">
      <w:pPr>
        <w:spacing w:line="240" w:lineRule="auto"/>
      </w:pPr>
      <w:r>
        <w:separator/>
      </w:r>
    </w:p>
  </w:endnote>
  <w:endnote w:type="continuationSeparator" w:id="0">
    <w:p w:rsidR="00000000" w:rsidRDefault="007C3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385" w:rsidRDefault="00FF2A85">
    <w:pPr>
      <w:pStyle w:val="Footer"/>
      <w:jc w:val="center"/>
    </w:pPr>
    <w:r>
      <w:fldChar w:fldCharType="begin"/>
    </w:r>
    <w:r>
      <w:instrText>PAGE   \* MERGEFORMAT</w:instrText>
    </w:r>
    <w:r>
      <w:fldChar w:fldCharType="separate"/>
    </w:r>
    <w:r w:rsidR="007C3991">
      <w:rPr>
        <w:noProof/>
      </w:rPr>
      <w:t>4</w:t>
    </w:r>
    <w:r>
      <w:rPr>
        <w:noProof/>
      </w:rPr>
      <w:fldChar w:fldCharType="end"/>
    </w:r>
  </w:p>
  <w:p w:rsidR="004D0385" w:rsidRDefault="007C39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C3991">
      <w:pPr>
        <w:spacing w:line="240" w:lineRule="auto"/>
      </w:pPr>
      <w:r>
        <w:separator/>
      </w:r>
    </w:p>
  </w:footnote>
  <w:footnote w:type="continuationSeparator" w:id="0">
    <w:p w:rsidR="00000000" w:rsidRDefault="007C399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Pharma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ssxveejav0v2ez005v2rskevttd925ddvz&quot;&gt;Cer artikel&lt;record-ids&gt;&lt;item&gt;2&lt;/item&gt;&lt;item&gt;3&lt;/item&gt;&lt;item&gt;6&lt;/item&gt;&lt;item&gt;27&lt;/item&gt;&lt;/record-ids&gt;&lt;/item&gt;&lt;/Libraries&gt;"/>
  </w:docVars>
  <w:rsids>
    <w:rsidRoot w:val="00FF2A85"/>
    <w:rsid w:val="006C0E3D"/>
    <w:rsid w:val="007C3991"/>
    <w:rsid w:val="00FF2A8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A85"/>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FF2A85"/>
    <w:pPr>
      <w:spacing w:after="200" w:line="240" w:lineRule="auto"/>
    </w:pPr>
    <w:rPr>
      <w:b/>
      <w:bCs/>
      <w:color w:val="4F81BD"/>
      <w:sz w:val="18"/>
      <w:szCs w:val="18"/>
    </w:rPr>
  </w:style>
  <w:style w:type="paragraph" w:styleId="Footer">
    <w:name w:val="footer"/>
    <w:basedOn w:val="Normal"/>
    <w:link w:val="FooterChar"/>
    <w:uiPriority w:val="99"/>
    <w:rsid w:val="00FF2A85"/>
    <w:pPr>
      <w:tabs>
        <w:tab w:val="center" w:pos="4536"/>
        <w:tab w:val="right" w:pos="9072"/>
      </w:tabs>
      <w:spacing w:line="240" w:lineRule="auto"/>
    </w:pPr>
  </w:style>
  <w:style w:type="character" w:customStyle="1" w:styleId="FooterChar">
    <w:name w:val="Footer Char"/>
    <w:basedOn w:val="DefaultParagraphFont"/>
    <w:link w:val="Footer"/>
    <w:uiPriority w:val="99"/>
    <w:rsid w:val="00FF2A85"/>
    <w:rPr>
      <w:rFonts w:ascii="Calibri" w:eastAsia="Calibri" w:hAnsi="Calibri" w:cs="Times New Roman"/>
    </w:rPr>
  </w:style>
  <w:style w:type="paragraph" w:styleId="BalloonText">
    <w:name w:val="Balloon Text"/>
    <w:basedOn w:val="Normal"/>
    <w:link w:val="BalloonTextChar"/>
    <w:uiPriority w:val="99"/>
    <w:semiHidden/>
    <w:unhideWhenUsed/>
    <w:rsid w:val="007C39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991"/>
    <w:rPr>
      <w:rFonts w:ascii="Tahoma" w:eastAsia="Calibri" w:hAnsi="Tahoma" w:cs="Tahoma"/>
      <w:sz w:val="16"/>
      <w:szCs w:val="16"/>
    </w:rPr>
  </w:style>
  <w:style w:type="paragraph" w:customStyle="1" w:styleId="EndNoteBibliographyTitle">
    <w:name w:val="EndNote Bibliography Title"/>
    <w:basedOn w:val="Normal"/>
    <w:link w:val="EndNoteBibliographyTitleChar"/>
    <w:rsid w:val="007C3991"/>
    <w:pPr>
      <w:jc w:val="center"/>
    </w:pPr>
    <w:rPr>
      <w:noProof/>
      <w:lang w:val="en-US"/>
    </w:rPr>
  </w:style>
  <w:style w:type="character" w:customStyle="1" w:styleId="EndNoteBibliographyTitleChar">
    <w:name w:val="EndNote Bibliography Title Char"/>
    <w:basedOn w:val="DefaultParagraphFont"/>
    <w:link w:val="EndNoteBibliographyTitle"/>
    <w:rsid w:val="007C3991"/>
    <w:rPr>
      <w:rFonts w:ascii="Calibri" w:eastAsia="Calibri" w:hAnsi="Calibri" w:cs="Times New Roman"/>
      <w:noProof/>
      <w:lang w:val="en-US"/>
    </w:rPr>
  </w:style>
  <w:style w:type="paragraph" w:customStyle="1" w:styleId="EndNoteBibliography">
    <w:name w:val="EndNote Bibliography"/>
    <w:basedOn w:val="Normal"/>
    <w:link w:val="EndNoteBibliographyChar"/>
    <w:rsid w:val="007C3991"/>
    <w:pPr>
      <w:spacing w:line="240" w:lineRule="auto"/>
    </w:pPr>
    <w:rPr>
      <w:noProof/>
      <w:lang w:val="en-US"/>
    </w:rPr>
  </w:style>
  <w:style w:type="character" w:customStyle="1" w:styleId="EndNoteBibliographyChar">
    <w:name w:val="EndNote Bibliography Char"/>
    <w:basedOn w:val="DefaultParagraphFont"/>
    <w:link w:val="EndNoteBibliography"/>
    <w:rsid w:val="007C3991"/>
    <w:rPr>
      <w:rFonts w:ascii="Calibri" w:eastAsia="Calibri" w:hAnsi="Calibri" w:cs="Times New Roman"/>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A85"/>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FF2A85"/>
    <w:pPr>
      <w:spacing w:after="200" w:line="240" w:lineRule="auto"/>
    </w:pPr>
    <w:rPr>
      <w:b/>
      <w:bCs/>
      <w:color w:val="4F81BD"/>
      <w:sz w:val="18"/>
      <w:szCs w:val="18"/>
    </w:rPr>
  </w:style>
  <w:style w:type="paragraph" w:styleId="Footer">
    <w:name w:val="footer"/>
    <w:basedOn w:val="Normal"/>
    <w:link w:val="FooterChar"/>
    <w:uiPriority w:val="99"/>
    <w:rsid w:val="00FF2A85"/>
    <w:pPr>
      <w:tabs>
        <w:tab w:val="center" w:pos="4536"/>
        <w:tab w:val="right" w:pos="9072"/>
      </w:tabs>
      <w:spacing w:line="240" w:lineRule="auto"/>
    </w:pPr>
  </w:style>
  <w:style w:type="character" w:customStyle="1" w:styleId="FooterChar">
    <w:name w:val="Footer Char"/>
    <w:basedOn w:val="DefaultParagraphFont"/>
    <w:link w:val="Footer"/>
    <w:uiPriority w:val="99"/>
    <w:rsid w:val="00FF2A85"/>
    <w:rPr>
      <w:rFonts w:ascii="Calibri" w:eastAsia="Calibri" w:hAnsi="Calibri" w:cs="Times New Roman"/>
    </w:rPr>
  </w:style>
  <w:style w:type="paragraph" w:styleId="BalloonText">
    <w:name w:val="Balloon Text"/>
    <w:basedOn w:val="Normal"/>
    <w:link w:val="BalloonTextChar"/>
    <w:uiPriority w:val="99"/>
    <w:semiHidden/>
    <w:unhideWhenUsed/>
    <w:rsid w:val="007C39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991"/>
    <w:rPr>
      <w:rFonts w:ascii="Tahoma" w:eastAsia="Calibri" w:hAnsi="Tahoma" w:cs="Tahoma"/>
      <w:sz w:val="16"/>
      <w:szCs w:val="16"/>
    </w:rPr>
  </w:style>
  <w:style w:type="paragraph" w:customStyle="1" w:styleId="EndNoteBibliographyTitle">
    <w:name w:val="EndNote Bibliography Title"/>
    <w:basedOn w:val="Normal"/>
    <w:link w:val="EndNoteBibliographyTitleChar"/>
    <w:rsid w:val="007C3991"/>
    <w:pPr>
      <w:jc w:val="center"/>
    </w:pPr>
    <w:rPr>
      <w:noProof/>
      <w:lang w:val="en-US"/>
    </w:rPr>
  </w:style>
  <w:style w:type="character" w:customStyle="1" w:styleId="EndNoteBibliographyTitleChar">
    <w:name w:val="EndNote Bibliography Title Char"/>
    <w:basedOn w:val="DefaultParagraphFont"/>
    <w:link w:val="EndNoteBibliographyTitle"/>
    <w:rsid w:val="007C3991"/>
    <w:rPr>
      <w:rFonts w:ascii="Calibri" w:eastAsia="Calibri" w:hAnsi="Calibri" w:cs="Times New Roman"/>
      <w:noProof/>
      <w:lang w:val="en-US"/>
    </w:rPr>
  </w:style>
  <w:style w:type="paragraph" w:customStyle="1" w:styleId="EndNoteBibliography">
    <w:name w:val="EndNote Bibliography"/>
    <w:basedOn w:val="Normal"/>
    <w:link w:val="EndNoteBibliographyChar"/>
    <w:rsid w:val="007C3991"/>
    <w:pPr>
      <w:spacing w:line="240" w:lineRule="auto"/>
    </w:pPr>
    <w:rPr>
      <w:noProof/>
      <w:lang w:val="en-US"/>
    </w:rPr>
  </w:style>
  <w:style w:type="character" w:customStyle="1" w:styleId="EndNoteBibliographyChar">
    <w:name w:val="EndNote Bibliography Char"/>
    <w:basedOn w:val="DefaultParagraphFont"/>
    <w:link w:val="EndNoteBibliography"/>
    <w:rsid w:val="007C3991"/>
    <w:rPr>
      <w:rFonts w:ascii="Calibri" w:eastAsia="Calibri" w:hAnsi="Calibri"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2168</Words>
  <Characters>11928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Berkers</dc:creator>
  <cp:keywords/>
  <dc:description/>
  <cp:lastModifiedBy>Berkers, M.A.J.</cp:lastModifiedBy>
  <cp:revision>2</cp:revision>
  <dcterms:created xsi:type="dcterms:W3CDTF">2017-08-04T13:32:00Z</dcterms:created>
  <dcterms:modified xsi:type="dcterms:W3CDTF">2017-08-04T14:21:00Z</dcterms:modified>
</cp:coreProperties>
</file>