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83CE7" w14:textId="6F28BE70" w:rsidR="003D39AD" w:rsidRPr="00685BF7" w:rsidRDefault="003D39AD" w:rsidP="003D39AD">
      <w:pPr>
        <w:pStyle w:val="Heading4"/>
        <w:ind w:left="60"/>
      </w:pPr>
      <w:bookmarkStart w:id="0" w:name="_Toc478323306"/>
      <w:bookmarkStart w:id="1" w:name="_Toc514331213"/>
      <w:r w:rsidRPr="00685BF7">
        <w:t xml:space="preserve">Ocular Compartmental Absorption &amp; Transit </w:t>
      </w:r>
      <w:r>
        <w:t>Model</w:t>
      </w:r>
      <w:bookmarkEnd w:id="0"/>
      <w:bookmarkEnd w:id="1"/>
      <w:r w:rsidR="004C3C95">
        <w:t xml:space="preserve"> (OCAT)</w:t>
      </w:r>
    </w:p>
    <w:p w14:paraId="22C544A9" w14:textId="5357DDF4" w:rsidR="003D39AD" w:rsidRPr="00685BF7" w:rsidRDefault="003D39AD" w:rsidP="003D39AD">
      <w:pPr>
        <w:spacing w:before="240"/>
      </w:pPr>
      <w:r w:rsidRPr="00586D27">
        <w:t>The ocular drug delivery model can simulate a variety of ocular dosage forms, including both the front of the eye (topical solution and suspension eye drops) and the back (intravitreal injections) as immediate release ocular dosage forms, as well as controlled release dosage forms that simulate drug delivery via intravitreal</w:t>
      </w:r>
      <w:r w:rsidRPr="00586D27">
        <w:rPr>
          <w:vanish/>
        </w:rPr>
        <w:t>intra-vitreal</w:t>
      </w:r>
      <w:r w:rsidRPr="00586D27">
        <w:t xml:space="preserve"> or subconjunctival implants.</w:t>
      </w:r>
      <w:r>
        <w:t xml:space="preserve"> </w:t>
      </w:r>
      <w:r w:rsidRPr="00685BF7">
        <w:t xml:space="preserve">The </w:t>
      </w:r>
      <w:r>
        <w:t>OCAT</w:t>
      </w:r>
      <w:r w:rsidRPr="00685BF7">
        <w:t xml:space="preserve"> model represents the eye as a collection of the following compartments: pre-cornea, </w:t>
      </w:r>
      <w:r>
        <w:t xml:space="preserve">corneal epithelium, </w:t>
      </w:r>
      <w:r w:rsidRPr="00685BF7">
        <w:t>cornea</w:t>
      </w:r>
      <w:r>
        <w:t>l stroma</w:t>
      </w:r>
      <w:r w:rsidRPr="00685BF7">
        <w:t xml:space="preserve">, </w:t>
      </w:r>
      <w:r>
        <w:t xml:space="preserve">bulbar </w:t>
      </w:r>
      <w:r w:rsidRPr="00685BF7">
        <w:t>conjunctiva</w:t>
      </w:r>
      <w:r>
        <w:t>, palpebral conjunctiva</w:t>
      </w:r>
      <w:r w:rsidRPr="00685BF7">
        <w:t xml:space="preserve">, aqueous humor, anterior sclera, posterior sclera, iris-ciliary body, choroid-RPE (a combination of choroid and the retinal pigment epithelium), retina, anterior and posterior vitreous humor. The lens is not considered as an additional compartment but serves as a barrier separating the aqueous humor and anterior vitreous humor compartments. The sclera and vitreous humor have been split to account for differences in mass transfer characteristics (convective flow vs no convective flow). </w:t>
      </w:r>
      <w:r>
        <w:t>The OCAT model as implemented in GastroPlus™ version 9.6 has been parameterized with physiological system characteristics for human, rabbit, and cynomolgus monkey eyes</w:t>
      </w:r>
      <w:r w:rsidR="004C3C95">
        <w:t>.</w:t>
      </w:r>
      <w:r>
        <w:t xml:space="preserve"> </w:t>
      </w:r>
      <w:r w:rsidRPr="00685BF7">
        <w:t xml:space="preserve">A schematic diagram showing how the different compartments are connected to one another and the rest of the body </w:t>
      </w:r>
      <w:r>
        <w:t xml:space="preserve">is shown </w:t>
      </w:r>
      <w:r w:rsidRPr="00971842">
        <w:t>in Figure</w:t>
      </w:r>
      <w:r>
        <w:t xml:space="preserve"> 1</w:t>
      </w:r>
      <w:r w:rsidRPr="00685BF7">
        <w:t>.</w:t>
      </w:r>
    </w:p>
    <w:p w14:paraId="04E7B99A" w14:textId="77777777" w:rsidR="003D39AD" w:rsidRPr="00685BF7" w:rsidRDefault="003D39AD" w:rsidP="003D39AD">
      <w:pPr>
        <w:spacing w:before="240"/>
        <w:jc w:val="center"/>
      </w:pPr>
    </w:p>
    <w:p w14:paraId="48C7F0E2" w14:textId="77777777" w:rsidR="003D39AD" w:rsidRPr="00685BF7" w:rsidRDefault="003D39AD" w:rsidP="003D39AD">
      <w:pPr>
        <w:spacing w:before="240"/>
        <w:jc w:val="center"/>
      </w:pPr>
      <w:r>
        <w:rPr>
          <w:noProof/>
        </w:rPr>
        <w:lastRenderedPageBreak/>
        <w:drawing>
          <wp:inline distT="0" distB="0" distL="0" distR="0" wp14:anchorId="1016E50E" wp14:editId="595E0787">
            <wp:extent cx="5514975" cy="5219700"/>
            <wp:effectExtent l="0" t="0" r="9525"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514975" cy="5219700"/>
                    </a:xfrm>
                    <a:prstGeom prst="rect">
                      <a:avLst/>
                    </a:prstGeom>
                  </pic:spPr>
                </pic:pic>
              </a:graphicData>
            </a:graphic>
          </wp:inline>
        </w:drawing>
      </w:r>
    </w:p>
    <w:p w14:paraId="3970E0D3" w14:textId="47A85720" w:rsidR="003D39AD" w:rsidRDefault="003D39AD" w:rsidP="003D39AD">
      <w:pPr>
        <w:pStyle w:val="Heading5"/>
        <w:rPr>
          <w:bCs/>
        </w:rPr>
      </w:pPr>
      <w:r>
        <w:rPr>
          <w:bCs/>
        </w:rPr>
        <w:t>Figure 1</w:t>
      </w:r>
      <w:r w:rsidRPr="00221177">
        <w:rPr>
          <w:bCs/>
        </w:rPr>
        <w:t>. OCAT</w:t>
      </w:r>
      <w:r>
        <w:rPr>
          <w:bCs/>
        </w:rPr>
        <w:t xml:space="preserve"> model schematic</w:t>
      </w:r>
    </w:p>
    <w:p w14:paraId="202332C1" w14:textId="782A0C52" w:rsidR="004C3C95" w:rsidRPr="004C3C95" w:rsidRDefault="004C3C95" w:rsidP="00497867">
      <w:r>
        <w:t xml:space="preserve">Black arrows represent </w:t>
      </w:r>
      <w:r w:rsidR="004D136F">
        <w:t xml:space="preserve">the </w:t>
      </w:r>
      <w:r>
        <w:t>drug exchange between</w:t>
      </w:r>
      <w:r w:rsidR="004D136F">
        <w:t xml:space="preserve"> adjacent ocular</w:t>
      </w:r>
      <w:r>
        <w:t xml:space="preserve"> compartments via passive diffusion </w:t>
      </w:r>
      <w:r w:rsidR="004D136F">
        <w:t>and/</w:t>
      </w:r>
      <w:r>
        <w:t>or carrier mediated transport, orange and red arrows represent</w:t>
      </w:r>
      <w:r w:rsidR="004D136F">
        <w:t xml:space="preserve"> the</w:t>
      </w:r>
      <w:r>
        <w:t xml:space="preserve"> </w:t>
      </w:r>
      <w:r w:rsidR="004D136F">
        <w:t>drug movement due to convective fluid flow between compartments, blue arrows represent the drug exchange between perfused ocular tissues and systemic circulation via passive diffusion and/or carrier-mediated transport.</w:t>
      </w:r>
    </w:p>
    <w:p w14:paraId="3A6DC682" w14:textId="52ACABA3" w:rsidR="003D39AD" w:rsidRPr="00685BF7" w:rsidRDefault="003D39AD" w:rsidP="003D39AD">
      <w:pPr>
        <w:spacing w:before="240"/>
      </w:pPr>
      <w:r w:rsidRPr="004D40E4">
        <w:t xml:space="preserve">Once the drug is dosed in a </w:t>
      </w:r>
      <w:r w:rsidR="00D1010A" w:rsidRPr="004D40E4">
        <w:t>user selected</w:t>
      </w:r>
      <w:r w:rsidRPr="004D40E4">
        <w:t xml:space="preserve"> ocular compartment, it is subjected to a variety of mechanisms resulting in drug loss, productive absorption, distribution and clearance.</w:t>
      </w:r>
      <w:r w:rsidRPr="00685BF7">
        <w:t xml:space="preserve"> For topical doses (eye drops) dosed entirely into the pre-cornea, the </w:t>
      </w:r>
      <w:r>
        <w:t xml:space="preserve">base </w:t>
      </w:r>
      <w:r w:rsidRPr="00685BF7">
        <w:t xml:space="preserve">volume of the pre-cornea compartment (tear film and conjunctival sac) </w:t>
      </w:r>
      <w:r>
        <w:t>is temporarily</w:t>
      </w:r>
      <w:r w:rsidRPr="00685BF7">
        <w:t xml:space="preserve"> increased in order to instill a volume of the </w:t>
      </w:r>
      <w:r>
        <w:t xml:space="preserve">drug formulation but cannot exceed the maximal precorneal volume for a given species. This </w:t>
      </w:r>
      <w:r w:rsidRPr="00685BF7">
        <w:t xml:space="preserve">volume </w:t>
      </w:r>
      <w:r>
        <w:t xml:space="preserve">dynamically increases due to tear production and then </w:t>
      </w:r>
      <w:r w:rsidRPr="00685BF7">
        <w:t xml:space="preserve">gradually returns to the base volume. Excess fluid </w:t>
      </w:r>
      <w:r>
        <w:t>(in excess of the maximal volume) is automatically</w:t>
      </w:r>
      <w:r w:rsidRPr="00685BF7">
        <w:t xml:space="preserve"> pushed out of the eye by blinking</w:t>
      </w:r>
      <w:r w:rsidR="00D1010A">
        <w:t xml:space="preserve"> and dissolved and suspended drug is lost for productive ocular or non-productive oral absorption</w:t>
      </w:r>
      <w:r>
        <w:t>.</w:t>
      </w:r>
      <w:r w:rsidRPr="00685BF7">
        <w:t xml:space="preserve"> </w:t>
      </w:r>
      <w:r>
        <w:t xml:space="preserve">The remaining volume of a solution or a </w:t>
      </w:r>
      <w:r>
        <w:lastRenderedPageBreak/>
        <w:t xml:space="preserve">combination of dissolved and suspended drug </w:t>
      </w:r>
      <w:r w:rsidRPr="00685BF7">
        <w:t>can be transported from the pre-cornea</w:t>
      </w:r>
      <w:r>
        <w:t>l compartment</w:t>
      </w:r>
      <w:r w:rsidRPr="00685BF7">
        <w:t xml:space="preserve"> to the nasolacrimal duct. Fresh tears can also wash the drug away from the pre-cornea into the nasolacrimal duct. Collectively, both the gradual volume reduction and tear flow constitute nasolacrimal drainage and the model assumes these to be first–order processes, given by the following equation. </w:t>
      </w:r>
    </w:p>
    <w:p w14:paraId="20654A7C" w14:textId="78F16E35" w:rsidR="003D39AD" w:rsidRPr="00685BF7" w:rsidRDefault="003D39AD" w:rsidP="003D39AD">
      <w:pPr>
        <w:spacing w:before="240"/>
        <w:ind w:firstLine="720"/>
        <w:jc w:val="center"/>
      </w:pPr>
      <w:r w:rsidRPr="00685BF7">
        <w:rPr>
          <w:position w:val="-16"/>
        </w:rPr>
        <w:object w:dxaOrig="6200" w:dyaOrig="440" w14:anchorId="24CCEC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55pt;height:22.85pt" o:ole="">
            <v:imagedata r:id="rId9" o:title=""/>
          </v:shape>
          <o:OLEObject Type="Embed" ProgID="Equation.DSMT4" ShapeID="_x0000_i1025" DrawAspect="Content" ObjectID="_1637479206" r:id="rId10"/>
        </w:object>
      </w:r>
      <w:r>
        <w:t xml:space="preserve"> </w:t>
      </w:r>
      <w:r>
        <w:tab/>
      </w:r>
      <w:r w:rsidRPr="00685BF7">
        <w:t>Equation (</w:t>
      </w:r>
      <w:r w:rsidRPr="00FE498F">
        <w:rPr>
          <w:u w:val="single"/>
        </w:rPr>
        <w:t>1</w:t>
      </w:r>
      <w:r w:rsidRPr="00685BF7">
        <w:t>)</w:t>
      </w:r>
    </w:p>
    <w:p w14:paraId="68E7480B" w14:textId="6DAA0D6E" w:rsidR="003D39AD" w:rsidRPr="00685BF7" w:rsidRDefault="003D39AD" w:rsidP="003D39AD">
      <w:pPr>
        <w:spacing w:before="240"/>
      </w:pPr>
      <w:r w:rsidRPr="00685BF7">
        <w:t xml:space="preserve">where </w:t>
      </w:r>
      <w:r w:rsidRPr="00685BF7">
        <w:rPr>
          <w:i/>
        </w:rPr>
        <w:t>DRC</w:t>
      </w:r>
      <w:r w:rsidRPr="00685BF7">
        <w:t xml:space="preserve"> and </w:t>
      </w:r>
      <w:r w:rsidRPr="00685BF7">
        <w:rPr>
          <w:i/>
        </w:rPr>
        <w:t>TFR</w:t>
      </w:r>
      <w:r w:rsidRPr="00685BF7">
        <w:t xml:space="preserve"> are </w:t>
      </w:r>
      <w:r>
        <w:t xml:space="preserve">first order </w:t>
      </w:r>
      <w:r w:rsidRPr="00685BF7">
        <w:t xml:space="preserve">drainage rate constant </w:t>
      </w:r>
      <w:r>
        <w:t xml:space="preserve">(1/min) </w:t>
      </w:r>
      <w:r w:rsidRPr="00685BF7">
        <w:t xml:space="preserve">and </w:t>
      </w:r>
      <w:r>
        <w:t xml:space="preserve">the constant </w:t>
      </w:r>
      <w:r w:rsidRPr="00685BF7">
        <w:t>tear flow rate</w:t>
      </w:r>
      <w:r>
        <w:t xml:space="preserve"> (</w:t>
      </w:r>
      <w:r w:rsidRPr="00490A85">
        <w:rPr>
          <w:rFonts w:ascii="Symbol" w:hAnsi="Symbol"/>
        </w:rPr>
        <w:t></w:t>
      </w:r>
      <w:r>
        <w:t>L/min</w:t>
      </w:r>
      <w:r w:rsidR="004D136F">
        <w:t>, respectively</w:t>
      </w:r>
      <w:r>
        <w:t>)</w:t>
      </w:r>
      <w:r w:rsidRPr="00685BF7">
        <w:t xml:space="preserve">, </w:t>
      </w:r>
      <w:r w:rsidRPr="00685BF7">
        <w:rPr>
          <w:position w:val="-12"/>
        </w:rPr>
        <w:object w:dxaOrig="499" w:dyaOrig="360" w14:anchorId="64984501">
          <v:shape id="_x0000_i1026" type="#_x0000_t75" style="width:28.4pt;height:24.25pt" o:ole="">
            <v:imagedata r:id="rId11" o:title=""/>
          </v:shape>
          <o:OLEObject Type="Embed" ProgID="Equation.DSMT4" ShapeID="_x0000_i1026" DrawAspect="Content" ObjectID="_1637479207" r:id="rId12"/>
        </w:object>
      </w:r>
      <w:r w:rsidRPr="00685BF7">
        <w:t xml:space="preserve"> is the pre-corneal drug concentration, </w:t>
      </w:r>
      <w:r w:rsidRPr="00685BF7">
        <w:rPr>
          <w:position w:val="-14"/>
        </w:rPr>
        <w:object w:dxaOrig="780" w:dyaOrig="400" w14:anchorId="409C24E9">
          <v:shape id="_x0000_i1027" type="#_x0000_t75" style="width:35.3pt;height:24.25pt" o:ole="">
            <v:imagedata r:id="rId13" o:title=""/>
          </v:shape>
          <o:OLEObject Type="Embed" ProgID="Equation.DSMT4" ShapeID="_x0000_i1027" DrawAspect="Content" ObjectID="_1637479208" r:id="rId14"/>
        </w:object>
      </w:r>
      <w:r w:rsidRPr="00685BF7">
        <w:t xml:space="preserve"> is the instantaneous pre-corneal volume, and </w:t>
      </w:r>
      <w:r w:rsidRPr="00685BF7">
        <w:rPr>
          <w:position w:val="-12"/>
        </w:rPr>
        <w:object w:dxaOrig="520" w:dyaOrig="380" w14:anchorId="4140C78D">
          <v:shape id="_x0000_i1028" type="#_x0000_t75" style="width:28.4pt;height:21.45pt" o:ole="">
            <v:imagedata r:id="rId15" o:title=""/>
          </v:shape>
          <o:OLEObject Type="Embed" ProgID="Equation.DSMT4" ShapeID="_x0000_i1028" DrawAspect="Content" ObjectID="_1637479209" r:id="rId16"/>
        </w:object>
      </w:r>
      <w:r w:rsidRPr="00685BF7">
        <w:t xml:space="preserve"> is the base physiological volume of the pre-cornea. A large portion of the drug entering the nasolacrimal duct gets absorbed directly into systemic circulation, while the remainder is swallowed and reaches the stomach. </w:t>
      </w:r>
      <w:r>
        <w:t>A</w:t>
      </w:r>
      <w:r w:rsidRPr="00685BF7">
        <w:t xml:space="preserve"> user-defined fraction of drug </w:t>
      </w:r>
      <w:r>
        <w:t>is transferred from the</w:t>
      </w:r>
      <w:r w:rsidRPr="00685BF7">
        <w:t xml:space="preserve"> nasolacrimal duct directly into systemic circulation (</w:t>
      </w:r>
      <w:r w:rsidRPr="00685BF7">
        <w:rPr>
          <w:position w:val="-12"/>
        </w:rPr>
        <w:object w:dxaOrig="680" w:dyaOrig="380" w14:anchorId="6D343BF2">
          <v:shape id="_x0000_i1029" type="#_x0000_t75" style="width:36.7pt;height:21.45pt" o:ole="">
            <v:imagedata r:id="rId17" o:title=""/>
          </v:shape>
          <o:OLEObject Type="Embed" ProgID="Equation.3" ShapeID="_x0000_i1029" DrawAspect="Content" ObjectID="_1637479210" r:id="rId18"/>
        </w:object>
      </w:r>
      <w:r w:rsidRPr="00685BF7">
        <w:t xml:space="preserve"> ) given as:</w:t>
      </w:r>
    </w:p>
    <w:p w14:paraId="0BC3B567" w14:textId="6608BF9F" w:rsidR="003D39AD" w:rsidRPr="00685BF7" w:rsidRDefault="003D39AD" w:rsidP="003D39AD">
      <w:pPr>
        <w:spacing w:before="240"/>
        <w:ind w:firstLine="720"/>
        <w:jc w:val="right"/>
      </w:pPr>
      <w:r w:rsidRPr="00685BF7">
        <w:rPr>
          <w:position w:val="-36"/>
        </w:rPr>
        <w:object w:dxaOrig="5940" w:dyaOrig="840" w14:anchorId="07EC96F2">
          <v:shape id="_x0000_i1030" type="#_x0000_t75" style="width:295.6pt;height:43.6pt" o:ole="">
            <v:imagedata r:id="rId19" o:title=""/>
          </v:shape>
          <o:OLEObject Type="Embed" ProgID="Equation.DSMT4" ShapeID="_x0000_i1030" DrawAspect="Content" ObjectID="_1637479211" r:id="rId20"/>
        </w:object>
      </w:r>
      <w:r>
        <w:t xml:space="preserve"> </w:t>
      </w:r>
      <w:r>
        <w:tab/>
      </w:r>
      <w:r w:rsidRPr="00685BF7">
        <w:t>Equation (</w:t>
      </w:r>
      <w:r w:rsidRPr="00FE498F">
        <w:rPr>
          <w:u w:val="single"/>
        </w:rPr>
        <w:t>2</w:t>
      </w:r>
      <w:r w:rsidRPr="00685BF7">
        <w:t>)</w:t>
      </w:r>
    </w:p>
    <w:p w14:paraId="6E12D701" w14:textId="77777777" w:rsidR="003D39AD" w:rsidRPr="00685BF7" w:rsidRDefault="003D39AD" w:rsidP="003D39AD">
      <w:pPr>
        <w:spacing w:before="240"/>
      </w:pPr>
      <w:r>
        <w:t>When the formulation is a suspension, undissolved drug that drains into the nasolacrimal duct is assumed to enter the stomach.</w:t>
      </w:r>
    </w:p>
    <w:p w14:paraId="63CF301B" w14:textId="225472ED" w:rsidR="003D39AD" w:rsidRPr="00685BF7" w:rsidRDefault="003D39AD" w:rsidP="003D39AD">
      <w:pPr>
        <w:spacing w:before="120"/>
      </w:pPr>
      <w:r w:rsidRPr="00685BF7">
        <w:rPr>
          <w:b/>
        </w:rPr>
        <w:t>Transport into adjacent ocular compartment(s):</w:t>
      </w:r>
      <w:r w:rsidRPr="00685BF7">
        <w:t xml:space="preserve"> </w:t>
      </w:r>
      <w:r>
        <w:t xml:space="preserve">The mass of drug moves from one compartment into adjacent compartments </w:t>
      </w:r>
      <w:r w:rsidRPr="00685BF7">
        <w:t>via a combination of passive diffusion (</w:t>
      </w:r>
      <w:r w:rsidRPr="00685BF7">
        <w:rPr>
          <w:position w:val="-6"/>
        </w:rPr>
        <w:object w:dxaOrig="1359" w:dyaOrig="279" w14:anchorId="1A678846">
          <v:shape id="_x0000_i1031" type="#_x0000_t75" style="width:63.7pt;height:13.85pt" o:ole="">
            <v:imagedata r:id="rId21" o:title=""/>
          </v:shape>
          <o:OLEObject Type="Embed" ProgID="Equation.3" ShapeID="_x0000_i1031" DrawAspect="Content" ObjectID="_1637479212" r:id="rId22"/>
        </w:object>
      </w:r>
      <w:r w:rsidRPr="00685BF7">
        <w:t xml:space="preserve">) </w:t>
      </w:r>
      <w:r w:rsidR="004D136F">
        <w:t>and</w:t>
      </w:r>
      <w:r w:rsidRPr="00685BF7">
        <w:t xml:space="preserve"> carrier mediated transport (</w:t>
      </w:r>
      <w:r w:rsidRPr="00685BF7">
        <w:rPr>
          <w:position w:val="-6"/>
        </w:rPr>
        <w:object w:dxaOrig="1280" w:dyaOrig="279" w14:anchorId="10E3AE6A">
          <v:shape id="_x0000_i1032" type="#_x0000_t75" style="width:65.1pt;height:13.85pt" o:ole="">
            <v:imagedata r:id="rId23" o:title=""/>
          </v:shape>
          <o:OLEObject Type="Embed" ProgID="Equation.3" ShapeID="_x0000_i1032" DrawAspect="Content" ObjectID="_1637479213" r:id="rId24"/>
        </w:object>
      </w:r>
      <w:r w:rsidRPr="00685BF7">
        <w:t>).</w:t>
      </w:r>
    </w:p>
    <w:p w14:paraId="1E7567A2" w14:textId="67E03424" w:rsidR="003D39AD" w:rsidRPr="00685BF7" w:rsidRDefault="003D39AD" w:rsidP="003D39AD">
      <w:pPr>
        <w:spacing w:before="120"/>
        <w:jc w:val="right"/>
      </w:pPr>
      <w:r w:rsidRPr="00824397">
        <w:rPr>
          <w:position w:val="-10"/>
        </w:rPr>
        <w:object w:dxaOrig="180" w:dyaOrig="340" w14:anchorId="09A6C8D7">
          <v:shape id="_x0000_i1033" type="#_x0000_t75" style="width:8.3pt;height:21.45pt" o:ole="">
            <v:imagedata r:id="rId25" o:title=""/>
          </v:shape>
          <o:OLEObject Type="Embed" ProgID="Equation.3" ShapeID="_x0000_i1033" DrawAspect="Content" ObjectID="_1637479214" r:id="rId26"/>
        </w:object>
      </w:r>
      <w:r w:rsidRPr="00824397">
        <w:rPr>
          <w:position w:val="-10"/>
        </w:rPr>
        <w:object w:dxaOrig="180" w:dyaOrig="340" w14:anchorId="5E7399A6">
          <v:shape id="_x0000_i1034" type="#_x0000_t75" style="width:8.3pt;height:16.6pt" o:ole="">
            <v:imagedata r:id="rId25" o:title=""/>
          </v:shape>
          <o:OLEObject Type="Embed" ProgID="Equation.3" ShapeID="_x0000_i1034" DrawAspect="Content" ObjectID="_1637479215" r:id="rId27"/>
        </w:object>
      </w:r>
      <w:r w:rsidRPr="0059734D">
        <w:rPr>
          <w:position w:val="-12"/>
        </w:rPr>
        <w:object w:dxaOrig="4860" w:dyaOrig="360" w14:anchorId="13DA6254">
          <v:shape id="_x0000_i1035" type="#_x0000_t75" style="width:299.1pt;height:21.45pt" o:ole="">
            <v:imagedata r:id="rId28" o:title=""/>
          </v:shape>
          <o:OLEObject Type="Embed" ProgID="Equation.3" ShapeID="_x0000_i1035" DrawAspect="Content" ObjectID="_1637479216" r:id="rId29"/>
        </w:object>
      </w:r>
      <w:r w:rsidRPr="00685BF7">
        <w:tab/>
      </w:r>
      <w:r w:rsidRPr="00685BF7">
        <w:tab/>
        <w:t>Equation (</w:t>
      </w:r>
      <w:r w:rsidRPr="00FE498F">
        <w:rPr>
          <w:u w:val="single"/>
        </w:rPr>
        <w:t>3</w:t>
      </w:r>
      <w:r w:rsidRPr="00685BF7">
        <w:t>)</w:t>
      </w:r>
    </w:p>
    <w:p w14:paraId="191573F1" w14:textId="53585FC2" w:rsidR="003D39AD" w:rsidRPr="00685BF7" w:rsidRDefault="003D39AD" w:rsidP="003D39AD">
      <w:pPr>
        <w:spacing w:before="120"/>
      </w:pPr>
      <w:r w:rsidRPr="00685BF7">
        <w:t>Simple diffusion is modeled using a mechanistic (permeability-surface area) approach (</w:t>
      </w:r>
      <w:r w:rsidR="00035504">
        <w:t>E</w:t>
      </w:r>
      <w:r w:rsidRPr="00685BF7">
        <w:t>quation</w:t>
      </w:r>
      <w:r w:rsidR="000D028C">
        <w:t>s</w:t>
      </w:r>
      <w:r w:rsidRPr="00685BF7">
        <w:t xml:space="preserve"> </w:t>
      </w:r>
      <w:r>
        <w:t>4</w:t>
      </w:r>
      <w:r w:rsidRPr="00685BF7">
        <w:t xml:space="preserve">) The relevant equations for drug diffusion between any two compartments marked </w:t>
      </w:r>
      <w:r w:rsidRPr="00685BF7">
        <w:rPr>
          <w:i/>
        </w:rPr>
        <w:t xml:space="preserve">A </w:t>
      </w:r>
      <w:r w:rsidRPr="00685BF7">
        <w:t xml:space="preserve">and </w:t>
      </w:r>
      <w:r w:rsidRPr="00685BF7">
        <w:rPr>
          <w:i/>
        </w:rPr>
        <w:t xml:space="preserve">B </w:t>
      </w:r>
      <w:r w:rsidRPr="00685BF7">
        <w:t>are given as:</w:t>
      </w:r>
    </w:p>
    <w:p w14:paraId="670D9FF8" w14:textId="77777777" w:rsidR="003D39AD" w:rsidRPr="00685BF7" w:rsidRDefault="003D39AD" w:rsidP="003D39AD">
      <w:pPr>
        <w:spacing w:before="120"/>
        <w:ind w:firstLine="374"/>
      </w:pPr>
      <w:r w:rsidRPr="00685BF7">
        <w:rPr>
          <w:b/>
        </w:rPr>
        <w:t>Passive Diffusion: Permeability-Surface Area:</w:t>
      </w:r>
      <w:r w:rsidRPr="00685BF7">
        <w:t xml:space="preserve"> </w:t>
      </w:r>
    </w:p>
    <w:p w14:paraId="10BEC882" w14:textId="2234AB88" w:rsidR="003D39AD" w:rsidRPr="00685BF7" w:rsidRDefault="003D39AD" w:rsidP="003D39AD">
      <w:pPr>
        <w:spacing w:before="120"/>
        <w:ind w:left="374"/>
        <w:jc w:val="right"/>
      </w:pPr>
      <w:r w:rsidRPr="00685BF7">
        <w:rPr>
          <w:position w:val="-30"/>
        </w:rPr>
        <w:object w:dxaOrig="4400" w:dyaOrig="720" w14:anchorId="3BFAEF02">
          <v:shape id="_x0000_i1036" type="#_x0000_t75" style="width:3in;height:36.7pt" o:ole="">
            <v:imagedata r:id="rId30" o:title=""/>
          </v:shape>
          <o:OLEObject Type="Embed" ProgID="Equation.3" ShapeID="_x0000_i1036" DrawAspect="Content" ObjectID="_1637479217" r:id="rId31"/>
        </w:object>
      </w:r>
      <w:r>
        <w:tab/>
      </w:r>
      <w:r>
        <w:tab/>
      </w:r>
      <w:r>
        <w:tab/>
      </w:r>
      <w:r>
        <w:tab/>
      </w:r>
      <w:r w:rsidRPr="00685BF7">
        <w:t>Equation (</w:t>
      </w:r>
      <w:r w:rsidRPr="00FE498F">
        <w:rPr>
          <w:u w:val="single"/>
        </w:rPr>
        <w:t>4</w:t>
      </w:r>
      <w:r w:rsidRPr="00685BF7">
        <w:t>)</w:t>
      </w:r>
    </w:p>
    <w:p w14:paraId="021EEDC9" w14:textId="77777777" w:rsidR="003D39AD" w:rsidRPr="00685BF7" w:rsidRDefault="003D39AD" w:rsidP="003D39AD">
      <w:pPr>
        <w:spacing w:before="120"/>
        <w:ind w:firstLine="360"/>
        <w:jc w:val="right"/>
      </w:pPr>
    </w:p>
    <w:p w14:paraId="2E22CA3D" w14:textId="506B76AE" w:rsidR="002B78E8" w:rsidRPr="00685BF7" w:rsidRDefault="003D39AD" w:rsidP="003D39AD">
      <w:pPr>
        <w:spacing w:before="240"/>
      </w:pPr>
      <w:r>
        <w:t xml:space="preserve">In </w:t>
      </w:r>
      <w:r w:rsidR="00035504">
        <w:t>E</w:t>
      </w:r>
      <w:r>
        <w:t>quation</w:t>
      </w:r>
      <w:r w:rsidRPr="00685BF7">
        <w:t xml:space="preserve"> </w:t>
      </w:r>
      <w:r w:rsidRPr="00FE498F">
        <w:rPr>
          <w:u w:val="single"/>
        </w:rPr>
        <w:t>4</w:t>
      </w:r>
      <w:r w:rsidRPr="00685BF7">
        <w:t xml:space="preserve">, </w:t>
      </w:r>
      <w:r w:rsidRPr="00685BF7">
        <w:rPr>
          <w:i/>
        </w:rPr>
        <w:t>P</w:t>
      </w:r>
      <w:r w:rsidR="000D028C">
        <w:rPr>
          <w:i/>
          <w:vertAlign w:val="subscript"/>
        </w:rPr>
        <w:t>x</w:t>
      </w:r>
      <w:r w:rsidRPr="00685BF7">
        <w:t xml:space="preserve"> represents permeability, </w:t>
      </w:r>
      <w:proofErr w:type="spellStart"/>
      <w:r w:rsidRPr="00685BF7">
        <w:rPr>
          <w:i/>
        </w:rPr>
        <w:t>AbsSA</w:t>
      </w:r>
      <w:proofErr w:type="spellEnd"/>
      <w:r w:rsidRPr="00685BF7">
        <w:t xml:space="preserve"> represents contact surface area between compartments that is used for diffusion, and </w:t>
      </w:r>
      <w:r w:rsidRPr="00685BF7">
        <w:rPr>
          <w:i/>
        </w:rPr>
        <w:t>C</w:t>
      </w:r>
      <w:r w:rsidRPr="00685BF7">
        <w:t xml:space="preserve"> represents unbound concentration. The subscripts represent the relevant compartments.</w:t>
      </w:r>
      <w:r>
        <w:t xml:space="preserve"> It should be noted that in moving from compartment A to B the permeability assigned to compartment B is used to calculate the rate coefficient</w:t>
      </w:r>
      <w:r w:rsidR="00956F56">
        <w:t>,</w:t>
      </w:r>
      <w:r w:rsidR="00A85508">
        <w:t xml:space="preserve"> but a positive </w:t>
      </w:r>
      <w:r w:rsidR="00A85508">
        <w:lastRenderedPageBreak/>
        <w:t xml:space="preserve">concentration gradient </w:t>
      </w:r>
      <w:r w:rsidR="00C422F5">
        <w:t>term (</w:t>
      </w:r>
      <w:r w:rsidR="00C422F5" w:rsidRPr="00C422F5">
        <w:rPr>
          <w:i/>
        </w:rPr>
        <w:t>C</w:t>
      </w:r>
      <w:r w:rsidR="00497867">
        <w:rPr>
          <w:i/>
          <w:vertAlign w:val="subscript"/>
        </w:rPr>
        <w:t>A</w:t>
      </w:r>
      <w:r w:rsidR="00C422F5" w:rsidRPr="00C422F5">
        <w:rPr>
          <w:i/>
        </w:rPr>
        <w:t>-C</w:t>
      </w:r>
      <w:r w:rsidR="00497867">
        <w:rPr>
          <w:i/>
          <w:vertAlign w:val="subscript"/>
        </w:rPr>
        <w:t>B</w:t>
      </w:r>
      <w:r w:rsidR="00C422F5">
        <w:t xml:space="preserve">) </w:t>
      </w:r>
      <w:r w:rsidR="00A85508">
        <w:t xml:space="preserve">would be related to </w:t>
      </w:r>
      <w:r w:rsidR="003268BC">
        <w:t>mass move</w:t>
      </w:r>
      <w:r w:rsidR="00C422F5">
        <w:t>ment down the concentration gra</w:t>
      </w:r>
      <w:bookmarkStart w:id="2" w:name="_GoBack"/>
      <w:r w:rsidR="00C422F5">
        <w:t>dient</w:t>
      </w:r>
      <w:r w:rsidR="003268BC">
        <w:t xml:space="preserve"> from A to B</w:t>
      </w:r>
      <w:r>
        <w:t>.</w:t>
      </w:r>
      <w:bookmarkEnd w:id="2"/>
    </w:p>
    <w:p w14:paraId="25916A88" w14:textId="77777777" w:rsidR="003D39AD" w:rsidRPr="00685BF7" w:rsidRDefault="003D39AD" w:rsidP="003D39AD">
      <w:pPr>
        <w:spacing w:before="240"/>
        <w:ind w:left="360"/>
        <w:rPr>
          <w:b/>
        </w:rPr>
      </w:pPr>
      <w:r w:rsidRPr="00685BF7">
        <w:rPr>
          <w:b/>
        </w:rPr>
        <w:t>Carrier-mediated Transport:</w:t>
      </w:r>
    </w:p>
    <w:p w14:paraId="56B0A292" w14:textId="6CC6BCD1" w:rsidR="003D39AD" w:rsidRPr="00685BF7" w:rsidRDefault="003D39AD" w:rsidP="003D39AD">
      <w:pPr>
        <w:spacing w:before="120"/>
        <w:ind w:firstLine="360"/>
        <w:jc w:val="right"/>
      </w:pPr>
    </w:p>
    <w:p w14:paraId="2A736DD5" w14:textId="1CE6F733" w:rsidR="004C6CBE" w:rsidRDefault="00C423DC" w:rsidP="00B14887">
      <w:pPr>
        <w:spacing w:before="120"/>
        <w:jc w:val="center"/>
      </w:pPr>
      <m:oMath>
        <m:f>
          <m:fPr>
            <m:ctrlPr>
              <w:rPr>
                <w:rFonts w:ascii="Cambria Math" w:hAnsi="Cambria Math"/>
                <w:i/>
              </w:rPr>
            </m:ctrlPr>
          </m:fPr>
          <m:num>
            <m:sSub>
              <m:sSubPr>
                <m:ctrlPr>
                  <w:rPr>
                    <w:rFonts w:ascii="Cambria Math" w:hAnsi="Cambria Math"/>
                    <w:i/>
                  </w:rPr>
                </m:ctrlPr>
              </m:sSubPr>
              <m:e>
                <m:r>
                  <w:rPr>
                    <w:rFonts w:ascii="Cambria Math"/>
                  </w:rPr>
                  <m:t>dM</m:t>
                </m:r>
              </m:e>
              <m:sub>
                <m:r>
                  <w:rPr>
                    <w:rFonts w:ascii="Cambria Math"/>
                  </w:rPr>
                  <m:t>A</m:t>
                </m:r>
              </m:sub>
            </m:sSub>
          </m:num>
          <m:den>
            <m:r>
              <w:rPr>
                <w:rFonts w:ascii="Cambria Math"/>
              </w:rPr>
              <m:t>dt</m:t>
            </m:r>
          </m:den>
        </m:f>
        <m:r>
          <w:rPr>
            <w:rFonts w:ascii="Cambria Math"/>
          </w:rPr>
          <m:t xml:space="preserve"> =</m:t>
        </m:r>
        <m:nary>
          <m:naryPr>
            <m:chr m:val="∑"/>
            <m:ctrlPr>
              <w:rPr>
                <w:rFonts w:ascii="Cambria Math" w:hAnsi="Cambria Math"/>
                <w:i/>
              </w:rPr>
            </m:ctrlPr>
          </m:naryPr>
          <m:sub>
            <m:r>
              <w:rPr>
                <w:rFonts w:ascii="Cambria Math"/>
              </w:rPr>
              <m:t>i=1</m:t>
            </m:r>
          </m:sub>
          <m:sup>
            <m:sSubSup>
              <m:sSubSupPr>
                <m:ctrlPr>
                  <w:rPr>
                    <w:rFonts w:ascii="Cambria Math" w:hAnsi="Cambria Math"/>
                    <w:i/>
                  </w:rPr>
                </m:ctrlPr>
              </m:sSubSupPr>
              <m:e>
                <m:r>
                  <w:rPr>
                    <w:rFonts w:ascii="Cambria Math"/>
                  </w:rPr>
                  <m:t>N</m:t>
                </m:r>
              </m:e>
              <m:sub>
                <m:r>
                  <w:rPr>
                    <w:rFonts w:ascii="Cambria Math"/>
                  </w:rPr>
                  <m:t>B</m:t>
                </m:r>
                <m:r>
                  <w:rPr>
                    <w:rFonts w:ascii="Cambria Math"/>
                  </w:rPr>
                  <m:t>→</m:t>
                </m:r>
                <m:r>
                  <w:rPr>
                    <w:rFonts w:ascii="Cambria Math"/>
                  </w:rPr>
                  <m:t>A</m:t>
                </m:r>
              </m:sub>
              <m:sup>
                <m:r>
                  <w:rPr>
                    <w:rFonts w:ascii="Cambria Math"/>
                  </w:rPr>
                  <m:t>trans</m:t>
                </m:r>
              </m:sup>
            </m:sSubSup>
          </m:sup>
          <m:e>
            <m:d>
              <m:dPr>
                <m:ctrlPr>
                  <w:rPr>
                    <w:rFonts w:ascii="Cambria Math" w:hAnsi="Cambria Math"/>
                    <w:i/>
                  </w:rPr>
                </m:ctrlPr>
              </m:dPr>
              <m:e>
                <m:f>
                  <m:fPr>
                    <m:ctrlPr>
                      <w:rPr>
                        <w:rFonts w:ascii="Cambria Math" w:hAnsi="Cambria Math"/>
                        <w:i/>
                      </w:rPr>
                    </m:ctrlPr>
                  </m:fPr>
                  <m:num>
                    <m:r>
                      <w:rPr>
                        <w:rFonts w:ascii="Cambria Math"/>
                      </w:rPr>
                      <m:t>Exp</m:t>
                    </m:r>
                    <m:sSub>
                      <m:sSubPr>
                        <m:ctrlPr>
                          <w:rPr>
                            <w:rFonts w:ascii="Cambria Math" w:hAnsi="Cambria Math"/>
                            <w:i/>
                          </w:rPr>
                        </m:ctrlPr>
                      </m:sSubPr>
                      <m:e>
                        <m:r>
                          <w:rPr>
                            <w:rFonts w:ascii="Cambria Math"/>
                          </w:rPr>
                          <m:t>r</m:t>
                        </m:r>
                      </m:e>
                      <m:sub>
                        <m:r>
                          <w:rPr>
                            <w:rFonts w:ascii="Cambria Math"/>
                          </w:rPr>
                          <m:t>i</m:t>
                        </m:r>
                      </m:sub>
                    </m:sSub>
                    <m:r>
                      <w:rPr>
                        <w:rFonts w:ascii="Cambria Math"/>
                      </w:rPr>
                      <m:t>×</m:t>
                    </m:r>
                    <m:sSub>
                      <m:sSubPr>
                        <m:ctrlPr>
                          <w:rPr>
                            <w:rFonts w:ascii="Cambria Math" w:hAnsi="Cambria Math"/>
                            <w:i/>
                          </w:rPr>
                        </m:ctrlPr>
                      </m:sSubPr>
                      <m:e>
                        <m:r>
                          <w:rPr>
                            <w:rFonts w:ascii="Cambria Math"/>
                          </w:rPr>
                          <m:t>V</m:t>
                        </m:r>
                      </m:e>
                      <m:sub>
                        <m:func>
                          <m:funcPr>
                            <m:ctrlPr>
                              <w:rPr>
                                <w:rFonts w:ascii="Cambria Math" w:hAnsi="Cambria Math"/>
                                <w:i/>
                              </w:rPr>
                            </m:ctrlPr>
                          </m:funcPr>
                          <m:fName>
                            <m:r>
                              <w:rPr>
                                <w:rFonts w:ascii="Cambria Math"/>
                              </w:rPr>
                              <m:t>max,</m:t>
                            </m:r>
                          </m:fName>
                          <m:e>
                            <m:r>
                              <w:rPr>
                                <w:rFonts w:ascii="Cambria Math"/>
                              </w:rPr>
                              <m:t>i</m:t>
                            </m:r>
                          </m:e>
                        </m:func>
                      </m:sub>
                    </m:sSub>
                    <m:r>
                      <w:rPr>
                        <w:rFonts w:ascii="Cambria Math"/>
                      </w:rPr>
                      <m:t>×</m:t>
                    </m:r>
                    <m:sSub>
                      <m:sSubPr>
                        <m:ctrlPr>
                          <w:rPr>
                            <w:rFonts w:ascii="Cambria Math" w:hAnsi="Cambria Math"/>
                            <w:i/>
                          </w:rPr>
                        </m:ctrlPr>
                      </m:sSubPr>
                      <m:e>
                        <m:r>
                          <w:rPr>
                            <w:rFonts w:ascii="Cambria Math"/>
                          </w:rPr>
                          <m:t>C</m:t>
                        </m:r>
                      </m:e>
                      <m:sub>
                        <m:r>
                          <w:rPr>
                            <w:rFonts w:ascii="Cambria Math"/>
                          </w:rPr>
                          <m:t>B</m:t>
                        </m:r>
                      </m:sub>
                    </m:sSub>
                  </m:num>
                  <m:den>
                    <m:sSub>
                      <m:sSubPr>
                        <m:ctrlPr>
                          <w:rPr>
                            <w:rFonts w:ascii="Cambria Math" w:hAnsi="Cambria Math"/>
                            <w:i/>
                          </w:rPr>
                        </m:ctrlPr>
                      </m:sSubPr>
                      <m:e>
                        <m:r>
                          <w:rPr>
                            <w:rFonts w:ascii="Cambria Math"/>
                          </w:rPr>
                          <m:t>K</m:t>
                        </m:r>
                      </m:e>
                      <m:sub>
                        <m:r>
                          <w:rPr>
                            <w:rFonts w:ascii="Cambria Math"/>
                          </w:rPr>
                          <m:t>m,i</m:t>
                        </m:r>
                      </m:sub>
                    </m:sSub>
                    <m:r>
                      <w:rPr>
                        <w:rFonts w:ascii="Cambria Math"/>
                      </w:rPr>
                      <m:t>+</m:t>
                    </m:r>
                    <m:sSub>
                      <m:sSubPr>
                        <m:ctrlPr>
                          <w:rPr>
                            <w:rFonts w:ascii="Cambria Math" w:hAnsi="Cambria Math"/>
                            <w:i/>
                          </w:rPr>
                        </m:ctrlPr>
                      </m:sSubPr>
                      <m:e>
                        <m:r>
                          <w:rPr>
                            <w:rFonts w:ascii="Cambria Math"/>
                          </w:rPr>
                          <m:t>C</m:t>
                        </m:r>
                      </m:e>
                      <m:sub>
                        <m:r>
                          <w:rPr>
                            <w:rFonts w:ascii="Cambria Math"/>
                          </w:rPr>
                          <m:t>B</m:t>
                        </m:r>
                      </m:sub>
                    </m:sSub>
                  </m:den>
                </m:f>
              </m:e>
            </m:d>
          </m:e>
        </m:nary>
        <m:r>
          <w:rPr>
            <w:rFonts w:ascii="Cambria Math" w:hAnsi="Cambria Math"/>
          </w:rPr>
          <m:t>-</m:t>
        </m:r>
        <m:nary>
          <m:naryPr>
            <m:chr m:val="∑"/>
            <m:ctrlPr>
              <w:rPr>
                <w:rFonts w:ascii="Cambria Math" w:hAnsi="Cambria Math"/>
                <w:i/>
              </w:rPr>
            </m:ctrlPr>
          </m:naryPr>
          <m:sub>
            <m:r>
              <w:rPr>
                <w:rFonts w:ascii="Cambria Math"/>
              </w:rPr>
              <m:t>i=1</m:t>
            </m:r>
          </m:sub>
          <m:sup>
            <m:sSubSup>
              <m:sSubSupPr>
                <m:ctrlPr>
                  <w:rPr>
                    <w:rFonts w:ascii="Cambria Math" w:hAnsi="Cambria Math"/>
                    <w:i/>
                  </w:rPr>
                </m:ctrlPr>
              </m:sSubSupPr>
              <m:e>
                <m:r>
                  <w:rPr>
                    <w:rFonts w:ascii="Cambria Math"/>
                  </w:rPr>
                  <m:t>N</m:t>
                </m:r>
              </m:e>
              <m:sub>
                <m:r>
                  <w:rPr>
                    <w:rFonts w:ascii="Cambria Math"/>
                  </w:rPr>
                  <m:t>A</m:t>
                </m:r>
                <m:r>
                  <w:rPr>
                    <w:rFonts w:ascii="Cambria Math"/>
                  </w:rPr>
                  <m:t>→</m:t>
                </m:r>
                <m:r>
                  <w:rPr>
                    <w:rFonts w:ascii="Cambria Math"/>
                  </w:rPr>
                  <m:t>B</m:t>
                </m:r>
              </m:sub>
              <m:sup>
                <m:r>
                  <w:rPr>
                    <w:rFonts w:ascii="Cambria Math"/>
                  </w:rPr>
                  <m:t>trans</m:t>
                </m:r>
              </m:sup>
            </m:sSubSup>
          </m:sup>
          <m:e>
            <m:d>
              <m:dPr>
                <m:ctrlPr>
                  <w:rPr>
                    <w:rFonts w:ascii="Cambria Math" w:hAnsi="Cambria Math"/>
                    <w:i/>
                  </w:rPr>
                </m:ctrlPr>
              </m:dPr>
              <m:e>
                <m:f>
                  <m:fPr>
                    <m:ctrlPr>
                      <w:rPr>
                        <w:rFonts w:ascii="Cambria Math" w:hAnsi="Cambria Math"/>
                        <w:i/>
                      </w:rPr>
                    </m:ctrlPr>
                  </m:fPr>
                  <m:num>
                    <m:r>
                      <w:rPr>
                        <w:rFonts w:ascii="Cambria Math"/>
                      </w:rPr>
                      <m:t>Exp</m:t>
                    </m:r>
                    <m:sSub>
                      <m:sSubPr>
                        <m:ctrlPr>
                          <w:rPr>
                            <w:rFonts w:ascii="Cambria Math" w:hAnsi="Cambria Math"/>
                            <w:i/>
                          </w:rPr>
                        </m:ctrlPr>
                      </m:sSubPr>
                      <m:e>
                        <m:r>
                          <w:rPr>
                            <w:rFonts w:ascii="Cambria Math"/>
                          </w:rPr>
                          <m:t>r</m:t>
                        </m:r>
                      </m:e>
                      <m:sub>
                        <m:r>
                          <w:rPr>
                            <w:rFonts w:ascii="Cambria Math"/>
                          </w:rPr>
                          <m:t>i</m:t>
                        </m:r>
                      </m:sub>
                    </m:sSub>
                    <m:r>
                      <w:rPr>
                        <w:rFonts w:ascii="Cambria Math"/>
                      </w:rPr>
                      <m:t>×</m:t>
                    </m:r>
                    <m:sSub>
                      <m:sSubPr>
                        <m:ctrlPr>
                          <w:rPr>
                            <w:rFonts w:ascii="Cambria Math" w:hAnsi="Cambria Math"/>
                            <w:i/>
                          </w:rPr>
                        </m:ctrlPr>
                      </m:sSubPr>
                      <m:e>
                        <m:r>
                          <w:rPr>
                            <w:rFonts w:ascii="Cambria Math"/>
                          </w:rPr>
                          <m:t>V</m:t>
                        </m:r>
                      </m:e>
                      <m:sub>
                        <m:func>
                          <m:funcPr>
                            <m:ctrlPr>
                              <w:rPr>
                                <w:rFonts w:ascii="Cambria Math" w:hAnsi="Cambria Math"/>
                                <w:i/>
                              </w:rPr>
                            </m:ctrlPr>
                          </m:funcPr>
                          <m:fName>
                            <m:r>
                              <w:rPr>
                                <w:rFonts w:ascii="Cambria Math"/>
                              </w:rPr>
                              <m:t>max,</m:t>
                            </m:r>
                          </m:fName>
                          <m:e>
                            <m:r>
                              <w:rPr>
                                <w:rFonts w:ascii="Cambria Math"/>
                              </w:rPr>
                              <m:t>i</m:t>
                            </m:r>
                          </m:e>
                        </m:func>
                      </m:sub>
                    </m:sSub>
                    <m:r>
                      <w:rPr>
                        <w:rFonts w:ascii="Cambria Math"/>
                      </w:rPr>
                      <m:t>×</m:t>
                    </m:r>
                    <m:sSub>
                      <m:sSubPr>
                        <m:ctrlPr>
                          <w:rPr>
                            <w:rFonts w:ascii="Cambria Math" w:hAnsi="Cambria Math"/>
                            <w:i/>
                          </w:rPr>
                        </m:ctrlPr>
                      </m:sSubPr>
                      <m:e>
                        <m:r>
                          <w:rPr>
                            <w:rFonts w:ascii="Cambria Math"/>
                          </w:rPr>
                          <m:t>C</m:t>
                        </m:r>
                      </m:e>
                      <m:sub>
                        <m:r>
                          <w:rPr>
                            <w:rFonts w:ascii="Cambria Math"/>
                          </w:rPr>
                          <m:t>A</m:t>
                        </m:r>
                      </m:sub>
                    </m:sSub>
                  </m:num>
                  <m:den>
                    <m:sSub>
                      <m:sSubPr>
                        <m:ctrlPr>
                          <w:rPr>
                            <w:rFonts w:ascii="Cambria Math" w:hAnsi="Cambria Math"/>
                            <w:i/>
                          </w:rPr>
                        </m:ctrlPr>
                      </m:sSubPr>
                      <m:e>
                        <m:r>
                          <w:rPr>
                            <w:rFonts w:ascii="Cambria Math"/>
                          </w:rPr>
                          <m:t>K</m:t>
                        </m:r>
                      </m:e>
                      <m:sub>
                        <m:r>
                          <w:rPr>
                            <w:rFonts w:ascii="Cambria Math"/>
                          </w:rPr>
                          <m:t>m,i</m:t>
                        </m:r>
                      </m:sub>
                    </m:sSub>
                    <m:r>
                      <w:rPr>
                        <w:rFonts w:ascii="Cambria Math"/>
                      </w:rPr>
                      <m:t>+</m:t>
                    </m:r>
                    <m:sSub>
                      <m:sSubPr>
                        <m:ctrlPr>
                          <w:rPr>
                            <w:rFonts w:ascii="Cambria Math" w:hAnsi="Cambria Math"/>
                            <w:i/>
                          </w:rPr>
                        </m:ctrlPr>
                      </m:sSubPr>
                      <m:e>
                        <m:r>
                          <w:rPr>
                            <w:rFonts w:ascii="Cambria Math"/>
                          </w:rPr>
                          <m:t>C</m:t>
                        </m:r>
                      </m:e>
                      <m:sub>
                        <m:r>
                          <w:rPr>
                            <w:rFonts w:ascii="Cambria Math"/>
                          </w:rPr>
                          <m:t>A</m:t>
                        </m:r>
                      </m:sub>
                    </m:sSub>
                  </m:den>
                </m:f>
              </m:e>
            </m:d>
          </m:e>
        </m:nary>
      </m:oMath>
      <w:r w:rsidR="00C422F5">
        <w:rPr>
          <w:rFonts w:eastAsiaTheme="minorEastAsia"/>
        </w:rPr>
        <w:tab/>
        <w:t>Equation (5)</w:t>
      </w:r>
    </w:p>
    <w:p w14:paraId="51599999" w14:textId="5263E484" w:rsidR="003D39AD" w:rsidRPr="00685BF7" w:rsidRDefault="00C730DD" w:rsidP="003D39AD">
      <w:pPr>
        <w:spacing w:before="120"/>
        <w:rPr>
          <w:b/>
        </w:rPr>
      </w:pPr>
      <w:r>
        <w:t xml:space="preserve">In Equation 5 the </w:t>
      </w:r>
      <w:r w:rsidR="00A766A9">
        <w:t>transporter active site</w:t>
      </w:r>
      <w:r>
        <w:t xml:space="preserve"> is defined for</w:t>
      </w:r>
      <w:r w:rsidR="00A766A9">
        <w:t xml:space="preserve"> compartment (A) </w:t>
      </w:r>
      <w:r>
        <w:t xml:space="preserve">and the mass moves </w:t>
      </w:r>
      <w:r w:rsidR="00A766A9">
        <w:t xml:space="preserve">to the receiver compartment (B). </w:t>
      </w:r>
      <w:r>
        <w:t>Also,</w:t>
      </w:r>
      <w:r w:rsidR="003D39AD" w:rsidRPr="00685BF7">
        <w:rPr>
          <w:b/>
        </w:rPr>
        <w:t xml:space="preserve">  </w:t>
      </w:r>
      <w:r w:rsidR="003D39AD" w:rsidRPr="00685BF7">
        <w:rPr>
          <w:position w:val="-12"/>
        </w:rPr>
        <w:object w:dxaOrig="600" w:dyaOrig="380" w14:anchorId="0B14E33C">
          <v:shape id="_x0000_i1037" type="#_x0000_t75" style="width:29.1pt;height:21.45pt" o:ole="">
            <v:imagedata r:id="rId32" o:title=""/>
          </v:shape>
          <o:OLEObject Type="Embed" ProgID="Equation.3" ShapeID="_x0000_i1037" DrawAspect="Content" ObjectID="_1637479218" r:id="rId33"/>
        </w:object>
      </w:r>
      <w:r w:rsidR="003D39AD" w:rsidRPr="00685BF7">
        <w:t xml:space="preserve"> and </w:t>
      </w:r>
      <w:r w:rsidR="003D39AD" w:rsidRPr="00685BF7">
        <w:rPr>
          <w:position w:val="-12"/>
        </w:rPr>
        <w:object w:dxaOrig="600" w:dyaOrig="380" w14:anchorId="3B5E2D5E">
          <v:shape id="_x0000_i1038" type="#_x0000_t75" style="width:29.1pt;height:21.45pt" o:ole="">
            <v:imagedata r:id="rId34" o:title=""/>
          </v:shape>
          <o:OLEObject Type="Embed" ProgID="Equation.3" ShapeID="_x0000_i1038" DrawAspect="Content" ObjectID="_1637479219" r:id="rId35"/>
        </w:object>
      </w:r>
      <w:r w:rsidR="003D39AD" w:rsidRPr="00685BF7">
        <w:t xml:space="preserve">, respectively, represent the number of transporters along the relevant direction, </w:t>
      </w:r>
      <w:r w:rsidR="003D39AD" w:rsidRPr="00685BF7">
        <w:rPr>
          <w:i/>
        </w:rPr>
        <w:t xml:space="preserve">Expr </w:t>
      </w:r>
      <w:r w:rsidR="003D39AD" w:rsidRPr="00685BF7">
        <w:t xml:space="preserve">denotes </w:t>
      </w:r>
      <w:r w:rsidR="003D39AD">
        <w:t xml:space="preserve">the relative or absolute protein </w:t>
      </w:r>
      <w:r w:rsidR="003D39AD" w:rsidRPr="00685BF7">
        <w:t xml:space="preserve">expression for the transporter, </w:t>
      </w:r>
      <w:r w:rsidR="003D39AD">
        <w:rPr>
          <w:i/>
        </w:rPr>
        <w:t>V</w:t>
      </w:r>
      <w:r w:rsidR="003D39AD">
        <w:rPr>
          <w:i/>
          <w:vertAlign w:val="subscript"/>
        </w:rPr>
        <w:t>max</w:t>
      </w:r>
      <w:r w:rsidR="003D39AD">
        <w:t xml:space="preserve"> and</w:t>
      </w:r>
      <w:r w:rsidR="003D39AD" w:rsidRPr="00685BF7">
        <w:t xml:space="preserve"> </w:t>
      </w:r>
      <w:r w:rsidR="003D39AD">
        <w:rPr>
          <w:i/>
        </w:rPr>
        <w:t>K</w:t>
      </w:r>
      <w:r w:rsidR="003D39AD">
        <w:rPr>
          <w:i/>
          <w:vertAlign w:val="subscript"/>
        </w:rPr>
        <w:t>m</w:t>
      </w:r>
      <w:r w:rsidR="003D39AD">
        <w:t xml:space="preserve"> </w:t>
      </w:r>
      <w:r w:rsidR="003D39AD" w:rsidRPr="00685BF7">
        <w:t xml:space="preserve">represent parameters for saturable transport, and </w:t>
      </w:r>
      <w:r w:rsidR="003D39AD" w:rsidRPr="00685BF7">
        <w:rPr>
          <w:i/>
        </w:rPr>
        <w:t>C</w:t>
      </w:r>
      <w:r w:rsidR="003D39AD" w:rsidRPr="00685BF7">
        <w:t xml:space="preserve"> represents unbound concentration.</w:t>
      </w:r>
    </w:p>
    <w:p w14:paraId="75666542" w14:textId="77777777" w:rsidR="003D39AD" w:rsidRPr="00685BF7" w:rsidRDefault="003D39AD" w:rsidP="003D39AD">
      <w:pPr>
        <w:spacing w:before="120"/>
      </w:pPr>
      <w:r w:rsidRPr="00685BF7">
        <w:rPr>
          <w:b/>
        </w:rPr>
        <w:t>Metabolism:</w:t>
      </w:r>
      <w:r w:rsidRPr="00685BF7">
        <w:t xml:space="preserve"> This can be described as either a linear or a saturable process, through the following mathematical expressions:</w:t>
      </w:r>
    </w:p>
    <w:p w14:paraId="74479DA5" w14:textId="77777777" w:rsidR="003D39AD" w:rsidRDefault="003D39AD" w:rsidP="003D39AD">
      <w:pPr>
        <w:spacing w:before="120"/>
        <w:ind w:left="374"/>
      </w:pPr>
      <w:r w:rsidRPr="00685BF7">
        <w:rPr>
          <w:b/>
        </w:rPr>
        <w:t>Linear:</w:t>
      </w:r>
      <w:r w:rsidRPr="00685BF7">
        <w:t xml:space="preserve"> </w:t>
      </w:r>
      <w:r>
        <w:tab/>
      </w:r>
      <w:r>
        <w:tab/>
      </w:r>
    </w:p>
    <w:p w14:paraId="7A77A8C4" w14:textId="1325E39A" w:rsidR="003D39AD" w:rsidRPr="00685BF7" w:rsidRDefault="003D39AD" w:rsidP="001C02E2">
      <w:pPr>
        <w:spacing w:before="120"/>
        <w:ind w:firstLine="720"/>
        <w:jc w:val="center"/>
      </w:pPr>
      <m:oMath>
        <m:r>
          <w:rPr>
            <w:rFonts w:ascii="Cambria Math" w:hAnsi="Cambria Math"/>
          </w:rPr>
          <m:t>MetabRate</m:t>
        </m:r>
        <m:d>
          <m:dPr>
            <m:ctrlPr>
              <w:rPr>
                <w:rFonts w:ascii="Cambria Math" w:hAnsi="Cambria Math"/>
                <w:i/>
              </w:rPr>
            </m:ctrlPr>
          </m:dPr>
          <m:e>
            <m:f>
              <m:fPr>
                <m:type m:val="lin"/>
                <m:ctrlPr>
                  <w:rPr>
                    <w:rFonts w:ascii="Cambria Math" w:hAnsi="Cambria Math"/>
                    <w:i/>
                  </w:rPr>
                </m:ctrlPr>
              </m:fPr>
              <m:num>
                <m:r>
                  <w:rPr>
                    <w:rFonts w:ascii="Cambria Math" w:hAnsi="Cambria Math"/>
                  </w:rPr>
                  <m:t>mg</m:t>
                </m:r>
              </m:num>
              <m:den>
                <m:r>
                  <w:rPr>
                    <w:rFonts w:ascii="Cambria Math" w:hAnsi="Cambria Math"/>
                  </w:rPr>
                  <m:t>s</m:t>
                </m:r>
              </m:den>
            </m:f>
          </m:e>
        </m:d>
        <m:r>
          <w:rPr>
            <w:rFonts w:ascii="Cambria Math" w:hAnsi="Cambria Math"/>
          </w:rPr>
          <m:t>=</m:t>
        </m:r>
        <m:sSub>
          <m:sSubPr>
            <m:ctrlPr>
              <w:rPr>
                <w:rFonts w:ascii="Cambria Math" w:hAnsi="Cambria Math"/>
                <w:i/>
              </w:rPr>
            </m:ctrlPr>
          </m:sSubPr>
          <m:e>
            <m:r>
              <w:rPr>
                <w:rFonts w:ascii="Cambria Math" w:hAnsi="Cambria Math"/>
              </w:rPr>
              <m:t>CL</m:t>
            </m:r>
          </m:e>
          <m:sub>
            <m:r>
              <w:rPr>
                <w:rFonts w:ascii="Cambria Math" w:hAnsi="Cambria Math"/>
              </w:rPr>
              <m:t>metab</m:t>
            </m:r>
          </m:sub>
        </m:sSub>
        <m:r>
          <w:rPr>
            <w:rFonts w:ascii="Cambria Math" w:hAnsi="Cambria Math"/>
          </w:rPr>
          <m:t>×C</m:t>
        </m:r>
      </m:oMath>
      <w:r w:rsidR="00497867">
        <w:rPr>
          <w:rFonts w:eastAsiaTheme="minorEastAsia"/>
        </w:rPr>
        <w:tab/>
      </w:r>
      <w:r w:rsidR="00497867">
        <w:rPr>
          <w:rFonts w:eastAsiaTheme="minorEastAsia"/>
        </w:rPr>
        <w:tab/>
      </w:r>
      <w:r w:rsidR="00497867">
        <w:rPr>
          <w:rFonts w:eastAsiaTheme="minorEastAsia"/>
        </w:rPr>
        <w:tab/>
      </w:r>
      <w:r w:rsidR="00497867">
        <w:rPr>
          <w:rFonts w:eastAsiaTheme="minorEastAsia"/>
        </w:rPr>
        <w:tab/>
      </w:r>
      <w:r w:rsidR="00497867">
        <w:rPr>
          <w:rFonts w:eastAsiaTheme="minorEastAsia"/>
        </w:rPr>
        <w:tab/>
      </w:r>
      <w:r w:rsidRPr="00685BF7">
        <w:t>Equation (</w:t>
      </w:r>
      <w:r w:rsidRPr="000F2305">
        <w:rPr>
          <w:u w:val="single"/>
        </w:rPr>
        <w:t>6</w:t>
      </w:r>
      <w:r w:rsidRPr="00685BF7">
        <w:t>)</w:t>
      </w:r>
    </w:p>
    <w:p w14:paraId="5B9261B6" w14:textId="77777777" w:rsidR="003D39AD" w:rsidRPr="00685BF7" w:rsidRDefault="003D39AD" w:rsidP="003D39AD">
      <w:pPr>
        <w:spacing w:before="120"/>
        <w:ind w:left="374"/>
        <w:rPr>
          <w:b/>
        </w:rPr>
      </w:pPr>
      <w:r w:rsidRPr="00685BF7">
        <w:rPr>
          <w:b/>
        </w:rPr>
        <w:t>Saturable:</w:t>
      </w:r>
    </w:p>
    <w:p w14:paraId="19BB5C5C" w14:textId="6EF0542E" w:rsidR="003D39AD" w:rsidRPr="00685BF7" w:rsidRDefault="003D39AD" w:rsidP="003D39AD">
      <w:pPr>
        <w:tabs>
          <w:tab w:val="left" w:pos="7830"/>
        </w:tabs>
        <w:spacing w:before="120"/>
        <w:ind w:left="720" w:firstLine="720"/>
      </w:pPr>
      <w:r w:rsidRPr="0059734D">
        <w:rPr>
          <w:position w:val="-34"/>
        </w:rPr>
        <w:object w:dxaOrig="3460" w:dyaOrig="800" w14:anchorId="26FF4E4F">
          <v:shape id="_x0000_i1039" type="#_x0000_t75" style="width:172.4pt;height:39.45pt" o:ole="">
            <v:imagedata r:id="rId36" o:title=""/>
          </v:shape>
          <o:OLEObject Type="Embed" ProgID="Equation.3" ShapeID="_x0000_i1039" DrawAspect="Content" ObjectID="_1637479220" r:id="rId37"/>
        </w:object>
      </w:r>
      <w:r w:rsidR="001C02E2">
        <w:tab/>
      </w:r>
      <w:r w:rsidRPr="00685BF7">
        <w:t>Equation (</w:t>
      </w:r>
      <w:r w:rsidRPr="000F2305">
        <w:rPr>
          <w:u w:val="single"/>
        </w:rPr>
        <w:t>7</w:t>
      </w:r>
      <w:r w:rsidRPr="00685BF7">
        <w:t>)</w:t>
      </w:r>
    </w:p>
    <w:p w14:paraId="43D2F5B6" w14:textId="77777777" w:rsidR="003D39AD" w:rsidRDefault="003D39AD" w:rsidP="003D39AD">
      <w:pPr>
        <w:spacing w:before="120"/>
      </w:pPr>
    </w:p>
    <w:p w14:paraId="0F291B1D" w14:textId="79DC5B8A" w:rsidR="003D39AD" w:rsidRPr="00685BF7" w:rsidRDefault="003D39AD" w:rsidP="003D39AD">
      <w:pPr>
        <w:spacing w:before="120"/>
        <w:rPr>
          <w:b/>
        </w:rPr>
      </w:pPr>
      <w:r w:rsidRPr="00685BF7">
        <w:t xml:space="preserve">In Equations </w:t>
      </w:r>
      <w:r w:rsidRPr="000F2305">
        <w:rPr>
          <w:u w:val="single"/>
        </w:rPr>
        <w:t>6</w:t>
      </w:r>
      <w:r w:rsidRPr="00685BF7">
        <w:t xml:space="preserve"> and </w:t>
      </w:r>
      <w:r w:rsidRPr="000F2305">
        <w:rPr>
          <w:u w:val="single"/>
        </w:rPr>
        <w:t>7</w:t>
      </w:r>
      <w:r w:rsidRPr="00685BF7">
        <w:t xml:space="preserve">, </w:t>
      </w:r>
      <w:proofErr w:type="spellStart"/>
      <w:r w:rsidRPr="00685BF7">
        <w:rPr>
          <w:i/>
        </w:rPr>
        <w:t>CL</w:t>
      </w:r>
      <w:r w:rsidRPr="00685BF7">
        <w:rPr>
          <w:i/>
          <w:vertAlign w:val="subscript"/>
        </w:rPr>
        <w:t>metab</w:t>
      </w:r>
      <w:proofErr w:type="spellEnd"/>
      <w:r w:rsidRPr="00685BF7">
        <w:t xml:space="preserve"> represents </w:t>
      </w:r>
      <w:r>
        <w:t xml:space="preserve">a </w:t>
      </w:r>
      <w:r w:rsidRPr="00685BF7">
        <w:t>fixed (linear) intrinsic clearance</w:t>
      </w:r>
      <w:r w:rsidR="00C730DD">
        <w:t xml:space="preserve"> in L/h</w:t>
      </w:r>
      <w:r w:rsidRPr="00685BF7">
        <w:t xml:space="preserve">, </w:t>
      </w:r>
      <w:r w:rsidRPr="00685BF7">
        <w:rPr>
          <w:i/>
        </w:rPr>
        <w:t>V</w:t>
      </w:r>
      <w:r w:rsidRPr="00685BF7">
        <w:t xml:space="preserve"> is volume of given ocular compartment,</w:t>
      </w:r>
      <w:r w:rsidRPr="00685BF7">
        <w:rPr>
          <w:b/>
        </w:rPr>
        <w:t xml:space="preserve"> </w:t>
      </w:r>
      <w:r>
        <w:rPr>
          <w:b/>
          <w:i/>
        </w:rPr>
        <w:t>V</w:t>
      </w:r>
      <w:r>
        <w:rPr>
          <w:b/>
          <w:i/>
          <w:vertAlign w:val="subscript"/>
        </w:rPr>
        <w:t>max</w:t>
      </w:r>
      <w:r w:rsidRPr="00685BF7">
        <w:t xml:space="preserve"> and </w:t>
      </w:r>
      <w:r>
        <w:rPr>
          <w:i/>
        </w:rPr>
        <w:t>K</w:t>
      </w:r>
      <w:r>
        <w:rPr>
          <w:i/>
          <w:vertAlign w:val="subscript"/>
        </w:rPr>
        <w:t>m</w:t>
      </w:r>
      <w:r w:rsidRPr="00685BF7">
        <w:t xml:space="preserve"> represent Michaelis-Menten saturable enzymatic parameters, </w:t>
      </w:r>
      <w:r w:rsidRPr="00685BF7">
        <w:rPr>
          <w:i/>
        </w:rPr>
        <w:t>C</w:t>
      </w:r>
      <w:r w:rsidRPr="00685BF7">
        <w:t xml:space="preserve"> represents unbound drug concentration and </w:t>
      </w:r>
      <w:r w:rsidRPr="00685BF7">
        <w:rPr>
          <w:i/>
        </w:rPr>
        <w:t xml:space="preserve">Expr </w:t>
      </w:r>
      <w:r w:rsidRPr="00685BF7">
        <w:t>denotes expression of enzymes.</w:t>
      </w:r>
    </w:p>
    <w:p w14:paraId="3701F2C4" w14:textId="4B77AA68" w:rsidR="003D39AD" w:rsidRPr="00685BF7" w:rsidRDefault="003D39AD" w:rsidP="003D39AD">
      <w:pPr>
        <w:spacing w:before="120"/>
      </w:pPr>
      <w:r w:rsidRPr="00685BF7">
        <w:rPr>
          <w:b/>
        </w:rPr>
        <w:t>Systemic Absorption:</w:t>
      </w:r>
      <w:r w:rsidRPr="00685BF7">
        <w:t xml:space="preserve"> Relevant only for perfused ocular compartments (</w:t>
      </w:r>
      <w:r w:rsidR="00FB7E6A">
        <w:t xml:space="preserve">palpebral </w:t>
      </w:r>
      <w:r w:rsidRPr="00685BF7">
        <w:t xml:space="preserve">conjunctiva, iris-ciliary body, </w:t>
      </w:r>
      <w:proofErr w:type="spellStart"/>
      <w:r w:rsidRPr="00685BF7">
        <w:t>chroroid</w:t>
      </w:r>
      <w:proofErr w:type="spellEnd"/>
      <w:r w:rsidRPr="00685BF7">
        <w:t>-RPE and the retina). It is a combination of a first-order (passive) process and carrier-mediated process as:</w:t>
      </w:r>
    </w:p>
    <w:p w14:paraId="60CB0AC4" w14:textId="747C88A8" w:rsidR="003D39AD" w:rsidRPr="00685BF7" w:rsidRDefault="003D39AD" w:rsidP="003D39AD">
      <w:pPr>
        <w:spacing w:before="120"/>
        <w:ind w:firstLine="360"/>
        <w:jc w:val="right"/>
      </w:pPr>
      <w:r w:rsidRPr="00F4057C">
        <w:rPr>
          <w:position w:val="-34"/>
        </w:rPr>
        <w:object w:dxaOrig="8720" w:dyaOrig="800" w14:anchorId="2B6BFA67">
          <v:shape id="_x0000_i1040" type="#_x0000_t75" style="width:436.15pt;height:39.45pt" o:ole="">
            <v:imagedata r:id="rId38" o:title=""/>
          </v:shape>
          <o:OLEObject Type="Embed" ProgID="Equation.3" ShapeID="_x0000_i1040" DrawAspect="Content" ObjectID="_1637479221" r:id="rId39"/>
        </w:object>
      </w:r>
      <w:r w:rsidRPr="00F4057C">
        <w:rPr>
          <w:position w:val="-10"/>
        </w:rPr>
        <w:object w:dxaOrig="180" w:dyaOrig="340" w14:anchorId="687202C1">
          <v:shape id="_x0000_i1041" type="#_x0000_t75" style="width:8.3pt;height:18.7pt" o:ole="">
            <v:imagedata r:id="rId25" o:title=""/>
          </v:shape>
          <o:OLEObject Type="Embed" ProgID="Equation.3" ShapeID="_x0000_i1041" DrawAspect="Content" ObjectID="_1637479222" r:id="rId40"/>
        </w:object>
      </w:r>
      <w:r w:rsidRPr="00685BF7">
        <w:tab/>
      </w:r>
      <w:r w:rsidRPr="00685BF7">
        <w:tab/>
      </w:r>
      <w:r w:rsidRPr="00685BF7">
        <w:tab/>
      </w:r>
      <w:r w:rsidRPr="00685BF7">
        <w:tab/>
      </w:r>
      <w:r w:rsidRPr="00685BF7">
        <w:tab/>
      </w:r>
      <w:r w:rsidRPr="00685BF7">
        <w:tab/>
      </w:r>
      <w:r w:rsidRPr="00685BF7">
        <w:tab/>
      </w:r>
      <w:r w:rsidRPr="00685BF7">
        <w:tab/>
      </w:r>
      <w:r w:rsidRPr="00685BF7">
        <w:tab/>
      </w:r>
      <w:r w:rsidRPr="00685BF7">
        <w:tab/>
      </w:r>
      <w:r w:rsidRPr="00685BF7">
        <w:tab/>
        <w:t>Equation (</w:t>
      </w:r>
      <w:r>
        <w:t>8</w:t>
      </w:r>
      <w:r w:rsidRPr="00685BF7">
        <w:t>)</w:t>
      </w:r>
    </w:p>
    <w:p w14:paraId="6868D891" w14:textId="30E86119" w:rsidR="003D39AD" w:rsidRPr="00685BF7" w:rsidRDefault="003D39AD" w:rsidP="003D39AD">
      <w:pPr>
        <w:spacing w:before="120"/>
      </w:pPr>
      <w:r w:rsidRPr="00685BF7">
        <w:t xml:space="preserve">In equation </w:t>
      </w:r>
      <w:r w:rsidR="00035504">
        <w:t>8</w:t>
      </w:r>
      <w:r w:rsidRPr="00685BF7">
        <w:t xml:space="preserve">, </w:t>
      </w:r>
      <w:r w:rsidRPr="00685BF7">
        <w:rPr>
          <w:position w:val="-12"/>
        </w:rPr>
        <w:object w:dxaOrig="400" w:dyaOrig="380" w14:anchorId="78E08EEF">
          <v:shape id="_x0000_i1042" type="#_x0000_t75" style="width:24.25pt;height:21.45pt" o:ole="">
            <v:imagedata r:id="rId41" o:title=""/>
          </v:shape>
          <o:OLEObject Type="Embed" ProgID="Equation.3" ShapeID="_x0000_i1042" DrawAspect="Content" ObjectID="_1637479223" r:id="rId42"/>
        </w:object>
      </w:r>
      <w:r w:rsidRPr="00685BF7">
        <w:t xml:space="preserve"> is the systemic absorption rate constant for given compartment, </w:t>
      </w:r>
      <w:r w:rsidRPr="00685BF7">
        <w:rPr>
          <w:i/>
        </w:rPr>
        <w:t xml:space="preserve">V </w:t>
      </w:r>
      <w:r w:rsidRPr="00685BF7">
        <w:t xml:space="preserve">is the volume of the compartment, </w:t>
      </w:r>
      <w:r w:rsidRPr="00685BF7">
        <w:rPr>
          <w:i/>
        </w:rPr>
        <w:t>C</w:t>
      </w:r>
      <w:r w:rsidRPr="00685BF7">
        <w:t xml:space="preserve"> is the unbound drug concentration in ocular compartment, </w:t>
      </w:r>
      <w:r w:rsidRPr="00685BF7">
        <w:rPr>
          <w:position w:val="-14"/>
        </w:rPr>
        <w:object w:dxaOrig="420" w:dyaOrig="380" w14:anchorId="59D86B72">
          <v:shape id="_x0000_i1043" type="#_x0000_t75" style="width:21.45pt;height:21.45pt" o:ole="">
            <v:imagedata r:id="rId43" o:title=""/>
          </v:shape>
          <o:OLEObject Type="Embed" ProgID="Equation.3" ShapeID="_x0000_i1043" DrawAspect="Content" ObjectID="_1637479224" r:id="rId44"/>
        </w:object>
      </w:r>
      <w:r w:rsidRPr="00685BF7">
        <w:t xml:space="preserve"> is the unbound </w:t>
      </w:r>
      <w:r w:rsidRPr="00685BF7">
        <w:lastRenderedPageBreak/>
        <w:t xml:space="preserve">drug concentration in plasma, </w:t>
      </w:r>
      <w:r w:rsidRPr="00685BF7">
        <w:rPr>
          <w:position w:val="-12"/>
        </w:rPr>
        <w:object w:dxaOrig="560" w:dyaOrig="380" w14:anchorId="5E9EE1BC">
          <v:shape id="_x0000_i1044" type="#_x0000_t75" style="width:29.1pt;height:21.45pt" o:ole="">
            <v:imagedata r:id="rId45" o:title=""/>
          </v:shape>
          <o:OLEObject Type="Embed" ProgID="Equation.3" ShapeID="_x0000_i1044" DrawAspect="Content" ObjectID="_1637479225" r:id="rId46"/>
        </w:object>
      </w:r>
      <w:r w:rsidRPr="00685BF7">
        <w:t xml:space="preserve"> and </w:t>
      </w:r>
      <w:r w:rsidRPr="00685BF7">
        <w:rPr>
          <w:position w:val="-12"/>
        </w:rPr>
        <w:object w:dxaOrig="560" w:dyaOrig="380" w14:anchorId="1046C3AA">
          <v:shape id="_x0000_i1045" type="#_x0000_t75" style="width:29.1pt;height:21.45pt" o:ole="">
            <v:imagedata r:id="rId47" o:title=""/>
          </v:shape>
          <o:OLEObject Type="Embed" ProgID="Equation.3" ShapeID="_x0000_i1045" DrawAspect="Content" ObjectID="_1637479226" r:id="rId48"/>
        </w:object>
      </w:r>
      <w:r w:rsidRPr="00685BF7">
        <w:t xml:space="preserve"> represent the number of influx and efflux transporters, respectively, between a compartment and systemic circulation, </w:t>
      </w:r>
      <w:r w:rsidRPr="00685BF7">
        <w:rPr>
          <w:i/>
        </w:rPr>
        <w:t>Expr</w:t>
      </w:r>
      <w:r w:rsidRPr="00685BF7">
        <w:t xml:space="preserve"> denotes expression of given transporter in an ocular compartment.</w:t>
      </w:r>
      <w:r w:rsidR="00BA2AB1">
        <w:t xml:space="preserve"> In addition to these systemic absorption processes, the OCAT model includes mass flow by convective pathways from aqueous humor and anterior sclera to the systemic circulation.</w:t>
      </w:r>
    </w:p>
    <w:p w14:paraId="19492AF0" w14:textId="77777777" w:rsidR="003D39AD" w:rsidRPr="00685BF7" w:rsidRDefault="003D39AD" w:rsidP="003D39AD">
      <w:pPr>
        <w:spacing w:before="120"/>
      </w:pPr>
    </w:p>
    <w:p w14:paraId="2701011F" w14:textId="499EC1A9" w:rsidR="003D39AD" w:rsidRPr="00685BF7" w:rsidRDefault="003D39AD" w:rsidP="003D39AD">
      <w:pPr>
        <w:spacing w:before="120"/>
      </w:pPr>
      <w:r w:rsidRPr="00685BF7">
        <w:rPr>
          <w:b/>
        </w:rPr>
        <w:t>Melanin Binding:</w:t>
      </w:r>
      <w:r w:rsidRPr="00685BF7">
        <w:t xml:space="preserve"> This represents reversible binding of the drug to melanin in certain compartments of the eye. These compartments are the iris-ciliary body </w:t>
      </w:r>
      <w:r w:rsidR="008C2605">
        <w:t xml:space="preserve">and </w:t>
      </w:r>
      <w:r w:rsidRPr="00685BF7">
        <w:t>choroid-RPE. It is described as either a linear or a saturable process, through the following mathematical expressions:</w:t>
      </w:r>
    </w:p>
    <w:p w14:paraId="6C94C41F" w14:textId="77777777" w:rsidR="003D39AD" w:rsidRPr="00685BF7" w:rsidRDefault="003D39AD" w:rsidP="003D39AD">
      <w:pPr>
        <w:spacing w:before="120"/>
        <w:ind w:left="374"/>
      </w:pPr>
      <w:r w:rsidRPr="00685BF7">
        <w:rPr>
          <w:b/>
        </w:rPr>
        <w:t>Linear:</w:t>
      </w:r>
      <w:r w:rsidRPr="00685BF7">
        <w:t xml:space="preserve"> </w:t>
      </w:r>
    </w:p>
    <w:p w14:paraId="2234CC81" w14:textId="7A50D1F0" w:rsidR="003D39AD" w:rsidRPr="00685BF7" w:rsidRDefault="003D39AD" w:rsidP="003D39AD">
      <w:pPr>
        <w:spacing w:before="120"/>
        <w:ind w:firstLine="720"/>
        <w:jc w:val="right"/>
      </w:pPr>
      <w:r w:rsidRPr="00685BF7">
        <w:rPr>
          <w:position w:val="-14"/>
        </w:rPr>
        <w:object w:dxaOrig="1960" w:dyaOrig="400" w14:anchorId="05CD067C">
          <v:shape id="_x0000_i1046" type="#_x0000_t75" style="width:101.1pt;height:24.25pt" o:ole="">
            <v:imagedata r:id="rId49" o:title=""/>
          </v:shape>
          <o:OLEObject Type="Embed" ProgID="Equation.DSMT4" ShapeID="_x0000_i1046" DrawAspect="Content" ObjectID="_1637479227" r:id="rId50"/>
        </w:object>
      </w:r>
      <w:r>
        <w:tab/>
      </w:r>
      <w:r>
        <w:tab/>
      </w:r>
      <w:r>
        <w:tab/>
      </w:r>
      <w:r>
        <w:tab/>
      </w:r>
      <w:r>
        <w:tab/>
      </w:r>
      <w:r>
        <w:tab/>
      </w:r>
      <w:r>
        <w:tab/>
      </w:r>
      <w:r w:rsidRPr="00685BF7">
        <w:t>Equation (</w:t>
      </w:r>
      <w:r w:rsidR="00035504">
        <w:t>9</w:t>
      </w:r>
      <w:r w:rsidRPr="00685BF7">
        <w:t>)</w:t>
      </w:r>
    </w:p>
    <w:p w14:paraId="5E96326D" w14:textId="77777777" w:rsidR="003D39AD" w:rsidRDefault="003D39AD" w:rsidP="003D39AD">
      <w:pPr>
        <w:rPr>
          <w:b/>
        </w:rPr>
      </w:pPr>
      <w:r>
        <w:rPr>
          <w:b/>
        </w:rPr>
        <w:br w:type="page"/>
      </w:r>
    </w:p>
    <w:p w14:paraId="431956F7" w14:textId="77777777" w:rsidR="003D39AD" w:rsidRPr="00685BF7" w:rsidRDefault="003D39AD" w:rsidP="003D39AD">
      <w:pPr>
        <w:spacing w:before="120"/>
        <w:ind w:left="374"/>
      </w:pPr>
      <w:r w:rsidRPr="00685BF7">
        <w:rPr>
          <w:b/>
        </w:rPr>
        <w:lastRenderedPageBreak/>
        <w:t>Saturable:</w:t>
      </w:r>
      <w:r w:rsidRPr="00685BF7">
        <w:t xml:space="preserve"> </w:t>
      </w:r>
    </w:p>
    <w:p w14:paraId="11E813DD" w14:textId="45AFF2F1" w:rsidR="004A1554" w:rsidRDefault="00C423DC" w:rsidP="00C422F5">
      <w:pPr>
        <w:spacing w:before="120"/>
        <w:ind w:firstLine="720"/>
        <w:jc w:val="right"/>
      </w:pPr>
      <m:oMath>
        <m:sSub>
          <m:sSubPr>
            <m:ctrlPr>
              <w:rPr>
                <w:rFonts w:ascii="Cambria Math" w:hAnsi="Cambria Math"/>
                <w:i/>
              </w:rPr>
            </m:ctrlPr>
          </m:sSubPr>
          <m:e>
            <m:r>
              <w:rPr>
                <w:rFonts w:ascii="Cambria Math"/>
              </w:rPr>
              <m:t>m</m:t>
            </m:r>
          </m:e>
          <m:sub>
            <m:r>
              <w:rPr>
                <w:rFonts w:ascii="Cambria Math"/>
              </w:rPr>
              <m:t>tot</m:t>
            </m:r>
          </m:sub>
        </m:sSub>
        <m:r>
          <w:rPr>
            <w:rFonts w:ascii="Cambria Math"/>
          </w:rPr>
          <m:t>=</m:t>
        </m:r>
        <m:sSub>
          <m:sSubPr>
            <m:ctrlPr>
              <w:rPr>
                <w:rFonts w:ascii="Cambria Math" w:hAnsi="Cambria Math"/>
                <w:i/>
              </w:rPr>
            </m:ctrlPr>
          </m:sSubPr>
          <m:e>
            <m:r>
              <w:rPr>
                <w:rFonts w:ascii="Cambria Math"/>
              </w:rPr>
              <m:t>m</m:t>
            </m:r>
          </m:e>
          <m:sub>
            <m:r>
              <w:rPr>
                <w:rFonts w:ascii="Cambria Math"/>
              </w:rPr>
              <m:t>free</m:t>
            </m:r>
          </m:sub>
        </m:sSub>
        <m:r>
          <w:rPr>
            <w:rFonts w:ascii="Cambria Math"/>
          </w:rPr>
          <m:t>×</m:t>
        </m:r>
        <m:d>
          <m:dPr>
            <m:ctrlPr>
              <w:rPr>
                <w:rFonts w:ascii="Cambria Math" w:hAnsi="Cambria Math"/>
                <w:i/>
              </w:rPr>
            </m:ctrlPr>
          </m:dPr>
          <m:e>
            <m:r>
              <w:rPr>
                <w:rFonts w:ascii="Cambria Math"/>
              </w:rPr>
              <m:t>1+</m:t>
            </m:r>
            <m:f>
              <m:fPr>
                <m:ctrlPr>
                  <w:rPr>
                    <w:rFonts w:ascii="Cambria Math" w:hAnsi="Cambria Math"/>
                    <w:i/>
                  </w:rPr>
                </m:ctrlPr>
              </m:fPr>
              <m:num>
                <m:sSub>
                  <m:sSubPr>
                    <m:ctrlPr>
                      <w:rPr>
                        <w:rFonts w:ascii="Cambria Math" w:hAnsi="Cambria Math"/>
                        <w:i/>
                      </w:rPr>
                    </m:ctrlPr>
                  </m:sSubPr>
                  <m:e>
                    <m:r>
                      <w:rPr>
                        <w:rFonts w:ascii="Cambria Math"/>
                      </w:rPr>
                      <m:t>b</m:t>
                    </m:r>
                  </m:e>
                  <m:sub>
                    <m:r>
                      <w:rPr>
                        <w:rFonts w:ascii="Cambria Math"/>
                      </w:rPr>
                      <m:t>1</m:t>
                    </m:r>
                  </m:sub>
                </m:sSub>
              </m:num>
              <m:den>
                <m:sSub>
                  <m:sSubPr>
                    <m:ctrlPr>
                      <w:rPr>
                        <w:rFonts w:ascii="Cambria Math" w:hAnsi="Cambria Math"/>
                        <w:i/>
                      </w:rPr>
                    </m:ctrlPr>
                  </m:sSubPr>
                  <m:e>
                    <m:r>
                      <w:rPr>
                        <w:rFonts w:ascii="Cambria Math"/>
                      </w:rPr>
                      <m:t>a</m:t>
                    </m:r>
                  </m:e>
                  <m:sub>
                    <m:r>
                      <w:rPr>
                        <w:rFonts w:ascii="Cambria Math"/>
                      </w:rPr>
                      <m:t>1</m:t>
                    </m:r>
                  </m:sub>
                </m:sSub>
                <m:r>
                  <w:rPr>
                    <w:rFonts w:ascii="Cambria Math"/>
                  </w:rPr>
                  <m:t>+</m:t>
                </m:r>
                <m:sSub>
                  <m:sSubPr>
                    <m:ctrlPr>
                      <w:rPr>
                        <w:rFonts w:ascii="Cambria Math" w:hAnsi="Cambria Math"/>
                        <w:i/>
                      </w:rPr>
                    </m:ctrlPr>
                  </m:sSubPr>
                  <m:e>
                    <m:r>
                      <w:rPr>
                        <w:rFonts w:ascii="Cambria Math"/>
                      </w:rPr>
                      <m:t>m</m:t>
                    </m:r>
                  </m:e>
                  <m:sub>
                    <m:r>
                      <w:rPr>
                        <w:rFonts w:ascii="Cambria Math"/>
                      </w:rPr>
                      <m:t>free</m:t>
                    </m:r>
                  </m:sub>
                </m:sSub>
              </m:den>
            </m:f>
            <m:r>
              <w:rPr>
                <w:rFonts w:ascii="Cambria Math"/>
              </w:rPr>
              <m:t>+</m:t>
            </m:r>
            <m:f>
              <m:fPr>
                <m:ctrlPr>
                  <w:rPr>
                    <w:rFonts w:ascii="Cambria Math" w:hAnsi="Cambria Math"/>
                    <w:i/>
                  </w:rPr>
                </m:ctrlPr>
              </m:fPr>
              <m:num>
                <m:sSub>
                  <m:sSubPr>
                    <m:ctrlPr>
                      <w:rPr>
                        <w:rFonts w:ascii="Cambria Math" w:hAnsi="Cambria Math"/>
                        <w:i/>
                      </w:rPr>
                    </m:ctrlPr>
                  </m:sSubPr>
                  <m:e>
                    <m:r>
                      <w:rPr>
                        <w:rFonts w:ascii="Cambria Math"/>
                      </w:rPr>
                      <m:t>b</m:t>
                    </m:r>
                  </m:e>
                  <m:sub>
                    <m:r>
                      <w:rPr>
                        <w:rFonts w:ascii="Cambria Math"/>
                      </w:rPr>
                      <m:t>2</m:t>
                    </m:r>
                  </m:sub>
                </m:sSub>
              </m:num>
              <m:den>
                <m:sSub>
                  <m:sSubPr>
                    <m:ctrlPr>
                      <w:rPr>
                        <w:rFonts w:ascii="Cambria Math" w:hAnsi="Cambria Math"/>
                        <w:i/>
                      </w:rPr>
                    </m:ctrlPr>
                  </m:sSubPr>
                  <m:e>
                    <m:r>
                      <w:rPr>
                        <w:rFonts w:ascii="Cambria Math"/>
                      </w:rPr>
                      <m:t>a</m:t>
                    </m:r>
                  </m:e>
                  <m:sub>
                    <m:r>
                      <w:rPr>
                        <w:rFonts w:ascii="Cambria Math"/>
                      </w:rPr>
                      <m:t>2</m:t>
                    </m:r>
                  </m:sub>
                </m:sSub>
                <m:r>
                  <w:rPr>
                    <w:rFonts w:ascii="Cambria Math"/>
                  </w:rPr>
                  <m:t>+</m:t>
                </m:r>
                <m:sSub>
                  <m:sSubPr>
                    <m:ctrlPr>
                      <w:rPr>
                        <w:rFonts w:ascii="Cambria Math" w:hAnsi="Cambria Math"/>
                        <w:i/>
                      </w:rPr>
                    </m:ctrlPr>
                  </m:sSubPr>
                  <m:e>
                    <m:r>
                      <w:rPr>
                        <w:rFonts w:ascii="Cambria Math"/>
                      </w:rPr>
                      <m:t>m</m:t>
                    </m:r>
                  </m:e>
                  <m:sub>
                    <m:r>
                      <w:rPr>
                        <w:rFonts w:ascii="Cambria Math"/>
                      </w:rPr>
                      <m:t>free</m:t>
                    </m:r>
                  </m:sub>
                </m:sSub>
              </m:den>
            </m:f>
          </m:e>
        </m:d>
      </m:oMath>
      <w:r w:rsidR="00C422F5">
        <w:rPr>
          <w:rFonts w:eastAsiaTheme="minorEastAsia"/>
        </w:rPr>
        <w:tab/>
      </w:r>
      <w:r w:rsidR="00C422F5">
        <w:rPr>
          <w:rFonts w:eastAsiaTheme="minorEastAsia"/>
        </w:rPr>
        <w:tab/>
      </w:r>
      <w:r w:rsidR="00C422F5">
        <w:rPr>
          <w:rFonts w:eastAsiaTheme="minorEastAsia"/>
        </w:rPr>
        <w:tab/>
        <w:t>Equation (10)</w:t>
      </w:r>
    </w:p>
    <w:p w14:paraId="6F3FCF6B" w14:textId="01458BCB" w:rsidR="003D39AD" w:rsidRPr="00685BF7" w:rsidRDefault="003D39AD" w:rsidP="003D39AD">
      <w:pPr>
        <w:spacing w:before="120"/>
      </w:pPr>
      <w:r w:rsidRPr="00685BF7">
        <w:t xml:space="preserve">In </w:t>
      </w:r>
      <w:r w:rsidR="00035504">
        <w:t>E</w:t>
      </w:r>
      <w:r w:rsidRPr="00685BF7">
        <w:t xml:space="preserve">quations </w:t>
      </w:r>
      <w:r w:rsidR="00035504">
        <w:t>9</w:t>
      </w:r>
      <w:r w:rsidRPr="00685BF7">
        <w:t xml:space="preserve"> and </w:t>
      </w:r>
      <w:r w:rsidR="00035504">
        <w:t>10</w:t>
      </w:r>
      <w:r w:rsidRPr="00685BF7">
        <w:t xml:space="preserve">, </w:t>
      </w:r>
      <w:r w:rsidRPr="00685BF7">
        <w:rPr>
          <w:position w:val="-14"/>
        </w:rPr>
        <w:object w:dxaOrig="480" w:dyaOrig="380" w14:anchorId="00F194B5">
          <v:shape id="_x0000_i1047" type="#_x0000_t75" style="width:24.25pt;height:21.45pt" o:ole="">
            <v:imagedata r:id="rId51" o:title=""/>
          </v:shape>
          <o:OLEObject Type="Embed" ProgID="Equation.DSMT4" ShapeID="_x0000_i1047" DrawAspect="Content" ObjectID="_1637479228" r:id="rId52"/>
        </w:object>
      </w:r>
      <w:r w:rsidRPr="00685BF7">
        <w:t xml:space="preserve"> and </w:t>
      </w:r>
      <w:r w:rsidRPr="00685BF7">
        <w:rPr>
          <w:position w:val="-12"/>
        </w:rPr>
        <w:object w:dxaOrig="400" w:dyaOrig="360" w14:anchorId="4EE296DB">
          <v:shape id="_x0000_i1048" type="#_x0000_t75" style="width:24.25pt;height:24.25pt" o:ole="">
            <v:imagedata r:id="rId53" o:title=""/>
          </v:shape>
          <o:OLEObject Type="Embed" ProgID="Equation.DSMT4" ShapeID="_x0000_i1048" DrawAspect="Content" ObjectID="_1637479229" r:id="rId54"/>
        </w:object>
      </w:r>
      <w:r w:rsidRPr="00685BF7">
        <w:t xml:space="preserve">, respectively, represent the free (unbound) and total amount of the drug in a given compartment. </w:t>
      </w:r>
      <w:r w:rsidRPr="00685BF7">
        <w:rPr>
          <w:position w:val="-12"/>
        </w:rPr>
        <w:object w:dxaOrig="740" w:dyaOrig="380" w14:anchorId="65C224C0">
          <v:shape id="_x0000_i1049" type="#_x0000_t75" style="width:36.7pt;height:21.45pt" o:ole="">
            <v:imagedata r:id="rId55" o:title=""/>
          </v:shape>
          <o:OLEObject Type="Embed" ProgID="Equation.DSMT4" ShapeID="_x0000_i1049" DrawAspect="Content" ObjectID="_1637479230" r:id="rId56"/>
        </w:object>
      </w:r>
      <w:r w:rsidRPr="00685BF7">
        <w:t xml:space="preserve">, </w:t>
      </w:r>
      <w:proofErr w:type="gramStart"/>
      <w:r w:rsidRPr="00685BF7">
        <w:t>in a given</w:t>
      </w:r>
      <w:proofErr w:type="gramEnd"/>
      <w:r w:rsidRPr="00685BF7">
        <w:t xml:space="preserve"> compartment, is the fixed fraction of the drug that is</w:t>
      </w:r>
      <w:r w:rsidR="008C2605">
        <w:t xml:space="preserve"> not bound</w:t>
      </w:r>
      <w:r w:rsidRPr="00685BF7">
        <w:t xml:space="preserve"> to melanin at any given time (similar to fixed fraction unbound in plasma or </w:t>
      </w:r>
      <w:r w:rsidRPr="00685BF7">
        <w:rPr>
          <w:i/>
        </w:rPr>
        <w:t>fup</w:t>
      </w:r>
      <w:r w:rsidRPr="00685BF7">
        <w:t xml:space="preserve">). In </w:t>
      </w:r>
      <w:r w:rsidR="00035504">
        <w:t>E</w:t>
      </w:r>
      <w:r w:rsidRPr="00685BF7">
        <w:t xml:space="preserve">quation </w:t>
      </w:r>
      <w:r w:rsidR="00035504">
        <w:t>10</w:t>
      </w:r>
      <w:r w:rsidRPr="00685BF7">
        <w:t xml:space="preserve">,  </w:t>
      </w:r>
      <w:r w:rsidRPr="00685BF7">
        <w:rPr>
          <w:position w:val="-10"/>
        </w:rPr>
        <w:object w:dxaOrig="220" w:dyaOrig="340" w14:anchorId="6408D335">
          <v:shape id="_x0000_i1050" type="#_x0000_t75" style="width:8.3pt;height:12.45pt" o:ole="">
            <v:imagedata r:id="rId57" o:title=""/>
          </v:shape>
          <o:OLEObject Type="Embed" ProgID="Equation.3" ShapeID="_x0000_i1050" DrawAspect="Content" ObjectID="_1637479231" r:id="rId58"/>
        </w:object>
      </w:r>
      <w:r w:rsidRPr="00685BF7">
        <w:t xml:space="preserve">, </w:t>
      </w:r>
      <w:r w:rsidRPr="00685BF7">
        <w:rPr>
          <w:position w:val="-10"/>
        </w:rPr>
        <w:object w:dxaOrig="260" w:dyaOrig="340" w14:anchorId="419B82F4">
          <v:shape id="_x0000_i1051" type="#_x0000_t75" style="width:12.45pt;height:12.45pt" o:ole="">
            <v:imagedata r:id="rId59" o:title=""/>
          </v:shape>
          <o:OLEObject Type="Embed" ProgID="Equation.3" ShapeID="_x0000_i1051" DrawAspect="Content" ObjectID="_1637479232" r:id="rId60"/>
        </w:object>
      </w:r>
      <w:r w:rsidRPr="00685BF7">
        <w:t xml:space="preserve">, </w:t>
      </w:r>
      <m:oMath>
        <m:sSub>
          <m:sSubPr>
            <m:ctrlPr>
              <w:rPr>
                <w:rFonts w:ascii="Cambria Math" w:hAnsi="Cambria Math"/>
                <w:i/>
              </w:rPr>
            </m:ctrlPr>
          </m:sSubPr>
          <m:e>
            <m:r>
              <w:rPr>
                <w:rFonts w:ascii="Cambria Math" w:hAnsi="Cambria Math"/>
              </w:rPr>
              <m:t>a</m:t>
            </m:r>
          </m:e>
          <m:sub>
            <m:r>
              <w:rPr>
                <w:rFonts w:ascii="Cambria Math" w:hAnsi="Cambria Math"/>
              </w:rPr>
              <m:t>1</m:t>
            </m:r>
          </m:sub>
        </m:sSub>
      </m:oMath>
      <w:r w:rsidRPr="00685BF7">
        <w:rPr>
          <w:i/>
        </w:rPr>
        <w:t xml:space="preserve"> </w:t>
      </w:r>
      <w:r w:rsidRPr="00685BF7">
        <w:t xml:space="preserve">and </w:t>
      </w:r>
      <m:oMath>
        <m:sSub>
          <m:sSubPr>
            <m:ctrlPr>
              <w:rPr>
                <w:rFonts w:ascii="Cambria Math" w:hAnsi="Cambria Math"/>
                <w:i/>
              </w:rPr>
            </m:ctrlPr>
          </m:sSubPr>
          <m:e>
            <m:r>
              <w:rPr>
                <w:rFonts w:ascii="Cambria Math" w:hAnsi="Cambria Math"/>
              </w:rPr>
              <m:t>a</m:t>
            </m:r>
          </m:e>
          <m:sub>
            <m:r>
              <w:rPr>
                <w:rFonts w:ascii="Cambria Math" w:hAnsi="Cambria Math"/>
              </w:rPr>
              <m:t>2</m:t>
            </m:r>
          </m:sub>
        </m:sSub>
      </m:oMath>
      <w:r w:rsidRPr="00685BF7">
        <w:rPr>
          <w:i/>
        </w:rPr>
        <w:t xml:space="preserve"> </w:t>
      </w:r>
      <w:r w:rsidRPr="00685BF7">
        <w:t>are given as:</w:t>
      </w:r>
    </w:p>
    <w:p w14:paraId="7E052418" w14:textId="6F1F5D89" w:rsidR="003D39AD" w:rsidRPr="00685BF7" w:rsidRDefault="003D39AD" w:rsidP="003D39AD">
      <w:pPr>
        <w:tabs>
          <w:tab w:val="left" w:pos="7830"/>
        </w:tabs>
        <w:spacing w:before="120"/>
        <w:ind w:firstLine="720"/>
      </w:pPr>
      <w:r w:rsidRPr="0093372D">
        <w:rPr>
          <w:position w:val="-12"/>
        </w:rPr>
        <w:object w:dxaOrig="3140" w:dyaOrig="380" w14:anchorId="1F33B3B2">
          <v:shape id="_x0000_i1052" type="#_x0000_t75" style="width:155.75pt;height:18.7pt" o:ole="">
            <v:imagedata r:id="rId61" o:title=""/>
          </v:shape>
          <o:OLEObject Type="Embed" ProgID="Equation.3" ShapeID="_x0000_i1052" DrawAspect="Content" ObjectID="_1637479233" r:id="rId62"/>
        </w:object>
      </w:r>
      <w:r w:rsidRPr="0093372D">
        <w:rPr>
          <w:position w:val="-10"/>
        </w:rPr>
        <w:object w:dxaOrig="180" w:dyaOrig="340" w14:anchorId="1D816651">
          <v:shape id="_x0000_i1053" type="#_x0000_t75" style="width:8.3pt;height:19.4pt" o:ole="">
            <v:imagedata r:id="rId25" o:title=""/>
          </v:shape>
          <o:OLEObject Type="Embed" ProgID="Equation.3" ShapeID="_x0000_i1053" DrawAspect="Content" ObjectID="_1637479234" r:id="rId63"/>
        </w:object>
      </w:r>
      <w:r>
        <w:tab/>
      </w:r>
      <w:r w:rsidRPr="00685BF7">
        <w:t>Equation (</w:t>
      </w:r>
      <w:r w:rsidR="00035504">
        <w:t>11</w:t>
      </w:r>
      <w:r w:rsidRPr="00685BF7">
        <w:t>)</w:t>
      </w:r>
    </w:p>
    <w:p w14:paraId="2646A009" w14:textId="0B3DC23E" w:rsidR="003D39AD" w:rsidRPr="00685BF7" w:rsidRDefault="003D39AD" w:rsidP="00C422F5">
      <w:pPr>
        <w:tabs>
          <w:tab w:val="left" w:pos="7830"/>
        </w:tabs>
        <w:spacing w:before="120"/>
        <w:ind w:firstLine="720"/>
      </w:pPr>
      <w:r w:rsidRPr="0093372D">
        <w:rPr>
          <w:position w:val="-14"/>
        </w:rPr>
        <w:object w:dxaOrig="3460" w:dyaOrig="400" w14:anchorId="083F032D">
          <v:shape id="_x0000_i1054" type="#_x0000_t75" style="width:172.4pt;height:21.45pt" o:ole="">
            <v:imagedata r:id="rId64" o:title=""/>
          </v:shape>
          <o:OLEObject Type="Embed" ProgID="Equation.3" ShapeID="_x0000_i1054" DrawAspect="Content" ObjectID="_1637479235" r:id="rId65"/>
        </w:object>
      </w:r>
      <w:r>
        <w:tab/>
      </w:r>
      <w:r w:rsidRPr="00685BF7">
        <w:t>Equation (</w:t>
      </w:r>
      <w:r w:rsidR="00035504">
        <w:t>12</w:t>
      </w:r>
      <w:r w:rsidRPr="00685BF7">
        <w:t>)</w:t>
      </w:r>
    </w:p>
    <w:p w14:paraId="7E7641B9" w14:textId="6A784549" w:rsidR="003D39AD" w:rsidRPr="00685BF7" w:rsidRDefault="00C423DC" w:rsidP="00C422F5">
      <w:pPr>
        <w:tabs>
          <w:tab w:val="left" w:pos="7830"/>
        </w:tabs>
        <w:spacing w:before="120"/>
        <w:ind w:firstLine="720"/>
      </w:pPr>
      <m:oMath>
        <m:sSub>
          <m:sSubPr>
            <m:ctrlPr>
              <w:rPr>
                <w:rFonts w:ascii="Cambria Math" w:hAnsi="Cambria Math"/>
                <w:i/>
              </w:rPr>
            </m:ctrlPr>
          </m:sSubPr>
          <m:e>
            <m:r>
              <w:rPr>
                <w:rFonts w:ascii="Cambria Math"/>
              </w:rPr>
              <m:t>a</m:t>
            </m:r>
          </m:e>
          <m:sub>
            <m:r>
              <w:rPr>
                <w:rFonts w:ascii="Cambria Math"/>
              </w:rPr>
              <m:t>1</m:t>
            </m:r>
          </m:sub>
        </m:sSub>
        <m:r>
          <w:rPr>
            <w:rFonts w:ascii="Cambria Math"/>
          </w:rPr>
          <m:t>=</m:t>
        </m:r>
        <m:sSub>
          <m:sSubPr>
            <m:ctrlPr>
              <w:rPr>
                <w:rFonts w:ascii="Cambria Math" w:hAnsi="Cambria Math"/>
                <w:i/>
              </w:rPr>
            </m:ctrlPr>
          </m:sSubPr>
          <m:e>
            <m:r>
              <w:rPr>
                <w:rFonts w:ascii="Cambria Math"/>
              </w:rPr>
              <m:t>K</m:t>
            </m:r>
          </m:e>
          <m:sub>
            <m:r>
              <w:rPr>
                <w:rFonts w:ascii="Cambria Math"/>
              </w:rPr>
              <m:t>d</m:t>
            </m:r>
          </m:sub>
        </m:sSub>
        <m:r>
          <w:rPr>
            <w:rFonts w:ascii="Cambria Math"/>
          </w:rPr>
          <m:t>×</m:t>
        </m:r>
        <m:sSub>
          <m:sSubPr>
            <m:ctrlPr>
              <w:rPr>
                <w:rFonts w:ascii="Cambria Math" w:hAnsi="Cambria Math"/>
                <w:i/>
              </w:rPr>
            </m:ctrlPr>
          </m:sSubPr>
          <m:e>
            <m:r>
              <w:rPr>
                <w:rFonts w:ascii="Cambria Math"/>
              </w:rPr>
              <m:t>V</m:t>
            </m:r>
          </m:e>
          <m:sub/>
        </m:sSub>
        <m:r>
          <w:rPr>
            <w:rFonts w:ascii="Cambria Math"/>
          </w:rPr>
          <m:t>×</m:t>
        </m:r>
        <m:r>
          <w:rPr>
            <w:rFonts w:ascii="Cambria Math"/>
          </w:rPr>
          <m:t>1</m:t>
        </m:r>
        <m:sSup>
          <m:sSupPr>
            <m:ctrlPr>
              <w:rPr>
                <w:rFonts w:ascii="Cambria Math" w:hAnsi="Cambria Math"/>
                <w:i/>
              </w:rPr>
            </m:ctrlPr>
          </m:sSupPr>
          <m:e>
            <m:r>
              <w:rPr>
                <w:rFonts w:ascii="Cambria Math"/>
              </w:rPr>
              <m:t>0</m:t>
            </m:r>
          </m:e>
          <m:sup>
            <m:r>
              <w:rPr>
                <w:rFonts w:ascii="Cambria Math"/>
              </w:rPr>
              <m:t>-</m:t>
            </m:r>
            <m:r>
              <w:rPr>
                <w:rFonts w:ascii="Cambria Math"/>
              </w:rPr>
              <m:t>6</m:t>
            </m:r>
          </m:sup>
        </m:sSup>
        <m:r>
          <w:rPr>
            <w:rFonts w:ascii="Cambria Math"/>
          </w:rPr>
          <m:t>×</m:t>
        </m:r>
        <m:r>
          <w:rPr>
            <w:rFonts w:ascii="Cambria Math"/>
          </w:rPr>
          <m:t>MW</m:t>
        </m:r>
      </m:oMath>
      <w:r w:rsidR="00C422F5" w:rsidRPr="0093372D">
        <w:t xml:space="preserve"> </w:t>
      </w:r>
      <w:r w:rsidR="003D39AD" w:rsidRPr="0093372D">
        <w:rPr>
          <w:position w:val="-10"/>
        </w:rPr>
        <w:object w:dxaOrig="180" w:dyaOrig="340" w14:anchorId="10ACED13">
          <v:shape id="_x0000_i1055" type="#_x0000_t75" style="width:8.3pt;height:21.45pt" o:ole="">
            <v:imagedata r:id="rId25" o:title=""/>
          </v:shape>
          <o:OLEObject Type="Embed" ProgID="Equation.3" ShapeID="_x0000_i1055" DrawAspect="Content" ObjectID="_1637479236" r:id="rId66"/>
        </w:object>
      </w:r>
      <w:r w:rsidR="003D39AD">
        <w:tab/>
      </w:r>
      <w:r w:rsidR="003D39AD" w:rsidRPr="00685BF7">
        <w:t>Equation (</w:t>
      </w:r>
      <w:r w:rsidR="00035504">
        <w:t>13</w:t>
      </w:r>
      <w:r w:rsidR="003D39AD" w:rsidRPr="00685BF7">
        <w:t>)</w:t>
      </w:r>
    </w:p>
    <w:p w14:paraId="5A95D940" w14:textId="2306FA02" w:rsidR="00C422F5" w:rsidRPr="00685BF7" w:rsidRDefault="00C423DC" w:rsidP="00C422F5">
      <w:pPr>
        <w:tabs>
          <w:tab w:val="left" w:pos="7830"/>
        </w:tabs>
        <w:spacing w:before="120"/>
        <w:ind w:firstLine="720"/>
      </w:pPr>
      <m:oMath>
        <m:sSub>
          <m:sSubPr>
            <m:ctrlPr>
              <w:rPr>
                <w:rFonts w:ascii="Cambria Math" w:hAnsi="Cambria Math"/>
                <w:i/>
              </w:rPr>
            </m:ctrlPr>
          </m:sSubPr>
          <m:e>
            <m:r>
              <w:rPr>
                <w:rFonts w:ascii="Cambria Math"/>
              </w:rPr>
              <m:t>a</m:t>
            </m:r>
          </m:e>
          <m:sub>
            <m:r>
              <w:rPr>
                <w:rFonts w:ascii="Cambria Math"/>
              </w:rPr>
              <m:t>2</m:t>
            </m:r>
          </m:sub>
        </m:sSub>
        <m:r>
          <w:rPr>
            <w:rFonts w:ascii="Cambria Math"/>
          </w:rPr>
          <m:t>=</m:t>
        </m:r>
        <m:sSub>
          <m:sSubPr>
            <m:ctrlPr>
              <w:rPr>
                <w:rFonts w:ascii="Cambria Math" w:hAnsi="Cambria Math"/>
                <w:i/>
              </w:rPr>
            </m:ctrlPr>
          </m:sSubPr>
          <m:e>
            <m:r>
              <w:rPr>
                <w:rFonts w:ascii="Cambria Math"/>
              </w:rPr>
              <m:t>K</m:t>
            </m:r>
          </m:e>
          <m:sub>
            <m:r>
              <w:rPr>
                <w:rFonts w:ascii="Cambria Math"/>
              </w:rPr>
              <m:t>d,slow</m:t>
            </m:r>
          </m:sub>
        </m:sSub>
        <m:r>
          <w:rPr>
            <w:rFonts w:ascii="Cambria Math"/>
          </w:rPr>
          <m:t>×</m:t>
        </m:r>
        <m:sSub>
          <m:sSubPr>
            <m:ctrlPr>
              <w:rPr>
                <w:rFonts w:ascii="Cambria Math" w:hAnsi="Cambria Math"/>
                <w:i/>
              </w:rPr>
            </m:ctrlPr>
          </m:sSubPr>
          <m:e>
            <m:r>
              <w:rPr>
                <w:rFonts w:ascii="Cambria Math"/>
              </w:rPr>
              <m:t>V</m:t>
            </m:r>
          </m:e>
          <m:sub/>
        </m:sSub>
        <m:r>
          <w:rPr>
            <w:rFonts w:ascii="Cambria Math"/>
          </w:rPr>
          <m:t>×</m:t>
        </m:r>
        <m:r>
          <w:rPr>
            <w:rFonts w:ascii="Cambria Math"/>
          </w:rPr>
          <m:t>1</m:t>
        </m:r>
        <m:sSup>
          <m:sSupPr>
            <m:ctrlPr>
              <w:rPr>
                <w:rFonts w:ascii="Cambria Math" w:hAnsi="Cambria Math"/>
                <w:i/>
              </w:rPr>
            </m:ctrlPr>
          </m:sSupPr>
          <m:e>
            <m:r>
              <w:rPr>
                <w:rFonts w:ascii="Cambria Math"/>
              </w:rPr>
              <m:t>0</m:t>
            </m:r>
          </m:e>
          <m:sup>
            <m:r>
              <w:rPr>
                <w:rFonts w:ascii="Cambria Math"/>
              </w:rPr>
              <m:t>-</m:t>
            </m:r>
            <m:r>
              <w:rPr>
                <w:rFonts w:ascii="Cambria Math"/>
              </w:rPr>
              <m:t>6</m:t>
            </m:r>
          </m:sup>
        </m:sSup>
        <m:r>
          <w:rPr>
            <w:rFonts w:ascii="Cambria Math"/>
          </w:rPr>
          <m:t>×</m:t>
        </m:r>
        <m:r>
          <w:rPr>
            <w:rFonts w:ascii="Cambria Math"/>
          </w:rPr>
          <m:t>MW</m:t>
        </m:r>
      </m:oMath>
      <w:r w:rsidR="00C422F5" w:rsidRPr="0093372D">
        <w:t xml:space="preserve"> </w:t>
      </w:r>
      <w:r w:rsidR="003D39AD" w:rsidRPr="0093372D">
        <w:rPr>
          <w:position w:val="-10"/>
        </w:rPr>
        <w:object w:dxaOrig="180" w:dyaOrig="340" w14:anchorId="57FCE13B">
          <v:shape id="_x0000_i1056" type="#_x0000_t75" style="width:8.3pt;height:21.45pt" o:ole="">
            <v:imagedata r:id="rId25" o:title=""/>
          </v:shape>
          <o:OLEObject Type="Embed" ProgID="Equation.3" ShapeID="_x0000_i1056" DrawAspect="Content" ObjectID="_1637479237" r:id="rId67"/>
        </w:object>
      </w:r>
      <w:r w:rsidR="00C422F5">
        <w:tab/>
      </w:r>
      <w:r w:rsidR="003D39AD" w:rsidRPr="00685BF7">
        <w:t>Equation (</w:t>
      </w:r>
      <w:r w:rsidR="00035504">
        <w:t>14</w:t>
      </w:r>
      <w:r w:rsidR="003D39AD" w:rsidRPr="00685BF7">
        <w:t>)</w:t>
      </w:r>
      <w:r w:rsidR="00C422F5" w:rsidRPr="00C422F5">
        <w:t xml:space="preserve"> </w:t>
      </w:r>
    </w:p>
    <w:p w14:paraId="1A2B8360" w14:textId="39426D1C" w:rsidR="003D39AD" w:rsidRPr="00685BF7" w:rsidRDefault="003D39AD" w:rsidP="00C422F5">
      <w:pPr>
        <w:spacing w:before="120"/>
        <w:ind w:firstLine="720"/>
      </w:pPr>
      <w:r w:rsidRPr="00685BF7">
        <w:t xml:space="preserve">In equations </w:t>
      </w:r>
      <w:r w:rsidR="00035504">
        <w:t xml:space="preserve">11 </w:t>
      </w:r>
      <w:r w:rsidRPr="00685BF7">
        <w:t xml:space="preserve">through </w:t>
      </w:r>
      <w:r w:rsidR="00035504">
        <w:t>14</w:t>
      </w:r>
      <w:r w:rsidRPr="00685BF7">
        <w:t xml:space="preserve">, </w:t>
      </w:r>
      <w:proofErr w:type="spellStart"/>
      <w:r w:rsidRPr="00F4057C">
        <w:rPr>
          <w:i/>
          <w:sz w:val="24"/>
          <w:szCs w:val="24"/>
        </w:rPr>
        <w:t>M</w:t>
      </w:r>
      <w:r w:rsidRPr="00F4057C">
        <w:rPr>
          <w:i/>
          <w:sz w:val="24"/>
          <w:szCs w:val="24"/>
          <w:vertAlign w:val="subscript"/>
        </w:rPr>
        <w:t>melanin</w:t>
      </w:r>
      <w:proofErr w:type="spellEnd"/>
      <w:r>
        <w:t xml:space="preserve"> </w:t>
      </w:r>
      <w:r w:rsidRPr="00685BF7">
        <w:t xml:space="preserve">is the amount of melanin in given compartment, </w:t>
      </w:r>
      <w:r w:rsidRPr="00685BF7">
        <w:rPr>
          <w:i/>
        </w:rPr>
        <w:t xml:space="preserve">MW </w:t>
      </w:r>
      <w:r w:rsidRPr="00685BF7">
        <w:t>is the molecular weight of the drug, an</w:t>
      </w:r>
      <w:r w:rsidR="001C02E2">
        <w:t xml:space="preserve">d </w:t>
      </w:r>
      <w:r w:rsidR="001C02E2" w:rsidRPr="001C02E2">
        <w:rPr>
          <w:i/>
        </w:rPr>
        <w:t>V</w:t>
      </w:r>
      <w:r w:rsidR="001C02E2">
        <w:t xml:space="preserve"> </w:t>
      </w:r>
      <w:r w:rsidRPr="00685BF7">
        <w:t xml:space="preserve">s the volume of the given compartment. </w:t>
      </w:r>
      <w:proofErr w:type="spellStart"/>
      <w:r w:rsidRPr="0093372D">
        <w:rPr>
          <w:i/>
        </w:rPr>
        <w:t>B</w:t>
      </w:r>
      <w:r w:rsidRPr="0093372D">
        <w:rPr>
          <w:i/>
          <w:vertAlign w:val="subscript"/>
        </w:rPr>
        <w:t>max</w:t>
      </w:r>
      <w:proofErr w:type="spellEnd"/>
      <w:r>
        <w:t xml:space="preserve"> </w:t>
      </w:r>
      <w:r w:rsidRPr="00685BF7">
        <w:t xml:space="preserve">and </w:t>
      </w:r>
      <w:proofErr w:type="spellStart"/>
      <w:r w:rsidRPr="0093372D">
        <w:rPr>
          <w:i/>
        </w:rPr>
        <w:t>B</w:t>
      </w:r>
      <w:r w:rsidRPr="0093372D">
        <w:rPr>
          <w:i/>
          <w:vertAlign w:val="subscript"/>
        </w:rPr>
        <w:t>max,slow</w:t>
      </w:r>
      <w:proofErr w:type="spellEnd"/>
      <w:r w:rsidRPr="00685BF7">
        <w:t xml:space="preserve"> (in </w:t>
      </w:r>
      <w:r w:rsidR="002F1BD7" w:rsidRPr="00C422F5">
        <w:rPr>
          <w:rFonts w:ascii="Symbol" w:hAnsi="Symbol"/>
        </w:rPr>
        <w:t></w:t>
      </w:r>
      <w:r w:rsidR="002F1BD7" w:rsidRPr="00685BF7">
        <w:t>mol</w:t>
      </w:r>
      <w:r w:rsidRPr="00685BF7">
        <w:t xml:space="preserve">/g) and </w:t>
      </w:r>
      <w:proofErr w:type="spellStart"/>
      <w:r w:rsidRPr="0093372D">
        <w:rPr>
          <w:i/>
        </w:rPr>
        <w:t>K</w:t>
      </w:r>
      <w:r w:rsidRPr="0093372D">
        <w:rPr>
          <w:i/>
          <w:vertAlign w:val="subscript"/>
        </w:rPr>
        <w:t>d</w:t>
      </w:r>
      <w:proofErr w:type="spellEnd"/>
      <w:r w:rsidRPr="00685BF7">
        <w:t xml:space="preserve"> and </w:t>
      </w:r>
      <w:proofErr w:type="spellStart"/>
      <w:r w:rsidRPr="0093372D">
        <w:rPr>
          <w:i/>
        </w:rPr>
        <w:t>K</w:t>
      </w:r>
      <w:r w:rsidRPr="0093372D">
        <w:rPr>
          <w:i/>
          <w:vertAlign w:val="subscript"/>
        </w:rPr>
        <w:t>d,slow</w:t>
      </w:r>
      <w:proofErr w:type="spellEnd"/>
      <w:r w:rsidRPr="00685BF7">
        <w:t xml:space="preserve"> (</w:t>
      </w:r>
      <w:r w:rsidRPr="00685BF7">
        <w:rPr>
          <w:position w:val="-10"/>
        </w:rPr>
        <w:object w:dxaOrig="480" w:dyaOrig="320" w14:anchorId="5401A168">
          <v:shape id="_x0000_i1057" type="#_x0000_t75" style="width:24.25pt;height:13.85pt" o:ole="">
            <v:imagedata r:id="rId68" o:title=""/>
          </v:shape>
          <o:OLEObject Type="Embed" ProgID="Equation.DSMT4" ShapeID="_x0000_i1057" DrawAspect="Content" ObjectID="_1637479238" r:id="rId69"/>
        </w:object>
      </w:r>
      <w:r w:rsidRPr="00685BF7">
        <w:t xml:space="preserve">) represent drug-dependent </w:t>
      </w:r>
      <w:r w:rsidR="00AB000B">
        <w:t xml:space="preserve">equilibrium </w:t>
      </w:r>
      <w:r w:rsidRPr="00685BF7">
        <w:t xml:space="preserve">Langmuir saturable binding </w:t>
      </w:r>
      <w:r w:rsidR="00AB000B">
        <w:t>dissociation con</w:t>
      </w:r>
      <w:r w:rsidR="009D0B9D">
        <w:t xml:space="preserve">stants </w:t>
      </w:r>
      <w:r w:rsidRPr="00685BF7">
        <w:t>(accounting for two different binding sites).</w:t>
      </w:r>
    </w:p>
    <w:p w14:paraId="125BCBDA" w14:textId="545728C9" w:rsidR="003D39AD" w:rsidRPr="00685BF7" w:rsidRDefault="003D39AD" w:rsidP="003D39AD">
      <w:pPr>
        <w:spacing w:before="240"/>
        <w:ind w:left="720"/>
        <w:rPr>
          <w:i/>
        </w:rPr>
      </w:pPr>
      <w:r w:rsidRPr="00685BF7">
        <w:rPr>
          <w:i/>
        </w:rPr>
        <w:t xml:space="preserve">Please note that Equation </w:t>
      </w:r>
      <w:r w:rsidR="00035504">
        <w:rPr>
          <w:i/>
        </w:rPr>
        <w:t xml:space="preserve">10 </w:t>
      </w:r>
      <w:r w:rsidRPr="00685BF7">
        <w:rPr>
          <w:i/>
        </w:rPr>
        <w:t>leads to the free amount being calculated from the total amount through reverse functional mapping using an iterative Newton’s method within the program</w:t>
      </w:r>
    </w:p>
    <w:p w14:paraId="66A812BB" w14:textId="77777777" w:rsidR="003D39AD" w:rsidRPr="00685BF7" w:rsidRDefault="003D39AD" w:rsidP="003D39AD">
      <w:pPr>
        <w:spacing w:before="120"/>
        <w:ind w:left="720"/>
      </w:pPr>
    </w:p>
    <w:p w14:paraId="58E37409" w14:textId="77777777" w:rsidR="003D39AD" w:rsidRPr="00685BF7" w:rsidRDefault="003D39AD" w:rsidP="003D39AD"/>
    <w:sectPr w:rsidR="003D39AD" w:rsidRPr="00685BF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C6340" w14:textId="77777777" w:rsidR="00C423DC" w:rsidRDefault="00C423DC">
      <w:pPr>
        <w:spacing w:after="0" w:line="240" w:lineRule="auto"/>
      </w:pPr>
      <w:r>
        <w:separator/>
      </w:r>
    </w:p>
  </w:endnote>
  <w:endnote w:type="continuationSeparator" w:id="0">
    <w:p w14:paraId="42D997D0" w14:textId="77777777" w:rsidR="00C423DC" w:rsidRDefault="00C42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872E5" w14:textId="77777777" w:rsidR="00C423DC" w:rsidRDefault="00C423DC">
      <w:pPr>
        <w:spacing w:after="0" w:line="240" w:lineRule="auto"/>
      </w:pPr>
      <w:r>
        <w:separator/>
      </w:r>
    </w:p>
  </w:footnote>
  <w:footnote w:type="continuationSeparator" w:id="0">
    <w:p w14:paraId="18C9A951" w14:textId="77777777" w:rsidR="00C423DC" w:rsidRDefault="00C423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9AD"/>
    <w:rsid w:val="00035504"/>
    <w:rsid w:val="00080F27"/>
    <w:rsid w:val="000C15B9"/>
    <w:rsid w:val="000D028C"/>
    <w:rsid w:val="00120BF9"/>
    <w:rsid w:val="00134C9E"/>
    <w:rsid w:val="001C02E2"/>
    <w:rsid w:val="002B78E8"/>
    <w:rsid w:val="002F1BD7"/>
    <w:rsid w:val="003268BC"/>
    <w:rsid w:val="003B008E"/>
    <w:rsid w:val="003D39AD"/>
    <w:rsid w:val="00423802"/>
    <w:rsid w:val="00497867"/>
    <w:rsid w:val="004A1554"/>
    <w:rsid w:val="004C3C95"/>
    <w:rsid w:val="004C6CBE"/>
    <w:rsid w:val="004D136F"/>
    <w:rsid w:val="004D40E4"/>
    <w:rsid w:val="00586D27"/>
    <w:rsid w:val="005F4DD8"/>
    <w:rsid w:val="00693574"/>
    <w:rsid w:val="006A5C28"/>
    <w:rsid w:val="00736FCD"/>
    <w:rsid w:val="007555F9"/>
    <w:rsid w:val="007A61EC"/>
    <w:rsid w:val="00890BA6"/>
    <w:rsid w:val="008A6A72"/>
    <w:rsid w:val="008C2605"/>
    <w:rsid w:val="00956F56"/>
    <w:rsid w:val="009D0B9D"/>
    <w:rsid w:val="00A51489"/>
    <w:rsid w:val="00A725CA"/>
    <w:rsid w:val="00A766A9"/>
    <w:rsid w:val="00A85508"/>
    <w:rsid w:val="00AB000B"/>
    <w:rsid w:val="00AD7CE3"/>
    <w:rsid w:val="00AF44EF"/>
    <w:rsid w:val="00B14887"/>
    <w:rsid w:val="00B300A8"/>
    <w:rsid w:val="00B300C7"/>
    <w:rsid w:val="00BA2AB1"/>
    <w:rsid w:val="00C422F5"/>
    <w:rsid w:val="00C423DC"/>
    <w:rsid w:val="00C65FAE"/>
    <w:rsid w:val="00C730DD"/>
    <w:rsid w:val="00C91712"/>
    <w:rsid w:val="00D1010A"/>
    <w:rsid w:val="00D162C2"/>
    <w:rsid w:val="00D64552"/>
    <w:rsid w:val="00E3265E"/>
    <w:rsid w:val="00FB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99ECC"/>
  <w15:docId w15:val="{F3A18335-34AC-4D7A-B6CF-E0077C84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9AD"/>
  </w:style>
  <w:style w:type="paragraph" w:styleId="Heading4">
    <w:name w:val="heading 4"/>
    <w:basedOn w:val="Normal"/>
    <w:next w:val="Normal"/>
    <w:link w:val="Heading4Char"/>
    <w:uiPriority w:val="9"/>
    <w:semiHidden/>
    <w:unhideWhenUsed/>
    <w:qFormat/>
    <w:rsid w:val="003D39A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D39A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3D39A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D39AD"/>
    <w:rPr>
      <w:rFonts w:asciiTheme="majorHAnsi" w:eastAsiaTheme="majorEastAsia" w:hAnsiTheme="majorHAnsi" w:cstheme="majorBidi"/>
      <w:color w:val="243F60" w:themeColor="accent1" w:themeShade="7F"/>
    </w:rPr>
  </w:style>
  <w:style w:type="paragraph" w:styleId="Footer">
    <w:name w:val="footer"/>
    <w:basedOn w:val="Normal"/>
    <w:link w:val="FooterChar"/>
    <w:rsid w:val="003D39AD"/>
    <w:pPr>
      <w:tabs>
        <w:tab w:val="center" w:pos="4320"/>
        <w:tab w:val="right" w:pos="8640"/>
      </w:tabs>
      <w:spacing w:after="0" w:line="240" w:lineRule="auto"/>
      <w:jc w:val="both"/>
    </w:pPr>
    <w:rPr>
      <w:rFonts w:ascii="Times New Roman" w:eastAsia="Times New Roman" w:hAnsi="Times New Roman" w:cs="Times New Roman"/>
      <w:szCs w:val="20"/>
    </w:rPr>
  </w:style>
  <w:style w:type="character" w:customStyle="1" w:styleId="FooterChar">
    <w:name w:val="Footer Char"/>
    <w:basedOn w:val="DefaultParagraphFont"/>
    <w:link w:val="Footer"/>
    <w:rsid w:val="003D39AD"/>
    <w:rPr>
      <w:rFonts w:ascii="Times New Roman" w:eastAsia="Times New Roman" w:hAnsi="Times New Roman" w:cs="Times New Roman"/>
      <w:szCs w:val="20"/>
    </w:rPr>
  </w:style>
  <w:style w:type="character" w:styleId="PageNumber">
    <w:name w:val="page number"/>
    <w:basedOn w:val="DefaultParagraphFont"/>
    <w:rsid w:val="003D39AD"/>
  </w:style>
  <w:style w:type="character" w:styleId="CommentReference">
    <w:name w:val="annotation reference"/>
    <w:basedOn w:val="DefaultParagraphFont"/>
    <w:uiPriority w:val="99"/>
    <w:semiHidden/>
    <w:unhideWhenUsed/>
    <w:rsid w:val="00035504"/>
    <w:rPr>
      <w:sz w:val="16"/>
      <w:szCs w:val="16"/>
    </w:rPr>
  </w:style>
  <w:style w:type="paragraph" w:styleId="CommentText">
    <w:name w:val="annotation text"/>
    <w:basedOn w:val="Normal"/>
    <w:link w:val="CommentTextChar"/>
    <w:uiPriority w:val="99"/>
    <w:semiHidden/>
    <w:unhideWhenUsed/>
    <w:rsid w:val="00035504"/>
    <w:pPr>
      <w:spacing w:line="240" w:lineRule="auto"/>
    </w:pPr>
    <w:rPr>
      <w:sz w:val="20"/>
      <w:szCs w:val="20"/>
    </w:rPr>
  </w:style>
  <w:style w:type="character" w:customStyle="1" w:styleId="CommentTextChar">
    <w:name w:val="Comment Text Char"/>
    <w:basedOn w:val="DefaultParagraphFont"/>
    <w:link w:val="CommentText"/>
    <w:uiPriority w:val="99"/>
    <w:semiHidden/>
    <w:rsid w:val="00035504"/>
    <w:rPr>
      <w:sz w:val="20"/>
      <w:szCs w:val="20"/>
    </w:rPr>
  </w:style>
  <w:style w:type="paragraph" w:styleId="CommentSubject">
    <w:name w:val="annotation subject"/>
    <w:basedOn w:val="CommentText"/>
    <w:next w:val="CommentText"/>
    <w:link w:val="CommentSubjectChar"/>
    <w:uiPriority w:val="99"/>
    <w:semiHidden/>
    <w:unhideWhenUsed/>
    <w:rsid w:val="00035504"/>
    <w:rPr>
      <w:b/>
      <w:bCs/>
    </w:rPr>
  </w:style>
  <w:style w:type="character" w:customStyle="1" w:styleId="CommentSubjectChar">
    <w:name w:val="Comment Subject Char"/>
    <w:basedOn w:val="CommentTextChar"/>
    <w:link w:val="CommentSubject"/>
    <w:uiPriority w:val="99"/>
    <w:semiHidden/>
    <w:rsid w:val="00035504"/>
    <w:rPr>
      <w:b/>
      <w:bCs/>
      <w:sz w:val="20"/>
      <w:szCs w:val="20"/>
    </w:rPr>
  </w:style>
  <w:style w:type="paragraph" w:styleId="BalloonText">
    <w:name w:val="Balloon Text"/>
    <w:basedOn w:val="Normal"/>
    <w:link w:val="BalloonTextChar"/>
    <w:uiPriority w:val="99"/>
    <w:semiHidden/>
    <w:unhideWhenUsed/>
    <w:rsid w:val="000355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504"/>
    <w:rPr>
      <w:rFonts w:ascii="Segoe UI" w:hAnsi="Segoe UI" w:cs="Segoe UI"/>
      <w:sz w:val="18"/>
      <w:szCs w:val="18"/>
    </w:rPr>
  </w:style>
  <w:style w:type="character" w:styleId="PlaceholderText">
    <w:name w:val="Placeholder Text"/>
    <w:basedOn w:val="DefaultParagraphFont"/>
    <w:uiPriority w:val="99"/>
    <w:semiHidden/>
    <w:rsid w:val="00D162C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6.bin"/><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oleObject" Target="embeddings/oleObject18.bin"/><Relationship Id="rId47" Type="http://schemas.openxmlformats.org/officeDocument/2006/relationships/image" Target="media/image20.wmf"/><Relationship Id="rId50" Type="http://schemas.openxmlformats.org/officeDocument/2006/relationships/oleObject" Target="embeddings/oleObject22.bin"/><Relationship Id="rId55" Type="http://schemas.openxmlformats.org/officeDocument/2006/relationships/image" Target="media/image24.wmf"/><Relationship Id="rId63" Type="http://schemas.openxmlformats.org/officeDocument/2006/relationships/oleObject" Target="embeddings/oleObject29.bin"/><Relationship Id="rId68" Type="http://schemas.openxmlformats.org/officeDocument/2006/relationships/image" Target="media/image29.wmf"/><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4.bin"/><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oleObject" Target="embeddings/oleObject17.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26.bin"/><Relationship Id="rId66" Type="http://schemas.openxmlformats.org/officeDocument/2006/relationships/oleObject" Target="embeddings/oleObject31.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1.wmf"/><Relationship Id="rId57" Type="http://schemas.openxmlformats.org/officeDocument/2006/relationships/image" Target="media/image25.wmf"/><Relationship Id="rId61" Type="http://schemas.openxmlformats.org/officeDocument/2006/relationships/image" Target="media/image27.wmf"/><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oleObject" Target="embeddings/oleObject30.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image" Target="media/image18.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image" Target="media/image28.wmf"/><Relationship Id="rId69" Type="http://schemas.openxmlformats.org/officeDocument/2006/relationships/oleObject" Target="embeddings/oleObject33.bin"/><Relationship Id="rId8" Type="http://schemas.openxmlformats.org/officeDocument/2006/relationships/image" Target="media/image1.png"/><Relationship Id="rId51" Type="http://schemas.openxmlformats.org/officeDocument/2006/relationships/image" Target="media/image22.wmf"/><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oleObject" Target="embeddings/oleObject20.bin"/><Relationship Id="rId59" Type="http://schemas.openxmlformats.org/officeDocument/2006/relationships/image" Target="media/image26.wmf"/><Relationship Id="rId67" Type="http://schemas.openxmlformats.org/officeDocument/2006/relationships/oleObject" Target="embeddings/oleObject32.bin"/><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S i m c y p D a t a   x m l n s = " h t t p : / / w w w . s i m c y p . c o m / " >  
     < P r o f i l e C h a r t s / >  
     < R e s u l t s T a b l e s / >  
     < S t a t i s t i c s C h a r t s / >  
     < R e g i o n a l F r a c t i o n C h a r t s / >  
     < I n p u t T a b l e s / >  
 < / S i m c y p 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CB328-424D-498A-BB37-DF0334C2C0D4}">
  <ds:schemaRefs>
    <ds:schemaRef ds:uri="http://www.simcyp.com/"/>
  </ds:schemaRefs>
</ds:datastoreItem>
</file>

<file path=customXml/itemProps2.xml><?xml version="1.0" encoding="utf-8"?>
<ds:datastoreItem xmlns:ds="http://schemas.openxmlformats.org/officeDocument/2006/customXml" ds:itemID="{F26EC20E-5F70-42D3-8B74-9DA39151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1329</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Simulations Plus, Inc.</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bolger</dc:creator>
  <cp:lastModifiedBy>Maxime Le Merdy</cp:lastModifiedBy>
  <cp:revision>2</cp:revision>
  <dcterms:created xsi:type="dcterms:W3CDTF">2019-12-10T18:33:00Z</dcterms:created>
  <dcterms:modified xsi:type="dcterms:W3CDTF">2019-12-10T18:33:00Z</dcterms:modified>
</cp:coreProperties>
</file>