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207" w:rsidRPr="00D80D98" w:rsidRDefault="009224D8">
      <w:pPr>
        <w:rPr>
          <w:rFonts w:ascii="Times New Roman" w:hAnsi="Times New Roman" w:cs="Times New Roman"/>
          <w:sz w:val="24"/>
          <w:szCs w:val="24"/>
        </w:rPr>
      </w:pPr>
      <w:r w:rsidRPr="00D80D98">
        <w:rPr>
          <w:rFonts w:ascii="Times New Roman" w:hAnsi="Times New Roman" w:cs="Times New Roman"/>
          <w:sz w:val="24"/>
          <w:szCs w:val="24"/>
        </w:rPr>
        <w:t>Supplemental Material:</w:t>
      </w:r>
    </w:p>
    <w:p w:rsidR="009224D8" w:rsidRDefault="009224D8"/>
    <w:p w:rsidR="00A35FE0" w:rsidRPr="00D80D98" w:rsidRDefault="00A35FE0" w:rsidP="00A35FE0">
      <w:pPr>
        <w:pStyle w:val="NormalWeb"/>
        <w:spacing w:before="0" w:beforeAutospacing="0" w:after="0" w:afterAutospacing="0"/>
      </w:pPr>
      <w:r w:rsidRPr="00D80D98">
        <w:rPr>
          <w:b/>
          <w:bCs/>
          <w:color w:val="000000"/>
          <w:kern w:val="24"/>
        </w:rPr>
        <w:t>Figure S1</w:t>
      </w:r>
      <w:r>
        <w:rPr>
          <w:b/>
          <w:bCs/>
          <w:color w:val="000000"/>
          <w:kern w:val="24"/>
        </w:rPr>
        <w:t>:</w:t>
      </w:r>
      <w:r w:rsidRPr="00D80D98">
        <w:rPr>
          <w:color w:val="000000"/>
          <w:kern w:val="24"/>
        </w:rPr>
        <w:t xml:space="preserve"> </w:t>
      </w:r>
      <w:r w:rsidRPr="00951AC7">
        <w:rPr>
          <w:b/>
          <w:color w:val="000000" w:themeColor="text1"/>
        </w:rPr>
        <w:t>Increased brain-delivery of KG207</w:t>
      </w:r>
      <w:r w:rsidR="00491BBF">
        <w:rPr>
          <w:b/>
          <w:color w:val="000000" w:themeColor="text1"/>
        </w:rPr>
        <w:t>-H</w:t>
      </w:r>
      <w:r w:rsidRPr="00951AC7">
        <w:rPr>
          <w:b/>
          <w:color w:val="000000" w:themeColor="text1"/>
        </w:rPr>
        <w:t xml:space="preserve"> carrying BBB-permeable FC5 compared to non BBB-permeable A20.1-Fc.</w:t>
      </w:r>
      <w:r>
        <w:rPr>
          <w:color w:val="000000" w:themeColor="text1"/>
        </w:rPr>
        <w:t xml:space="preserve">  </w:t>
      </w:r>
      <w:r w:rsidR="00951AC7" w:rsidRPr="00A35FE0">
        <w:rPr>
          <w:bCs/>
          <w:color w:val="000000"/>
          <w:kern w:val="24"/>
          <w:lang w:val="en-US"/>
        </w:rPr>
        <w:t>T</w:t>
      </w:r>
      <w:r w:rsidR="00951AC7">
        <w:rPr>
          <w:bCs/>
          <w:color w:val="000000"/>
          <w:kern w:val="24"/>
          <w:lang w:val="en-US"/>
        </w:rPr>
        <w:t xml:space="preserve">ransgenic </w:t>
      </w:r>
      <w:r w:rsidR="00951AC7" w:rsidRPr="00A35FE0">
        <w:rPr>
          <w:bCs/>
          <w:color w:val="000000"/>
          <w:kern w:val="24"/>
          <w:lang w:val="en-US"/>
        </w:rPr>
        <w:t>m</w:t>
      </w:r>
      <w:r w:rsidR="00951AC7" w:rsidRPr="00D96C57">
        <w:rPr>
          <w:color w:val="000000"/>
          <w:kern w:val="24"/>
          <w:lang w:val="en-US"/>
        </w:rPr>
        <w:t xml:space="preserve">ice were </w:t>
      </w:r>
      <w:r w:rsidR="00AA3FC6">
        <w:rPr>
          <w:color w:val="000000"/>
          <w:kern w:val="24"/>
          <w:lang w:val="en-US"/>
        </w:rPr>
        <w:t xml:space="preserve">intravenously injected with </w:t>
      </w:r>
      <w:r w:rsidR="00AA3FC6" w:rsidRPr="00D96C57">
        <w:rPr>
          <w:color w:val="000000"/>
          <w:kern w:val="24"/>
          <w:lang w:val="en-US"/>
        </w:rPr>
        <w:t xml:space="preserve">15 mg/kg </w:t>
      </w:r>
      <w:r w:rsidR="00AA3FC6">
        <w:rPr>
          <w:color w:val="000000"/>
          <w:kern w:val="24"/>
          <w:lang w:val="en-US"/>
        </w:rPr>
        <w:t xml:space="preserve">of </w:t>
      </w:r>
      <w:r w:rsidR="00951AC7" w:rsidRPr="00D96C57">
        <w:rPr>
          <w:color w:val="000000"/>
          <w:kern w:val="24"/>
          <w:lang w:val="en-US"/>
        </w:rPr>
        <w:t xml:space="preserve">either </w:t>
      </w:r>
      <w:r w:rsidR="00951AC7" w:rsidRPr="00D80D98">
        <w:rPr>
          <w:color w:val="000000"/>
          <w:kern w:val="24"/>
        </w:rPr>
        <w:t>A20.1-Fc</w:t>
      </w:r>
      <w:r w:rsidR="00951AC7" w:rsidRPr="00D96C57">
        <w:rPr>
          <w:color w:val="000000"/>
          <w:kern w:val="24"/>
          <w:lang w:val="en-US"/>
        </w:rPr>
        <w:t xml:space="preserve"> or KG207</w:t>
      </w:r>
      <w:r w:rsidR="00951AC7">
        <w:rPr>
          <w:color w:val="000000"/>
          <w:kern w:val="24"/>
          <w:lang w:val="en-US"/>
        </w:rPr>
        <w:t xml:space="preserve">-H, </w:t>
      </w:r>
      <w:r w:rsidR="00951AC7" w:rsidRPr="00D96C57">
        <w:rPr>
          <w:color w:val="000000"/>
          <w:kern w:val="24"/>
          <w:lang w:val="en-US"/>
        </w:rPr>
        <w:t xml:space="preserve">and </w:t>
      </w:r>
      <w:r w:rsidR="00951AC7">
        <w:rPr>
          <w:color w:val="000000"/>
          <w:kern w:val="24"/>
          <w:lang w:val="en-US"/>
        </w:rPr>
        <w:t xml:space="preserve">CSF and </w:t>
      </w:r>
      <w:r w:rsidR="00951AC7" w:rsidRPr="00D96C57">
        <w:rPr>
          <w:color w:val="000000"/>
          <w:kern w:val="24"/>
          <w:lang w:val="en-US"/>
        </w:rPr>
        <w:t xml:space="preserve">brains were collected </w:t>
      </w:r>
      <w:r w:rsidR="00951AC7">
        <w:rPr>
          <w:color w:val="000000"/>
          <w:kern w:val="24"/>
          <w:lang w:val="en-US"/>
        </w:rPr>
        <w:t>after</w:t>
      </w:r>
      <w:r w:rsidR="00951AC7" w:rsidRPr="00D96C57">
        <w:rPr>
          <w:color w:val="000000"/>
          <w:kern w:val="24"/>
          <w:lang w:val="en-US"/>
        </w:rPr>
        <w:t xml:space="preserve"> 24h. </w:t>
      </w:r>
      <w:r w:rsidR="00AA3FC6">
        <w:rPr>
          <w:color w:val="000000"/>
          <w:kern w:val="24"/>
          <w:lang w:val="en-US"/>
        </w:rPr>
        <w:t xml:space="preserve">Levels of </w:t>
      </w:r>
      <w:r w:rsidRPr="00D80D98">
        <w:rPr>
          <w:color w:val="000000"/>
          <w:kern w:val="24"/>
        </w:rPr>
        <w:t>A20.1-Fc (grey bars) and KG207</w:t>
      </w:r>
      <w:r>
        <w:rPr>
          <w:color w:val="000000"/>
          <w:kern w:val="24"/>
        </w:rPr>
        <w:t>-H</w:t>
      </w:r>
      <w:r w:rsidRPr="00D80D98">
        <w:rPr>
          <w:color w:val="000000"/>
          <w:kern w:val="24"/>
        </w:rPr>
        <w:t xml:space="preserve"> (red bars) </w:t>
      </w:r>
      <w:r w:rsidR="00951AC7">
        <w:rPr>
          <w:color w:val="000000"/>
          <w:kern w:val="24"/>
        </w:rPr>
        <w:t xml:space="preserve">in </w:t>
      </w:r>
      <w:r w:rsidR="00AA3FC6">
        <w:rPr>
          <w:color w:val="000000"/>
          <w:kern w:val="24"/>
        </w:rPr>
        <w:t xml:space="preserve">the </w:t>
      </w:r>
      <w:r w:rsidRPr="00D80D98">
        <w:rPr>
          <w:color w:val="000000"/>
          <w:kern w:val="24"/>
        </w:rPr>
        <w:t xml:space="preserve">CSF and </w:t>
      </w:r>
      <w:r>
        <w:rPr>
          <w:color w:val="000000"/>
          <w:kern w:val="24"/>
        </w:rPr>
        <w:t xml:space="preserve">perfused </w:t>
      </w:r>
      <w:r w:rsidRPr="00D80D98">
        <w:rPr>
          <w:color w:val="000000"/>
          <w:kern w:val="24"/>
        </w:rPr>
        <w:t xml:space="preserve">brain were measured </w:t>
      </w:r>
      <w:r w:rsidR="00AA3FC6">
        <w:rPr>
          <w:color w:val="000000"/>
          <w:kern w:val="24"/>
        </w:rPr>
        <w:t xml:space="preserve">by </w:t>
      </w:r>
      <w:proofErr w:type="spellStart"/>
      <w:r w:rsidR="009F3241" w:rsidRPr="00D96C57">
        <w:rPr>
          <w:color w:val="000000"/>
          <w:kern w:val="24"/>
          <w:lang w:val="en-US"/>
        </w:rPr>
        <w:t>nanoLC</w:t>
      </w:r>
      <w:proofErr w:type="spellEnd"/>
      <w:r w:rsidR="009F3241" w:rsidRPr="00D96C57">
        <w:rPr>
          <w:color w:val="000000"/>
          <w:kern w:val="24"/>
          <w:lang w:val="en-US"/>
        </w:rPr>
        <w:t>-SRM</w:t>
      </w:r>
      <w:r w:rsidRPr="00D80D98">
        <w:rPr>
          <w:color w:val="000000"/>
          <w:kern w:val="24"/>
        </w:rPr>
        <w:t xml:space="preserve"> analysis in at least 4 animals</w:t>
      </w:r>
      <w:r w:rsidR="00951AC7">
        <w:rPr>
          <w:color w:val="000000"/>
          <w:kern w:val="24"/>
        </w:rPr>
        <w:t xml:space="preserve">. </w:t>
      </w:r>
      <w:r w:rsidR="009F3241">
        <w:rPr>
          <w:color w:val="000000"/>
          <w:kern w:val="24"/>
        </w:rPr>
        <w:t>B</w:t>
      </w:r>
      <w:r w:rsidRPr="00D80D98">
        <w:rPr>
          <w:color w:val="000000"/>
          <w:kern w:val="24"/>
        </w:rPr>
        <w:t>ars represent mean and SD.</w:t>
      </w:r>
      <w:r>
        <w:rPr>
          <w:color w:val="000000"/>
          <w:kern w:val="24"/>
        </w:rPr>
        <w:t xml:space="preserve"> Although A20.1-Fc did not carry any payload in this </w:t>
      </w:r>
      <w:r w:rsidR="00491BBF">
        <w:rPr>
          <w:color w:val="000000"/>
          <w:kern w:val="24"/>
        </w:rPr>
        <w:t>study, similar results were observed</w:t>
      </w:r>
      <w:r>
        <w:rPr>
          <w:color w:val="000000"/>
          <w:kern w:val="24"/>
        </w:rPr>
        <w:t xml:space="preserve"> with A20.1-mFc2a-ABP and FC5-mFc2a-ABP (KG207-M, data not shown) wherein both construct</w:t>
      </w:r>
      <w:r w:rsidR="009F3241">
        <w:rPr>
          <w:color w:val="000000"/>
          <w:kern w:val="24"/>
        </w:rPr>
        <w:t>s</w:t>
      </w:r>
      <w:r>
        <w:rPr>
          <w:color w:val="000000"/>
          <w:kern w:val="24"/>
        </w:rPr>
        <w:t xml:space="preserve"> carried ABP payload.</w:t>
      </w:r>
    </w:p>
    <w:p w:rsidR="00D96C57" w:rsidRDefault="00D96C57">
      <w:pPr>
        <w:rPr>
          <w:rFonts w:ascii="Times New Roman" w:hAnsi="Times New Roman" w:cs="Times New Roman"/>
          <w:sz w:val="24"/>
          <w:szCs w:val="24"/>
        </w:rPr>
      </w:pPr>
    </w:p>
    <w:p w:rsidR="00D96C57" w:rsidRDefault="00D96C57">
      <w:pPr>
        <w:rPr>
          <w:rFonts w:ascii="Times New Roman" w:hAnsi="Times New Roman" w:cs="Times New Roman"/>
          <w:sz w:val="24"/>
          <w:szCs w:val="24"/>
        </w:rPr>
      </w:pPr>
    </w:p>
    <w:p w:rsidR="009224D8" w:rsidRDefault="00D96C57">
      <w:pPr>
        <w:rPr>
          <w:rFonts w:ascii="Times New Roman" w:hAnsi="Times New Roman" w:cs="Times New Roman"/>
          <w:sz w:val="24"/>
          <w:szCs w:val="24"/>
        </w:rPr>
      </w:pPr>
      <w:r>
        <w:rPr>
          <w:rFonts w:ascii="Times New Roman" w:hAnsi="Times New Roman" w:cs="Times New Roman"/>
          <w:sz w:val="24"/>
          <w:szCs w:val="24"/>
        </w:rPr>
        <w:t xml:space="preserve">             </w:t>
      </w:r>
      <w:r w:rsidRPr="00D96C57">
        <w:rPr>
          <w:noProof/>
          <w:lang w:eastAsia="en-CA"/>
        </w:rPr>
        <w:drawing>
          <wp:inline distT="0" distB="0" distL="0" distR="0">
            <wp:extent cx="5041900" cy="386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1900" cy="3860800"/>
                    </a:xfrm>
                    <a:prstGeom prst="rect">
                      <a:avLst/>
                    </a:prstGeom>
                    <a:noFill/>
                    <a:ln>
                      <a:noFill/>
                    </a:ln>
                  </pic:spPr>
                </pic:pic>
              </a:graphicData>
            </a:graphic>
          </wp:inline>
        </w:drawing>
      </w:r>
    </w:p>
    <w:p w:rsidR="00D96C57" w:rsidRDefault="00D96C57">
      <w:pPr>
        <w:rPr>
          <w:rFonts w:ascii="Times New Roman" w:hAnsi="Times New Roman" w:cs="Times New Roman"/>
          <w:sz w:val="24"/>
          <w:szCs w:val="24"/>
        </w:rPr>
      </w:pPr>
    </w:p>
    <w:p w:rsidR="00D96C57" w:rsidRDefault="00D96C57">
      <w:pPr>
        <w:rPr>
          <w:rFonts w:ascii="Times New Roman" w:hAnsi="Times New Roman" w:cs="Times New Roman"/>
          <w:sz w:val="24"/>
          <w:szCs w:val="24"/>
        </w:rPr>
      </w:pPr>
    </w:p>
    <w:p w:rsidR="00D96C57" w:rsidRDefault="00D96C57">
      <w:pPr>
        <w:rPr>
          <w:rFonts w:ascii="Times New Roman" w:hAnsi="Times New Roman" w:cs="Times New Roman"/>
          <w:sz w:val="24"/>
          <w:szCs w:val="24"/>
        </w:rPr>
      </w:pPr>
    </w:p>
    <w:p w:rsidR="00D96C57" w:rsidRDefault="00D96C57">
      <w:pPr>
        <w:rPr>
          <w:rFonts w:ascii="Times New Roman" w:hAnsi="Times New Roman" w:cs="Times New Roman"/>
          <w:sz w:val="24"/>
          <w:szCs w:val="24"/>
        </w:rPr>
      </w:pPr>
    </w:p>
    <w:p w:rsidR="00D96C57" w:rsidRDefault="00D96C57">
      <w:pPr>
        <w:rPr>
          <w:rFonts w:ascii="Times New Roman" w:hAnsi="Times New Roman" w:cs="Times New Roman"/>
          <w:sz w:val="24"/>
          <w:szCs w:val="24"/>
        </w:rPr>
      </w:pPr>
    </w:p>
    <w:p w:rsidR="00D96C57" w:rsidRDefault="00D96C57">
      <w:pPr>
        <w:rPr>
          <w:rFonts w:ascii="Times New Roman" w:hAnsi="Times New Roman" w:cs="Times New Roman"/>
          <w:sz w:val="24"/>
          <w:szCs w:val="24"/>
        </w:rPr>
      </w:pPr>
    </w:p>
    <w:p w:rsidR="00A35FE0" w:rsidRPr="00D96C57" w:rsidRDefault="00A35FE0" w:rsidP="00A35FE0">
      <w:pPr>
        <w:pStyle w:val="NormalWeb"/>
        <w:spacing w:before="0" w:beforeAutospacing="0" w:after="0" w:afterAutospacing="0"/>
        <w:rPr>
          <w:rFonts w:eastAsia="Times New Roman"/>
        </w:rPr>
      </w:pPr>
      <w:r w:rsidRPr="00D96C57">
        <w:rPr>
          <w:b/>
        </w:rPr>
        <w:lastRenderedPageBreak/>
        <w:t>Figure S2:</w:t>
      </w:r>
      <w:r w:rsidRPr="00D96C57">
        <w:rPr>
          <w:b/>
          <w:bCs/>
          <w:color w:val="000000"/>
          <w:kern w:val="24"/>
          <w:lang w:val="en-US"/>
        </w:rPr>
        <w:t xml:space="preserve"> </w:t>
      </w:r>
      <w:r>
        <w:rPr>
          <w:b/>
          <w:bCs/>
          <w:color w:val="000000"/>
          <w:kern w:val="24"/>
          <w:lang w:val="en-US"/>
        </w:rPr>
        <w:t xml:space="preserve">Time-dependent appearance of KG207-H in brain parenchyma. </w:t>
      </w:r>
      <w:proofErr w:type="spellStart"/>
      <w:proofErr w:type="gramStart"/>
      <w:r w:rsidRPr="00A35FE0">
        <w:rPr>
          <w:bCs/>
          <w:color w:val="000000"/>
          <w:kern w:val="24"/>
          <w:lang w:val="en-US"/>
        </w:rPr>
        <w:t>Tg</w:t>
      </w:r>
      <w:proofErr w:type="spellEnd"/>
      <w:proofErr w:type="gramEnd"/>
      <w:r>
        <w:rPr>
          <w:b/>
          <w:bCs/>
          <w:color w:val="000000"/>
          <w:kern w:val="24"/>
          <w:lang w:val="en-US"/>
        </w:rPr>
        <w:t xml:space="preserve"> </w:t>
      </w:r>
      <w:r w:rsidRPr="00A35FE0">
        <w:rPr>
          <w:bCs/>
          <w:color w:val="000000"/>
          <w:kern w:val="24"/>
          <w:lang w:val="en-US"/>
        </w:rPr>
        <w:t>m</w:t>
      </w:r>
      <w:r w:rsidRPr="00D96C57">
        <w:rPr>
          <w:color w:val="000000"/>
          <w:kern w:val="24"/>
          <w:lang w:val="en-US"/>
        </w:rPr>
        <w:t xml:space="preserve">ice were </w:t>
      </w:r>
      <w:r w:rsidR="009F3241">
        <w:rPr>
          <w:color w:val="000000"/>
          <w:kern w:val="24"/>
          <w:lang w:val="en-US"/>
        </w:rPr>
        <w:t>intravenously</w:t>
      </w:r>
      <w:r w:rsidR="009F3241" w:rsidRPr="00D96C57">
        <w:rPr>
          <w:color w:val="000000"/>
          <w:kern w:val="24"/>
          <w:lang w:val="en-US"/>
        </w:rPr>
        <w:t xml:space="preserve"> </w:t>
      </w:r>
      <w:r w:rsidR="00AA3FC6">
        <w:rPr>
          <w:color w:val="000000"/>
          <w:kern w:val="24"/>
          <w:lang w:val="en-US"/>
        </w:rPr>
        <w:t xml:space="preserve">injected with </w:t>
      </w:r>
      <w:r w:rsidRPr="00D96C57">
        <w:rPr>
          <w:color w:val="000000"/>
          <w:kern w:val="24"/>
          <w:lang w:val="en-US"/>
        </w:rPr>
        <w:t xml:space="preserve">either PBS or 15 mg/kg of KG207 and </w:t>
      </w:r>
      <w:r w:rsidR="00AA3FC6">
        <w:rPr>
          <w:color w:val="000000"/>
          <w:kern w:val="24"/>
          <w:lang w:val="en-US"/>
        </w:rPr>
        <w:t xml:space="preserve">perfused </w:t>
      </w:r>
      <w:r w:rsidRPr="00D96C57">
        <w:rPr>
          <w:color w:val="000000"/>
          <w:kern w:val="24"/>
          <w:lang w:val="en-US"/>
        </w:rPr>
        <w:t xml:space="preserve">brains were collected at 4 or 24h. The brains were separated into vessel and parenchyma fractions and analyzed by </w:t>
      </w:r>
      <w:proofErr w:type="spellStart"/>
      <w:r w:rsidRPr="00D96C57">
        <w:rPr>
          <w:color w:val="000000"/>
          <w:kern w:val="24"/>
          <w:lang w:val="en-US"/>
        </w:rPr>
        <w:t>nanoLC</w:t>
      </w:r>
      <w:proofErr w:type="spellEnd"/>
      <w:r w:rsidRPr="00D96C57">
        <w:rPr>
          <w:color w:val="000000"/>
          <w:kern w:val="24"/>
          <w:lang w:val="en-US"/>
        </w:rPr>
        <w:t>-SRM to simultaneously quantify Glut1, GFAP and KG207 levels in a multiplexed manner. A) Normalized levels of Glut1/Slc2a1, a vessel marker, in each brain fraction to demonstrate success of vessel depletion from parenchymal samples. Most of the signal in parenchyma samples is in the background (&lt; or below limit of detection LOD). B) Normalized levels of G</w:t>
      </w:r>
      <w:r>
        <w:rPr>
          <w:color w:val="000000"/>
          <w:kern w:val="24"/>
          <w:lang w:val="en-US"/>
        </w:rPr>
        <w:t>FAP</w:t>
      </w:r>
      <w:r w:rsidRPr="00D96C57">
        <w:rPr>
          <w:color w:val="000000"/>
          <w:kern w:val="24"/>
          <w:lang w:val="en-US"/>
        </w:rPr>
        <w:t>, a parenchymal marker, in each brain fraction (vessel, parenchyma or naïve mouse whole brain) to confirm presence of brain proteins in parenchymal samples. Levels in A and B are normalized to the levels in the naïve whole brain (not shown). C) Absolute levels of KG207 in each brain fraction. Levels were quantified using standard curves and QC (not shown). PBS-injected animals showed no antibody signals (&lt;) in either fraction since they were not injected with KG207.</w:t>
      </w:r>
    </w:p>
    <w:p w:rsidR="00D96C57" w:rsidRDefault="00D96C57">
      <w:pPr>
        <w:rPr>
          <w:rFonts w:ascii="Times New Roman" w:hAnsi="Times New Roman" w:cs="Times New Roman"/>
          <w:sz w:val="24"/>
          <w:szCs w:val="24"/>
        </w:rPr>
      </w:pPr>
    </w:p>
    <w:p w:rsidR="00D96C57" w:rsidRDefault="00D96C57">
      <w:pPr>
        <w:rPr>
          <w:rFonts w:ascii="Times New Roman" w:hAnsi="Times New Roman" w:cs="Times New Roman"/>
          <w:sz w:val="24"/>
          <w:szCs w:val="24"/>
        </w:rPr>
      </w:pPr>
    </w:p>
    <w:p w:rsidR="00D96C57" w:rsidRDefault="00AB496B" w:rsidP="00AB496B">
      <w:pPr>
        <w:pStyle w:val="NormalWeb"/>
        <w:spacing w:before="0" w:beforeAutospacing="0" w:after="0" w:afterAutospacing="0"/>
        <w:ind w:left="-284"/>
        <w:rPr>
          <w:b/>
        </w:rPr>
      </w:pPr>
      <w:r>
        <w:rPr>
          <w:b/>
          <w:noProof/>
        </w:rPr>
        <w:drawing>
          <wp:inline distT="0" distB="0" distL="0" distR="0" wp14:anchorId="0A8DBD87">
            <wp:extent cx="6084000" cy="3097518"/>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84000" cy="3097518"/>
                    </a:xfrm>
                    <a:prstGeom prst="rect">
                      <a:avLst/>
                    </a:prstGeom>
                    <a:noFill/>
                  </pic:spPr>
                </pic:pic>
              </a:graphicData>
            </a:graphic>
          </wp:inline>
        </w:drawing>
      </w:r>
    </w:p>
    <w:p w:rsidR="00D96C57" w:rsidRDefault="00D96C57" w:rsidP="00D96C57">
      <w:pPr>
        <w:pStyle w:val="NormalWeb"/>
        <w:spacing w:before="0" w:beforeAutospacing="0" w:after="0" w:afterAutospacing="0"/>
        <w:rPr>
          <w:b/>
        </w:rPr>
      </w:pPr>
    </w:p>
    <w:p w:rsidR="00C10B13" w:rsidRDefault="00C10B13" w:rsidP="00D96C57">
      <w:pPr>
        <w:pStyle w:val="NormalWeb"/>
        <w:spacing w:before="0" w:beforeAutospacing="0" w:after="0" w:afterAutospacing="0"/>
        <w:rPr>
          <w:b/>
        </w:rPr>
      </w:pPr>
    </w:p>
    <w:p w:rsidR="00C10B13" w:rsidRDefault="00C10B13" w:rsidP="00D96C57">
      <w:pPr>
        <w:pStyle w:val="NormalWeb"/>
        <w:spacing w:before="0" w:beforeAutospacing="0" w:after="0" w:afterAutospacing="0"/>
        <w:rPr>
          <w:b/>
        </w:rPr>
      </w:pPr>
    </w:p>
    <w:p w:rsidR="00C10B13" w:rsidRDefault="00C10B13" w:rsidP="00D96C57">
      <w:pPr>
        <w:pStyle w:val="NormalWeb"/>
        <w:spacing w:before="0" w:beforeAutospacing="0" w:after="0" w:afterAutospacing="0"/>
        <w:rPr>
          <w:b/>
        </w:rPr>
      </w:pPr>
    </w:p>
    <w:p w:rsidR="00C10B13" w:rsidRDefault="00C10B13" w:rsidP="00D96C57">
      <w:pPr>
        <w:pStyle w:val="NormalWeb"/>
        <w:spacing w:before="0" w:beforeAutospacing="0" w:after="0" w:afterAutospacing="0"/>
        <w:rPr>
          <w:b/>
        </w:rPr>
      </w:pPr>
    </w:p>
    <w:p w:rsidR="00C10B13" w:rsidRDefault="00C10B13" w:rsidP="00D96C57">
      <w:pPr>
        <w:pStyle w:val="NormalWeb"/>
        <w:spacing w:before="0" w:beforeAutospacing="0" w:after="0" w:afterAutospacing="0"/>
        <w:rPr>
          <w:b/>
        </w:rPr>
      </w:pPr>
    </w:p>
    <w:p w:rsidR="00C10B13" w:rsidRDefault="00C10B13" w:rsidP="00D96C57">
      <w:pPr>
        <w:pStyle w:val="NormalWeb"/>
        <w:spacing w:before="0" w:beforeAutospacing="0" w:after="0" w:afterAutospacing="0"/>
        <w:rPr>
          <w:b/>
        </w:rPr>
      </w:pPr>
    </w:p>
    <w:p w:rsidR="00C10B13" w:rsidRDefault="00C10B13" w:rsidP="00D96C57">
      <w:pPr>
        <w:pStyle w:val="NormalWeb"/>
        <w:spacing w:before="0" w:beforeAutospacing="0" w:after="0" w:afterAutospacing="0"/>
        <w:rPr>
          <w:b/>
        </w:rPr>
      </w:pPr>
    </w:p>
    <w:p w:rsidR="00C10B13" w:rsidRDefault="00C10B13" w:rsidP="00D96C57">
      <w:pPr>
        <w:pStyle w:val="NormalWeb"/>
        <w:spacing w:before="0" w:beforeAutospacing="0" w:after="0" w:afterAutospacing="0"/>
        <w:rPr>
          <w:b/>
        </w:rPr>
      </w:pPr>
    </w:p>
    <w:p w:rsidR="00D96C57" w:rsidRDefault="00D96C57" w:rsidP="00D96C57">
      <w:pPr>
        <w:pStyle w:val="NormalWeb"/>
        <w:spacing w:before="0" w:beforeAutospacing="0" w:after="0" w:afterAutospacing="0"/>
        <w:rPr>
          <w:b/>
        </w:rPr>
      </w:pPr>
    </w:p>
    <w:p w:rsidR="00EF3AF1" w:rsidRDefault="00EF3AF1" w:rsidP="00D96C57">
      <w:pPr>
        <w:pStyle w:val="NormalWeb"/>
        <w:spacing w:before="0" w:beforeAutospacing="0" w:after="0" w:afterAutospacing="0"/>
        <w:rPr>
          <w:b/>
        </w:rPr>
      </w:pPr>
    </w:p>
    <w:p w:rsidR="00EF3AF1" w:rsidRDefault="00EF3AF1" w:rsidP="00D96C57">
      <w:pPr>
        <w:pStyle w:val="NormalWeb"/>
        <w:spacing w:before="0" w:beforeAutospacing="0" w:after="0" w:afterAutospacing="0"/>
        <w:rPr>
          <w:b/>
        </w:rPr>
      </w:pPr>
    </w:p>
    <w:p w:rsidR="00B4295D" w:rsidRPr="00342B6D" w:rsidRDefault="00B4295D" w:rsidP="00B4295D">
      <w:pPr>
        <w:tabs>
          <w:tab w:val="left" w:pos="440"/>
        </w:tabs>
        <w:rPr>
          <w:rFonts w:ascii="Times New Roman" w:hAnsi="Times New Roman" w:cs="Times New Roman"/>
          <w:sz w:val="24"/>
          <w:szCs w:val="24"/>
          <w:lang w:eastAsia="en-CA"/>
        </w:rPr>
      </w:pPr>
      <w:r w:rsidRPr="00B4295D">
        <w:rPr>
          <w:rFonts w:ascii="Times New Roman" w:hAnsi="Times New Roman" w:cs="Times New Roman"/>
          <w:b/>
          <w:color w:val="000000" w:themeColor="text1"/>
          <w:kern w:val="24"/>
          <w:sz w:val="24"/>
          <w:szCs w:val="24"/>
          <w:lang w:val="en-US"/>
        </w:rPr>
        <w:lastRenderedPageBreak/>
        <w:t>Figure S3.</w:t>
      </w:r>
      <w:r w:rsidRPr="00342B6D">
        <w:rPr>
          <w:rFonts w:ascii="Times New Roman" w:hAnsi="Times New Roman" w:cs="Times New Roman"/>
          <w:color w:val="000000" w:themeColor="text1"/>
          <w:kern w:val="24"/>
          <w:sz w:val="24"/>
          <w:szCs w:val="24"/>
          <w:lang w:val="en-US"/>
        </w:rPr>
        <w:t xml:space="preserve"> </w:t>
      </w:r>
      <w:r w:rsidRPr="00346CDF">
        <w:rPr>
          <w:rFonts w:ascii="Times New Roman" w:hAnsi="Times New Roman" w:cs="Times New Roman"/>
          <w:color w:val="000000" w:themeColor="text1"/>
          <w:kern w:val="24"/>
          <w:sz w:val="24"/>
          <w:szCs w:val="24"/>
          <w:lang w:val="en-US"/>
        </w:rPr>
        <w:t>Animal-to-animal variability in total amyloid beta measurements in dog CSF samples examined by LC-MRM</w:t>
      </w:r>
      <w:r w:rsidR="003E1FFA">
        <w:rPr>
          <w:rFonts w:ascii="Times New Roman" w:hAnsi="Times New Roman" w:cs="Times New Roman"/>
          <w:color w:val="000000" w:themeColor="text1"/>
          <w:kern w:val="24"/>
          <w:sz w:val="24"/>
          <w:szCs w:val="24"/>
          <w:lang w:val="en-US"/>
        </w:rPr>
        <w:t xml:space="preserve"> before drug (KG207</w:t>
      </w:r>
      <w:r w:rsidR="001F00B5">
        <w:rPr>
          <w:rFonts w:ascii="Times New Roman" w:hAnsi="Times New Roman" w:cs="Times New Roman"/>
          <w:color w:val="000000" w:themeColor="text1"/>
          <w:kern w:val="24"/>
          <w:sz w:val="24"/>
          <w:szCs w:val="24"/>
          <w:lang w:val="en-US"/>
        </w:rPr>
        <w:t>-H</w:t>
      </w:r>
      <w:r w:rsidR="003E1FFA">
        <w:rPr>
          <w:rFonts w:ascii="Times New Roman" w:hAnsi="Times New Roman" w:cs="Times New Roman"/>
          <w:color w:val="000000" w:themeColor="text1"/>
          <w:kern w:val="24"/>
          <w:sz w:val="24"/>
          <w:szCs w:val="24"/>
          <w:lang w:val="en-US"/>
        </w:rPr>
        <w:t>) administration</w:t>
      </w:r>
      <w:r w:rsidRPr="00346CDF">
        <w:rPr>
          <w:rFonts w:ascii="Times New Roman" w:hAnsi="Times New Roman" w:cs="Times New Roman"/>
          <w:color w:val="000000" w:themeColor="text1"/>
          <w:kern w:val="24"/>
          <w:sz w:val="24"/>
          <w:szCs w:val="24"/>
          <w:lang w:val="en-US"/>
        </w:rPr>
        <w:t xml:space="preserve">. Shown are MRM intensities corresponding to amyloid beta peptide-specific signals in CSF samples from </w:t>
      </w:r>
      <w:r w:rsidR="003E1FFA">
        <w:rPr>
          <w:rFonts w:ascii="Times New Roman" w:hAnsi="Times New Roman" w:cs="Times New Roman"/>
          <w:color w:val="000000" w:themeColor="text1"/>
          <w:kern w:val="24"/>
          <w:sz w:val="24"/>
          <w:szCs w:val="24"/>
          <w:lang w:val="en-US"/>
        </w:rPr>
        <w:t xml:space="preserve">the </w:t>
      </w:r>
      <w:r w:rsidRPr="00346CDF">
        <w:rPr>
          <w:rFonts w:ascii="Times New Roman" w:hAnsi="Times New Roman" w:cs="Times New Roman"/>
          <w:color w:val="000000" w:themeColor="text1"/>
          <w:kern w:val="24"/>
          <w:sz w:val="24"/>
          <w:szCs w:val="24"/>
          <w:lang w:val="en-US"/>
        </w:rPr>
        <w:t>treatment group</w:t>
      </w:r>
      <w:r w:rsidR="003E1FFA">
        <w:rPr>
          <w:rFonts w:ascii="Times New Roman" w:hAnsi="Times New Roman" w:cs="Times New Roman"/>
          <w:color w:val="000000" w:themeColor="text1"/>
          <w:kern w:val="24"/>
          <w:sz w:val="24"/>
          <w:szCs w:val="24"/>
          <w:lang w:val="en-US"/>
        </w:rPr>
        <w:t xml:space="preserve"> before dosing</w:t>
      </w:r>
      <w:r w:rsidRPr="00346CDF">
        <w:rPr>
          <w:rFonts w:ascii="Times New Roman" w:hAnsi="Times New Roman" w:cs="Times New Roman"/>
          <w:color w:val="000000" w:themeColor="text1"/>
          <w:kern w:val="24"/>
          <w:sz w:val="24"/>
          <w:szCs w:val="24"/>
          <w:lang w:val="en-US"/>
        </w:rPr>
        <w:t xml:space="preserve"> (grey bars). Since samples were run in different batches (days-to-weeks apart), a higher variability was seen among different batches than within each batch. </w:t>
      </w:r>
      <w:r w:rsidR="003E1FFA">
        <w:rPr>
          <w:rFonts w:ascii="Times New Roman" w:hAnsi="Times New Roman" w:cs="Times New Roman"/>
          <w:color w:val="000000" w:themeColor="text1"/>
          <w:kern w:val="24"/>
          <w:sz w:val="24"/>
          <w:szCs w:val="24"/>
          <w:lang w:val="en-US"/>
        </w:rPr>
        <w:t>I</w:t>
      </w:r>
      <w:r w:rsidR="003E1FFA" w:rsidRPr="00346CDF">
        <w:rPr>
          <w:rFonts w:ascii="Times New Roman" w:hAnsi="Times New Roman" w:cs="Times New Roman"/>
          <w:color w:val="000000" w:themeColor="text1"/>
          <w:kern w:val="24"/>
          <w:sz w:val="24"/>
          <w:szCs w:val="24"/>
          <w:lang w:val="en-US"/>
        </w:rPr>
        <w:t>n ord</w:t>
      </w:r>
      <w:r w:rsidR="003E1FFA">
        <w:rPr>
          <w:rFonts w:ascii="Times New Roman" w:hAnsi="Times New Roman" w:cs="Times New Roman"/>
          <w:color w:val="000000" w:themeColor="text1"/>
          <w:kern w:val="24"/>
          <w:sz w:val="24"/>
          <w:szCs w:val="24"/>
          <w:lang w:val="en-US"/>
        </w:rPr>
        <w:t>er to compare among all batches</w:t>
      </w:r>
      <w:r w:rsidR="003E1FFA" w:rsidRPr="00342B6D">
        <w:rPr>
          <w:rFonts w:ascii="Times New Roman" w:hAnsi="Times New Roman" w:cs="Times New Roman"/>
          <w:color w:val="000000" w:themeColor="text1"/>
          <w:kern w:val="24"/>
          <w:sz w:val="24"/>
          <w:szCs w:val="24"/>
          <w:lang w:val="en-US"/>
        </w:rPr>
        <w:t>.</w:t>
      </w:r>
      <w:r w:rsidRPr="00346CDF">
        <w:rPr>
          <w:rFonts w:ascii="Times New Roman" w:hAnsi="Times New Roman" w:cs="Times New Roman"/>
          <w:color w:val="000000" w:themeColor="text1"/>
          <w:kern w:val="24"/>
          <w:sz w:val="24"/>
          <w:szCs w:val="24"/>
          <w:lang w:val="en-US"/>
        </w:rPr>
        <w:t xml:space="preserve"> </w:t>
      </w:r>
      <w:r w:rsidR="001F00B5">
        <w:rPr>
          <w:rFonts w:ascii="Times New Roman" w:hAnsi="Times New Roman" w:cs="Times New Roman"/>
          <w:color w:val="000000" w:themeColor="text1"/>
          <w:kern w:val="24"/>
          <w:sz w:val="24"/>
          <w:szCs w:val="24"/>
          <w:lang w:val="en-US"/>
        </w:rPr>
        <w:t>T</w:t>
      </w:r>
      <w:r w:rsidRPr="00346CDF">
        <w:rPr>
          <w:rFonts w:ascii="Times New Roman" w:hAnsi="Times New Roman" w:cs="Times New Roman"/>
          <w:color w:val="000000" w:themeColor="text1"/>
          <w:kern w:val="24"/>
          <w:sz w:val="24"/>
          <w:szCs w:val="24"/>
          <w:lang w:val="en-US"/>
        </w:rPr>
        <w:t xml:space="preserve">he results for the </w:t>
      </w:r>
      <w:r w:rsidR="003E1FFA">
        <w:rPr>
          <w:rFonts w:ascii="Times New Roman" w:hAnsi="Times New Roman" w:cs="Times New Roman"/>
          <w:color w:val="000000" w:themeColor="text1"/>
          <w:kern w:val="24"/>
          <w:sz w:val="24"/>
          <w:szCs w:val="24"/>
          <w:lang w:val="en-US"/>
        </w:rPr>
        <w:t>drug (KG207</w:t>
      </w:r>
      <w:r w:rsidR="001F00B5">
        <w:rPr>
          <w:rFonts w:ascii="Times New Roman" w:hAnsi="Times New Roman" w:cs="Times New Roman"/>
          <w:color w:val="000000" w:themeColor="text1"/>
          <w:kern w:val="24"/>
          <w:sz w:val="24"/>
          <w:szCs w:val="24"/>
          <w:lang w:val="en-US"/>
        </w:rPr>
        <w:t>-H</w:t>
      </w:r>
      <w:bookmarkStart w:id="0" w:name="_GoBack"/>
      <w:bookmarkEnd w:id="0"/>
      <w:r w:rsidR="003E1FFA">
        <w:rPr>
          <w:rFonts w:ascii="Times New Roman" w:hAnsi="Times New Roman" w:cs="Times New Roman"/>
          <w:color w:val="000000" w:themeColor="text1"/>
          <w:kern w:val="24"/>
          <w:sz w:val="24"/>
          <w:szCs w:val="24"/>
          <w:lang w:val="en-US"/>
        </w:rPr>
        <w:t>)-</w:t>
      </w:r>
      <w:r w:rsidRPr="00346CDF">
        <w:rPr>
          <w:rFonts w:ascii="Times New Roman" w:hAnsi="Times New Roman" w:cs="Times New Roman"/>
          <w:color w:val="000000" w:themeColor="text1"/>
          <w:kern w:val="24"/>
          <w:sz w:val="24"/>
          <w:szCs w:val="24"/>
          <w:lang w:val="en-US"/>
        </w:rPr>
        <w:t xml:space="preserve">treated CSF samples presented in the manuscript were normalized to the </w:t>
      </w:r>
      <w:r w:rsidR="003E1FFA">
        <w:rPr>
          <w:rFonts w:ascii="Times New Roman" w:hAnsi="Times New Roman" w:cs="Times New Roman"/>
          <w:color w:val="000000" w:themeColor="text1"/>
          <w:kern w:val="24"/>
          <w:sz w:val="24"/>
          <w:szCs w:val="24"/>
          <w:lang w:val="en-US"/>
        </w:rPr>
        <w:t xml:space="preserve">CSF levels in </w:t>
      </w:r>
      <w:r w:rsidRPr="00346CDF">
        <w:rPr>
          <w:rFonts w:ascii="Times New Roman" w:hAnsi="Times New Roman" w:cs="Times New Roman"/>
          <w:color w:val="000000" w:themeColor="text1"/>
          <w:kern w:val="24"/>
          <w:sz w:val="24"/>
          <w:szCs w:val="24"/>
          <w:lang w:val="en-US"/>
        </w:rPr>
        <w:t xml:space="preserve">PBS-injected </w:t>
      </w:r>
      <w:r w:rsidR="003E1FFA">
        <w:rPr>
          <w:rFonts w:ascii="Times New Roman" w:hAnsi="Times New Roman" w:cs="Times New Roman"/>
          <w:color w:val="000000" w:themeColor="text1"/>
          <w:kern w:val="24"/>
          <w:sz w:val="24"/>
          <w:szCs w:val="24"/>
          <w:lang w:val="en-US"/>
        </w:rPr>
        <w:t xml:space="preserve">animals prior to dosing </w:t>
      </w:r>
      <w:r w:rsidRPr="00346CDF">
        <w:rPr>
          <w:rFonts w:ascii="Times New Roman" w:hAnsi="Times New Roman" w:cs="Times New Roman"/>
          <w:color w:val="000000" w:themeColor="text1"/>
          <w:kern w:val="24"/>
          <w:sz w:val="24"/>
          <w:szCs w:val="24"/>
          <w:lang w:val="en-US"/>
        </w:rPr>
        <w:t xml:space="preserve">(black bars) </w:t>
      </w:r>
    </w:p>
    <w:p w:rsidR="00B4295D" w:rsidRDefault="00B4295D" w:rsidP="00D96C57">
      <w:pPr>
        <w:pStyle w:val="NormalWeb"/>
        <w:spacing w:before="0" w:beforeAutospacing="0" w:after="0" w:afterAutospacing="0"/>
        <w:rPr>
          <w:b/>
        </w:rPr>
      </w:pPr>
      <w:r w:rsidRPr="00346CDF">
        <w:rPr>
          <w:noProof/>
        </w:rPr>
        <w:drawing>
          <wp:anchor distT="0" distB="0" distL="114300" distR="114300" simplePos="0" relativeHeight="251660288" behindDoc="0" locked="0" layoutInCell="1" allowOverlap="1">
            <wp:simplePos x="0" y="0"/>
            <wp:positionH relativeFrom="column">
              <wp:posOffset>-277091</wp:posOffset>
            </wp:positionH>
            <wp:positionV relativeFrom="paragraph">
              <wp:posOffset>237779</wp:posOffset>
            </wp:positionV>
            <wp:extent cx="6680671" cy="3096000"/>
            <wp:effectExtent l="0" t="0" r="0" b="0"/>
            <wp:wrapThrough wrapText="bothSides">
              <wp:wrapPolygon edited="0">
                <wp:start x="739" y="665"/>
                <wp:lineTo x="739" y="5184"/>
                <wp:lineTo x="370" y="5583"/>
                <wp:lineTo x="246" y="6247"/>
                <wp:lineTo x="246" y="10501"/>
                <wp:lineTo x="1109" y="11564"/>
                <wp:lineTo x="2033" y="11564"/>
                <wp:lineTo x="924" y="12761"/>
                <wp:lineTo x="924" y="13425"/>
                <wp:lineTo x="2033" y="13691"/>
                <wp:lineTo x="1602" y="14887"/>
                <wp:lineTo x="1663" y="15153"/>
                <wp:lineTo x="2525" y="15818"/>
                <wp:lineTo x="2402" y="17413"/>
                <wp:lineTo x="2649" y="17812"/>
                <wp:lineTo x="3573" y="17945"/>
                <wp:lineTo x="3573" y="18875"/>
                <wp:lineTo x="7084" y="20071"/>
                <wp:lineTo x="9609" y="20470"/>
                <wp:lineTo x="10348" y="21002"/>
                <wp:lineTo x="10595" y="21002"/>
                <wp:lineTo x="11272" y="20470"/>
                <wp:lineTo x="15030" y="20071"/>
                <wp:lineTo x="18356" y="19141"/>
                <wp:lineTo x="18233" y="16084"/>
                <wp:lineTo x="18541" y="15818"/>
                <wp:lineTo x="18849" y="14754"/>
                <wp:lineTo x="18910" y="5184"/>
                <wp:lineTo x="21251" y="3190"/>
                <wp:lineTo x="21374" y="1329"/>
                <wp:lineTo x="18171" y="1063"/>
                <wp:lineTo x="1971" y="665"/>
                <wp:lineTo x="739" y="665"/>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80671" cy="309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3E1FFA" w:rsidRDefault="003E1FFA" w:rsidP="00D96C57">
      <w:pPr>
        <w:pStyle w:val="NormalWeb"/>
        <w:spacing w:before="0" w:beforeAutospacing="0" w:after="0" w:afterAutospacing="0"/>
        <w:rPr>
          <w:b/>
        </w:rPr>
      </w:pPr>
    </w:p>
    <w:p w:rsidR="003E1FFA" w:rsidRDefault="003E1FFA" w:rsidP="00D96C57">
      <w:pPr>
        <w:pStyle w:val="NormalWeb"/>
        <w:spacing w:before="0" w:beforeAutospacing="0" w:after="0" w:afterAutospacing="0"/>
        <w:rPr>
          <w:b/>
        </w:rPr>
      </w:pPr>
    </w:p>
    <w:p w:rsidR="00B4295D" w:rsidRDefault="00B4295D" w:rsidP="00D96C57">
      <w:pPr>
        <w:pStyle w:val="NormalWeb"/>
        <w:spacing w:before="0" w:beforeAutospacing="0" w:after="0" w:afterAutospacing="0"/>
        <w:rPr>
          <w:b/>
        </w:rPr>
      </w:pPr>
    </w:p>
    <w:p w:rsidR="00C10B13" w:rsidRPr="00C10B13" w:rsidRDefault="00C10B13" w:rsidP="00C10B13">
      <w:pPr>
        <w:spacing w:after="0" w:line="240" w:lineRule="auto"/>
        <w:rPr>
          <w:rFonts w:ascii="Times New Roman" w:eastAsia="Times New Roman" w:hAnsi="Times New Roman" w:cs="Times New Roman"/>
          <w:sz w:val="24"/>
          <w:szCs w:val="24"/>
          <w:lang w:eastAsia="en-CA"/>
        </w:rPr>
      </w:pPr>
      <w:bookmarkStart w:id="1" w:name="OLE_LINK1"/>
      <w:r w:rsidRPr="00C10B13">
        <w:rPr>
          <w:rFonts w:ascii="Times New Roman" w:eastAsia="Times New Roman" w:hAnsi="Times New Roman" w:cs="Times New Roman"/>
          <w:b/>
          <w:bCs/>
          <w:color w:val="000000"/>
          <w:kern w:val="24"/>
          <w:sz w:val="24"/>
          <w:szCs w:val="24"/>
          <w:lang w:eastAsia="en-CA"/>
        </w:rPr>
        <w:lastRenderedPageBreak/>
        <w:t>Figure S</w:t>
      </w:r>
      <w:r w:rsidR="00331E44">
        <w:rPr>
          <w:rFonts w:ascii="Times New Roman" w:eastAsia="Times New Roman" w:hAnsi="Times New Roman" w:cs="Times New Roman"/>
          <w:b/>
          <w:bCs/>
          <w:color w:val="000000"/>
          <w:kern w:val="24"/>
          <w:sz w:val="24"/>
          <w:szCs w:val="24"/>
          <w:lang w:eastAsia="en-CA"/>
        </w:rPr>
        <w:t>4</w:t>
      </w:r>
      <w:r w:rsidRPr="00C10B13">
        <w:rPr>
          <w:rFonts w:ascii="Times New Roman" w:eastAsia="Times New Roman" w:hAnsi="Times New Roman" w:cs="Times New Roman"/>
          <w:b/>
          <w:bCs/>
          <w:color w:val="000000"/>
          <w:kern w:val="24"/>
          <w:sz w:val="24"/>
          <w:szCs w:val="24"/>
          <w:lang w:eastAsia="en-CA"/>
        </w:rPr>
        <w:t>:</w:t>
      </w:r>
      <w:r w:rsidRPr="00C10B13">
        <w:rPr>
          <w:rFonts w:ascii="Times New Roman" w:eastAsia="Times New Roman" w:hAnsi="Times New Roman" w:cs="Times New Roman"/>
          <w:b/>
          <w:color w:val="000000"/>
          <w:kern w:val="24"/>
          <w:sz w:val="24"/>
          <w:szCs w:val="24"/>
          <w:lang w:eastAsia="en-CA"/>
        </w:rPr>
        <w:t xml:space="preserve"> </w:t>
      </w:r>
      <w:bookmarkEnd w:id="1"/>
      <w:r w:rsidRPr="00C10B13">
        <w:rPr>
          <w:rFonts w:ascii="Times New Roman" w:eastAsia="Times New Roman" w:hAnsi="Times New Roman" w:cs="Times New Roman"/>
          <w:b/>
          <w:color w:val="000000"/>
          <w:kern w:val="24"/>
          <w:sz w:val="24"/>
          <w:szCs w:val="24"/>
          <w:lang w:eastAsia="en-CA"/>
        </w:rPr>
        <w:t>Amyloid-β binding peptide (ABP) binds synthetic Aβ</w:t>
      </w:r>
      <w:r w:rsidRPr="00C10B13">
        <w:rPr>
          <w:rFonts w:ascii="Times New Roman" w:eastAsia="Times New Roman" w:hAnsi="Times New Roman" w:cs="Times New Roman"/>
          <w:b/>
          <w:color w:val="000000"/>
          <w:kern w:val="24"/>
          <w:sz w:val="24"/>
          <w:szCs w:val="24"/>
          <w:vertAlign w:val="subscript"/>
          <w:lang w:eastAsia="en-CA"/>
        </w:rPr>
        <w:t xml:space="preserve">1-42 </w:t>
      </w:r>
      <w:r w:rsidRPr="00C10B13">
        <w:rPr>
          <w:rFonts w:ascii="Times New Roman" w:eastAsia="Times New Roman" w:hAnsi="Times New Roman" w:cs="Times New Roman"/>
          <w:b/>
          <w:color w:val="000000"/>
          <w:kern w:val="24"/>
          <w:sz w:val="24"/>
          <w:szCs w:val="24"/>
          <w:lang w:eastAsia="en-CA"/>
        </w:rPr>
        <w:t>peptide equally well as synthetic Aβ</w:t>
      </w:r>
      <w:r w:rsidRPr="00C10B13">
        <w:rPr>
          <w:rFonts w:ascii="Times New Roman" w:eastAsia="Times New Roman" w:hAnsi="Times New Roman" w:cs="Times New Roman"/>
          <w:b/>
          <w:color w:val="000000"/>
          <w:kern w:val="24"/>
          <w:sz w:val="24"/>
          <w:szCs w:val="24"/>
          <w:vertAlign w:val="subscript"/>
          <w:lang w:eastAsia="en-CA"/>
        </w:rPr>
        <w:t>17-42</w:t>
      </w:r>
      <w:r w:rsidRPr="00C10B13">
        <w:rPr>
          <w:rFonts w:ascii="Times New Roman" w:eastAsia="Times New Roman" w:hAnsi="Times New Roman" w:cs="Times New Roman"/>
          <w:b/>
          <w:color w:val="000000"/>
          <w:kern w:val="24"/>
          <w:sz w:val="24"/>
          <w:szCs w:val="24"/>
          <w:lang w:eastAsia="en-CA"/>
        </w:rPr>
        <w:t xml:space="preserve">. A. </w:t>
      </w:r>
      <w:r w:rsidRPr="00C10B13">
        <w:rPr>
          <w:rFonts w:ascii="Times New Roman" w:eastAsiaTheme="minorEastAsia" w:hAnsi="Times New Roman" w:cs="Times New Roman"/>
          <w:bCs/>
          <w:kern w:val="24"/>
          <w:sz w:val="24"/>
          <w:szCs w:val="24"/>
          <w:lang w:val="en-US" w:eastAsia="en-CA"/>
        </w:rPr>
        <w:t xml:space="preserve">ABP (500ng) was coated on ELISA plates, incubated with </w:t>
      </w:r>
      <w:r>
        <w:rPr>
          <w:rFonts w:ascii="Times New Roman" w:eastAsiaTheme="minorEastAsia" w:hAnsi="Times New Roman" w:cs="Times New Roman"/>
          <w:bCs/>
          <w:kern w:val="24"/>
          <w:sz w:val="24"/>
          <w:szCs w:val="24"/>
          <w:lang w:val="en-US" w:eastAsia="en-CA"/>
        </w:rPr>
        <w:t xml:space="preserve">aggregated </w:t>
      </w:r>
      <w:r w:rsidRPr="00C10B13">
        <w:rPr>
          <w:rFonts w:ascii="Times New Roman" w:eastAsiaTheme="minorEastAsia" w:hAnsi="Times New Roman" w:cs="Times New Roman"/>
          <w:bCs/>
          <w:kern w:val="24"/>
          <w:sz w:val="24"/>
          <w:szCs w:val="24"/>
          <w:lang w:val="en-US" w:eastAsia="en-CA"/>
        </w:rPr>
        <w:t xml:space="preserve">Aβ peptides at </w:t>
      </w:r>
      <w:r w:rsidRPr="00C10B13">
        <w:rPr>
          <w:rFonts w:ascii="Times New Roman" w:eastAsia="Times New Roman" w:hAnsi="Times New Roman" w:cs="Times New Roman"/>
          <w:sz w:val="24"/>
          <w:szCs w:val="24"/>
          <w:shd w:val="clear" w:color="auto" w:fill="FFFFFF"/>
          <w:lang w:eastAsia="en-CA"/>
        </w:rPr>
        <w:t xml:space="preserve">200 </w:t>
      </w:r>
      <w:proofErr w:type="spellStart"/>
      <w:r w:rsidRPr="00C10B13">
        <w:rPr>
          <w:rFonts w:ascii="Times New Roman" w:eastAsia="Times New Roman" w:hAnsi="Times New Roman" w:cs="Times New Roman"/>
          <w:sz w:val="24"/>
          <w:szCs w:val="24"/>
          <w:shd w:val="clear" w:color="auto" w:fill="FFFFFF"/>
          <w:lang w:eastAsia="en-CA"/>
        </w:rPr>
        <w:t>nM</w:t>
      </w:r>
      <w:proofErr w:type="spellEnd"/>
      <w:r w:rsidRPr="00C10B13">
        <w:rPr>
          <w:rFonts w:ascii="Times New Roman" w:eastAsia="Times New Roman" w:hAnsi="Times New Roman" w:cs="Times New Roman"/>
          <w:sz w:val="24"/>
          <w:szCs w:val="24"/>
          <w:shd w:val="clear" w:color="auto" w:fill="FFFFFF"/>
          <w:lang w:eastAsia="en-CA"/>
        </w:rPr>
        <w:t xml:space="preserve"> for 45 min</w:t>
      </w:r>
      <w:r w:rsidRPr="00C10B13">
        <w:rPr>
          <w:rFonts w:ascii="Times New Roman" w:eastAsiaTheme="minorEastAsia" w:hAnsi="Times New Roman" w:cs="Times New Roman"/>
          <w:bCs/>
          <w:kern w:val="24"/>
          <w:sz w:val="24"/>
          <w:szCs w:val="24"/>
          <w:lang w:val="en-US" w:eastAsia="en-CA"/>
        </w:rPr>
        <w:t xml:space="preserve"> at room temperature and bound Aβ was detected with 4G8 antibody that recognizes Aβ sequence 17-24 as described (Chakravarthy et al., 2013). </w:t>
      </w:r>
      <w:r w:rsidRPr="00C10B13">
        <w:rPr>
          <w:rFonts w:ascii="Times New Roman" w:eastAsiaTheme="minorEastAsia" w:hAnsi="Times New Roman" w:cs="Times New Roman"/>
          <w:b/>
          <w:bCs/>
          <w:kern w:val="24"/>
          <w:sz w:val="24"/>
          <w:szCs w:val="24"/>
          <w:lang w:val="en-US" w:eastAsia="en-CA"/>
        </w:rPr>
        <w:t>B</w:t>
      </w:r>
      <w:r w:rsidRPr="00C10B13">
        <w:rPr>
          <w:rFonts w:ascii="Times New Roman" w:eastAsiaTheme="minorEastAsia" w:hAnsi="Times New Roman" w:cs="Times New Roman"/>
          <w:color w:val="000000" w:themeColor="text1"/>
          <w:kern w:val="24"/>
          <w:sz w:val="24"/>
          <w:szCs w:val="24"/>
          <w:lang w:val="en-US" w:eastAsia="en-CA"/>
        </w:rPr>
        <w:t xml:space="preserve">. </w:t>
      </w:r>
      <w:proofErr w:type="spellStart"/>
      <w:r w:rsidRPr="00C10B13">
        <w:rPr>
          <w:rFonts w:ascii="Times New Roman" w:eastAsiaTheme="minorEastAsia" w:hAnsi="Times New Roman" w:cs="Times New Roman"/>
          <w:bCs/>
          <w:kern w:val="24"/>
          <w:sz w:val="24"/>
          <w:szCs w:val="24"/>
          <w:lang w:val="en-US" w:eastAsia="en-CA"/>
        </w:rPr>
        <w:t>Aß</w:t>
      </w:r>
      <w:proofErr w:type="spellEnd"/>
      <w:r w:rsidRPr="00C10B13">
        <w:rPr>
          <w:rFonts w:ascii="Times New Roman" w:eastAsiaTheme="minorEastAsia" w:hAnsi="Times New Roman" w:cs="Times New Roman"/>
          <w:bCs/>
          <w:kern w:val="24"/>
          <w:position w:val="-6"/>
          <w:sz w:val="24"/>
          <w:szCs w:val="24"/>
          <w:vertAlign w:val="subscript"/>
          <w:lang w:val="en-US" w:eastAsia="en-CA"/>
        </w:rPr>
        <w:t>1-42</w:t>
      </w:r>
      <w:r w:rsidRPr="00C10B13">
        <w:rPr>
          <w:rFonts w:ascii="Times New Roman" w:eastAsiaTheme="minorEastAsia" w:hAnsi="Times New Roman" w:cs="Times New Roman"/>
          <w:bCs/>
          <w:kern w:val="24"/>
          <w:sz w:val="24"/>
          <w:szCs w:val="24"/>
          <w:lang w:val="en-US" w:eastAsia="en-CA"/>
        </w:rPr>
        <w:t xml:space="preserve"> and </w:t>
      </w:r>
      <w:proofErr w:type="spellStart"/>
      <w:r w:rsidRPr="00C10B13">
        <w:rPr>
          <w:rFonts w:ascii="Times New Roman" w:eastAsiaTheme="minorEastAsia" w:hAnsi="Times New Roman" w:cs="Times New Roman"/>
          <w:bCs/>
          <w:kern w:val="24"/>
          <w:sz w:val="24"/>
          <w:szCs w:val="24"/>
          <w:lang w:val="en-US" w:eastAsia="en-CA"/>
        </w:rPr>
        <w:t>Aß</w:t>
      </w:r>
      <w:proofErr w:type="spellEnd"/>
      <w:r w:rsidRPr="00C10B13">
        <w:rPr>
          <w:rFonts w:ascii="Times New Roman" w:eastAsiaTheme="minorEastAsia" w:hAnsi="Times New Roman" w:cs="Times New Roman"/>
          <w:bCs/>
          <w:kern w:val="24"/>
          <w:position w:val="-6"/>
          <w:sz w:val="24"/>
          <w:szCs w:val="24"/>
          <w:vertAlign w:val="subscript"/>
          <w:lang w:val="en-US" w:eastAsia="en-CA"/>
        </w:rPr>
        <w:t>17-42</w:t>
      </w:r>
      <w:r w:rsidRPr="00C10B13">
        <w:rPr>
          <w:rFonts w:ascii="Times New Roman" w:eastAsiaTheme="minorEastAsia" w:hAnsi="Times New Roman" w:cs="Times New Roman"/>
          <w:kern w:val="24"/>
          <w:sz w:val="24"/>
          <w:szCs w:val="24"/>
          <w:lang w:val="en-US" w:eastAsia="en-CA"/>
        </w:rPr>
        <w:t xml:space="preserve"> </w:t>
      </w:r>
      <w:r w:rsidRPr="00C10B13">
        <w:rPr>
          <w:rFonts w:ascii="Times New Roman" w:eastAsiaTheme="minorEastAsia" w:hAnsi="Times New Roman" w:cs="Times New Roman"/>
          <w:bCs/>
          <w:kern w:val="24"/>
          <w:sz w:val="24"/>
          <w:szCs w:val="24"/>
          <w:lang w:val="en-US" w:eastAsia="en-CA"/>
        </w:rPr>
        <w:t>were doted</w:t>
      </w:r>
      <w:r w:rsidRPr="00C10B13">
        <w:rPr>
          <w:rFonts w:ascii="Times New Roman" w:eastAsiaTheme="minorEastAsia" w:hAnsi="Times New Roman" w:cs="Times New Roman"/>
          <w:kern w:val="24"/>
          <w:sz w:val="24"/>
          <w:szCs w:val="24"/>
          <w:lang w:val="en-US" w:eastAsia="en-CA"/>
        </w:rPr>
        <w:t xml:space="preserve"> </w:t>
      </w:r>
      <w:r w:rsidRPr="00C10B13">
        <w:rPr>
          <w:rFonts w:ascii="Times New Roman" w:eastAsiaTheme="minorEastAsia" w:hAnsi="Times New Roman" w:cs="Times New Roman"/>
          <w:bCs/>
          <w:kern w:val="24"/>
          <w:sz w:val="24"/>
          <w:szCs w:val="24"/>
          <w:lang w:val="en-US" w:eastAsia="en-CA"/>
        </w:rPr>
        <w:t xml:space="preserve">on nitrocellulose paper at the indicated amounts, incubated with ABP peptide (200nM) and bound ABP was detected with ABP-selective antibody as described (Chakravarthy et al., 2013).  These results suggest </w:t>
      </w:r>
      <w:r w:rsidRPr="00C10B13">
        <w:rPr>
          <w:rFonts w:ascii="Times New Roman" w:eastAsiaTheme="minorEastAsia" w:hAnsi="Times New Roman" w:cs="Times New Roman"/>
          <w:color w:val="000000" w:themeColor="text1"/>
          <w:kern w:val="24"/>
          <w:sz w:val="24"/>
          <w:szCs w:val="24"/>
          <w:lang w:val="en-US" w:eastAsia="en-CA"/>
        </w:rPr>
        <w:t>that P4-5 binding motif is downstream of amino acid 15 towards the C-terminus.</w:t>
      </w:r>
    </w:p>
    <w:p w:rsidR="001F7010" w:rsidRDefault="001F7010" w:rsidP="00D96C57">
      <w:pPr>
        <w:pStyle w:val="NormalWeb"/>
        <w:spacing w:before="0" w:beforeAutospacing="0" w:after="0" w:afterAutospacing="0"/>
        <w:rPr>
          <w:b/>
        </w:rPr>
      </w:pPr>
    </w:p>
    <w:p w:rsidR="001F7010" w:rsidRDefault="00B4295D" w:rsidP="001F7010">
      <w:pPr>
        <w:tabs>
          <w:tab w:val="left" w:pos="5600"/>
        </w:tabs>
        <w:rPr>
          <w:lang w:eastAsia="en-CA"/>
        </w:rPr>
      </w:pPr>
      <w:r>
        <w:rPr>
          <w:noProof/>
          <w:lang w:eastAsia="en-CA"/>
        </w:rPr>
        <w:drawing>
          <wp:anchor distT="0" distB="0" distL="114300" distR="114300" simplePos="0" relativeHeight="251659264" behindDoc="0" locked="0" layoutInCell="1" allowOverlap="1" wp14:anchorId="068A04D0" wp14:editId="77E74865">
            <wp:simplePos x="0" y="0"/>
            <wp:positionH relativeFrom="margin">
              <wp:posOffset>0</wp:posOffset>
            </wp:positionH>
            <wp:positionV relativeFrom="paragraph">
              <wp:posOffset>373611</wp:posOffset>
            </wp:positionV>
            <wp:extent cx="5867400" cy="2247900"/>
            <wp:effectExtent l="0" t="0" r="0" b="0"/>
            <wp:wrapThrough wrapText="bothSides">
              <wp:wrapPolygon edited="0">
                <wp:start x="0" y="0"/>
                <wp:lineTo x="0" y="21417"/>
                <wp:lineTo x="21530" y="21417"/>
                <wp:lineTo x="21530" y="0"/>
                <wp:lineTo x="0"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7400" cy="2247900"/>
                    </a:xfrm>
                    <a:prstGeom prst="rect">
                      <a:avLst/>
                    </a:prstGeom>
                    <a:noFill/>
                  </pic:spPr>
                </pic:pic>
              </a:graphicData>
            </a:graphic>
            <wp14:sizeRelH relativeFrom="page">
              <wp14:pctWidth>0</wp14:pctWidth>
            </wp14:sizeRelH>
            <wp14:sizeRelV relativeFrom="page">
              <wp14:pctHeight>0</wp14:pctHeight>
            </wp14:sizeRelV>
          </wp:anchor>
        </w:drawing>
      </w: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1F7010" w:rsidRDefault="001F7010" w:rsidP="001F7010">
      <w:pPr>
        <w:tabs>
          <w:tab w:val="left" w:pos="5600"/>
        </w:tabs>
        <w:rPr>
          <w:lang w:eastAsia="en-CA"/>
        </w:rPr>
      </w:pPr>
    </w:p>
    <w:p w:rsidR="003E1FFA" w:rsidRDefault="003E1FFA" w:rsidP="001F7010">
      <w:pPr>
        <w:tabs>
          <w:tab w:val="left" w:pos="5600"/>
        </w:tabs>
        <w:rPr>
          <w:lang w:eastAsia="en-CA"/>
        </w:rPr>
      </w:pPr>
    </w:p>
    <w:p w:rsidR="001F7010" w:rsidRDefault="001F7010" w:rsidP="001F7010">
      <w:pPr>
        <w:pStyle w:val="NormalWeb"/>
        <w:spacing w:before="0" w:beforeAutospacing="0" w:after="0" w:afterAutospacing="0"/>
        <w:rPr>
          <w:color w:val="000000" w:themeColor="text1"/>
          <w:kern w:val="24"/>
          <w:lang w:val="en-US"/>
        </w:rPr>
      </w:pPr>
      <w:r w:rsidRPr="001F7010">
        <w:rPr>
          <w:rFonts w:eastAsia="Times New Roman"/>
          <w:b/>
          <w:bCs/>
          <w:color w:val="000000"/>
          <w:kern w:val="24"/>
        </w:rPr>
        <w:lastRenderedPageBreak/>
        <w:t>Figure S</w:t>
      </w:r>
      <w:r w:rsidR="00331E44">
        <w:rPr>
          <w:rFonts w:eastAsia="Times New Roman"/>
          <w:b/>
          <w:bCs/>
          <w:color w:val="000000"/>
          <w:kern w:val="24"/>
        </w:rPr>
        <w:t>5</w:t>
      </w:r>
      <w:r w:rsidRPr="001F7010">
        <w:rPr>
          <w:rFonts w:eastAsia="Times New Roman"/>
          <w:b/>
          <w:bCs/>
          <w:color w:val="000000"/>
          <w:kern w:val="24"/>
        </w:rPr>
        <w:t>:</w:t>
      </w:r>
      <w:r w:rsidRPr="001F7010">
        <w:rPr>
          <w:rFonts w:eastAsia="Times New Roman"/>
          <w:b/>
          <w:color w:val="000000"/>
          <w:kern w:val="24"/>
        </w:rPr>
        <w:t xml:space="preserve"> </w:t>
      </w:r>
      <w:r w:rsidRPr="001F7010">
        <w:rPr>
          <w:color w:val="000000" w:themeColor="text1"/>
          <w:kern w:val="24"/>
          <w:lang w:val="en-US"/>
        </w:rPr>
        <w:t xml:space="preserve">Levels of A20.1-mFc-ABP or FC5-mFc-ABP or total amyloid beta in serum and CSF </w:t>
      </w:r>
      <w:r w:rsidR="003E1FFA">
        <w:rPr>
          <w:color w:val="000000" w:themeColor="text1"/>
          <w:kern w:val="24"/>
          <w:lang w:val="en-US"/>
        </w:rPr>
        <w:t xml:space="preserve">4h or 24 h after intravenous injection of </w:t>
      </w:r>
      <w:r w:rsidRPr="001F7010">
        <w:rPr>
          <w:color w:val="000000" w:themeColor="text1"/>
          <w:kern w:val="24"/>
          <w:lang w:val="en-US"/>
        </w:rPr>
        <w:t xml:space="preserve">15 mg/kg of either </w:t>
      </w:r>
      <w:r w:rsidR="003E1FFA">
        <w:rPr>
          <w:color w:val="000000" w:themeColor="text1"/>
          <w:kern w:val="24"/>
          <w:lang w:val="en-US"/>
        </w:rPr>
        <w:t>fusion protein in dogs</w:t>
      </w:r>
      <w:r w:rsidRPr="001F7010">
        <w:rPr>
          <w:color w:val="000000" w:themeColor="text1"/>
          <w:kern w:val="24"/>
          <w:lang w:val="en-US"/>
        </w:rPr>
        <w:t>. Absolute levels of A20.1-mFc-ABP and FC5-mFc-ABP were quantified in serum and CSF using LC-MRM a</w:t>
      </w:r>
      <w:r w:rsidR="003E1FFA">
        <w:rPr>
          <w:color w:val="000000" w:themeColor="text1"/>
          <w:kern w:val="24"/>
          <w:lang w:val="en-US"/>
        </w:rPr>
        <w:t>nalysis. Total amyloid beta was</w:t>
      </w:r>
      <w:r w:rsidRPr="001F7010">
        <w:rPr>
          <w:color w:val="000000" w:themeColor="text1"/>
          <w:kern w:val="24"/>
          <w:lang w:val="en-US"/>
        </w:rPr>
        <w:t xml:space="preserve"> analyzed simultaneously in the CSF samples in a multiplex manner. Asterisks (*) </w:t>
      </w:r>
      <w:r w:rsidR="003E1FFA">
        <w:rPr>
          <w:color w:val="000000" w:themeColor="text1"/>
          <w:kern w:val="24"/>
          <w:lang w:val="en-US"/>
        </w:rPr>
        <w:t xml:space="preserve">indicates levels below limits of detection </w:t>
      </w:r>
      <w:r w:rsidRPr="001F7010">
        <w:rPr>
          <w:color w:val="000000" w:themeColor="text1"/>
          <w:kern w:val="24"/>
          <w:lang w:val="en-US"/>
        </w:rPr>
        <w:t>at time 0 h.</w:t>
      </w:r>
    </w:p>
    <w:p w:rsidR="001F7010" w:rsidRDefault="001F7010" w:rsidP="001F7010">
      <w:pPr>
        <w:pStyle w:val="NormalWeb"/>
        <w:spacing w:before="0" w:beforeAutospacing="0" w:after="0" w:afterAutospacing="0"/>
        <w:rPr>
          <w:color w:val="000000" w:themeColor="text1"/>
          <w:kern w:val="24"/>
          <w:lang w:val="en-US"/>
        </w:rPr>
      </w:pPr>
    </w:p>
    <w:p w:rsidR="001F7010" w:rsidRDefault="00346CDF" w:rsidP="001F7010">
      <w:pPr>
        <w:pStyle w:val="NormalWeb"/>
        <w:spacing w:before="0" w:beforeAutospacing="0" w:after="0" w:afterAutospacing="0"/>
        <w:rPr>
          <w:color w:val="000000" w:themeColor="text1"/>
          <w:kern w:val="24"/>
          <w:lang w:val="en-US"/>
        </w:rPr>
      </w:pPr>
      <w:r w:rsidRPr="00346CDF">
        <w:rPr>
          <w:noProof/>
        </w:rPr>
        <w:drawing>
          <wp:inline distT="0" distB="0" distL="0" distR="0">
            <wp:extent cx="5553075" cy="5524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53075" cy="5524500"/>
                    </a:xfrm>
                    <a:prstGeom prst="rect">
                      <a:avLst/>
                    </a:prstGeom>
                    <a:noFill/>
                    <a:ln>
                      <a:noFill/>
                    </a:ln>
                  </pic:spPr>
                </pic:pic>
              </a:graphicData>
            </a:graphic>
          </wp:inline>
        </w:drawing>
      </w:r>
    </w:p>
    <w:p w:rsidR="001F7010" w:rsidRPr="001F7010" w:rsidRDefault="001F7010" w:rsidP="001F7010">
      <w:pPr>
        <w:pStyle w:val="NormalWeb"/>
        <w:spacing w:before="0" w:beforeAutospacing="0" w:after="0" w:afterAutospacing="0"/>
      </w:pPr>
    </w:p>
    <w:p w:rsidR="001F7010" w:rsidRPr="001F7010" w:rsidRDefault="001F7010" w:rsidP="001F7010">
      <w:pPr>
        <w:tabs>
          <w:tab w:val="left" w:pos="5600"/>
        </w:tabs>
        <w:rPr>
          <w:rFonts w:ascii="Times New Roman" w:hAnsi="Times New Roman" w:cs="Times New Roman"/>
          <w:sz w:val="24"/>
          <w:szCs w:val="24"/>
          <w:lang w:eastAsia="en-CA"/>
        </w:rPr>
      </w:pPr>
    </w:p>
    <w:p w:rsidR="001F7010" w:rsidRDefault="001F7010" w:rsidP="001F7010">
      <w:pPr>
        <w:tabs>
          <w:tab w:val="left" w:pos="5600"/>
        </w:tabs>
        <w:rPr>
          <w:lang w:eastAsia="en-CA"/>
        </w:rPr>
      </w:pPr>
    </w:p>
    <w:p w:rsidR="00342B6D" w:rsidRDefault="00642F72" w:rsidP="00B4295D">
      <w:pPr>
        <w:tabs>
          <w:tab w:val="left" w:pos="5600"/>
        </w:tabs>
        <w:rPr>
          <w:lang w:eastAsia="en-CA"/>
        </w:rPr>
      </w:pPr>
      <w:r>
        <w:rPr>
          <w:lang w:eastAsia="en-CA"/>
        </w:rPr>
        <w:br/>
      </w:r>
    </w:p>
    <w:sectPr w:rsidR="00342B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4D8"/>
    <w:rsid w:val="0004648C"/>
    <w:rsid w:val="001F00B5"/>
    <w:rsid w:val="001F7010"/>
    <w:rsid w:val="00331E44"/>
    <w:rsid w:val="00342B6D"/>
    <w:rsid w:val="00346CDF"/>
    <w:rsid w:val="003E1FFA"/>
    <w:rsid w:val="00435237"/>
    <w:rsid w:val="00491BBF"/>
    <w:rsid w:val="00642F72"/>
    <w:rsid w:val="009224D8"/>
    <w:rsid w:val="00951AC7"/>
    <w:rsid w:val="009F3241"/>
    <w:rsid w:val="00A35FE0"/>
    <w:rsid w:val="00AA3FC6"/>
    <w:rsid w:val="00AB496B"/>
    <w:rsid w:val="00B4295D"/>
    <w:rsid w:val="00BD68B2"/>
    <w:rsid w:val="00C10B13"/>
    <w:rsid w:val="00C2217E"/>
    <w:rsid w:val="00CC0332"/>
    <w:rsid w:val="00D80D98"/>
    <w:rsid w:val="00D96C57"/>
    <w:rsid w:val="00EF3AF1"/>
    <w:rsid w:val="00F5539A"/>
    <w:rsid w:val="00FB3BA4"/>
    <w:rsid w:val="00FF6A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B65FF5-3ED6-4886-AEEA-640620AB9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24D8"/>
    <w:pPr>
      <w:spacing w:before="100" w:beforeAutospacing="1" w:after="100" w:afterAutospacing="1" w:line="240" w:lineRule="auto"/>
    </w:pPr>
    <w:rPr>
      <w:rFonts w:ascii="Times New Roman" w:eastAsiaTheme="minorEastAsia"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896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NRC-CNRC</Company>
  <LinksUpToDate>false</LinksUpToDate>
  <CharactersWithSpaces>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Chakravarthy, Balu</dc:creator>
  <cp:keywords/>
  <dc:description/>
  <cp:lastModifiedBy>Chakravarthy, Balu</cp:lastModifiedBy>
  <cp:revision>2</cp:revision>
  <dcterms:created xsi:type="dcterms:W3CDTF">2022-04-29T19:59:00Z</dcterms:created>
  <dcterms:modified xsi:type="dcterms:W3CDTF">2022-04-29T19:59:00Z</dcterms:modified>
</cp:coreProperties>
</file>