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EC7A02" w14:textId="4B028456" w:rsidR="00240DE6" w:rsidRDefault="00240DE6" w:rsidP="00DA7EF1">
      <w:pPr>
        <w:rPr>
          <w:b/>
        </w:rPr>
      </w:pPr>
      <w:bookmarkStart w:id="0" w:name="_GoBack"/>
      <w:bookmarkEnd w:id="0"/>
      <w:r>
        <w:rPr>
          <w:b/>
        </w:rPr>
        <w:t>SUPPLEMENTARY INFORMATION</w:t>
      </w:r>
    </w:p>
    <w:p w14:paraId="3A9BA851" w14:textId="77777777" w:rsidR="00240DE6" w:rsidRDefault="00240DE6" w:rsidP="00DA7EF1">
      <w:pPr>
        <w:rPr>
          <w:b/>
        </w:rPr>
      </w:pPr>
    </w:p>
    <w:p w14:paraId="0D885B2F" w14:textId="738B5E40" w:rsidR="00240DE6" w:rsidRDefault="00240DE6" w:rsidP="00DA7EF1">
      <w:pPr>
        <w:rPr>
          <w:b/>
        </w:rPr>
      </w:pPr>
    </w:p>
    <w:p w14:paraId="44ABC372" w14:textId="706DDF71" w:rsidR="004022C9" w:rsidRDefault="004022C9" w:rsidP="00DA7EF1">
      <w:pPr>
        <w:rPr>
          <w:b/>
        </w:rPr>
      </w:pPr>
      <w:r>
        <w:rPr>
          <w:b/>
        </w:rPr>
        <w:t>Graphical Abstract</w:t>
      </w:r>
    </w:p>
    <w:p w14:paraId="4221E55E" w14:textId="39FD12F0" w:rsidR="004022C9" w:rsidRDefault="004022C9" w:rsidP="00DA7EF1">
      <w:pPr>
        <w:rPr>
          <w:b/>
        </w:rPr>
      </w:pPr>
      <w:r>
        <w:rPr>
          <w:b/>
        </w:rPr>
        <w:t>Extended versions of Section 2.4</w:t>
      </w:r>
      <w:r w:rsidR="00CA5955">
        <w:rPr>
          <w:b/>
        </w:rPr>
        <w:t>, Section 2.7</w:t>
      </w:r>
      <w:r>
        <w:rPr>
          <w:b/>
        </w:rPr>
        <w:t xml:space="preserve"> and Section 3.1</w:t>
      </w:r>
    </w:p>
    <w:p w14:paraId="6CF1B1A3" w14:textId="77777777" w:rsidR="004022C9" w:rsidRDefault="004022C9" w:rsidP="00DA7EF1">
      <w:pPr>
        <w:rPr>
          <w:b/>
        </w:rPr>
      </w:pPr>
    </w:p>
    <w:p w14:paraId="1F1AE814" w14:textId="77777777" w:rsidR="004022C9" w:rsidRDefault="004022C9" w:rsidP="00DA7EF1">
      <w:pPr>
        <w:rPr>
          <w:b/>
        </w:rPr>
      </w:pPr>
    </w:p>
    <w:p w14:paraId="35A58AF6" w14:textId="77777777" w:rsidR="004022C9" w:rsidRDefault="004022C9">
      <w:pPr>
        <w:jc w:val="left"/>
        <w:rPr>
          <w:b/>
        </w:rPr>
      </w:pPr>
      <w:r>
        <w:rPr>
          <w:b/>
        </w:rPr>
        <w:br w:type="page"/>
      </w:r>
    </w:p>
    <w:p w14:paraId="29BF1134" w14:textId="56B2FD94" w:rsidR="004022C9" w:rsidRDefault="004022C9">
      <w:pPr>
        <w:jc w:val="left"/>
        <w:rPr>
          <w:b/>
        </w:rPr>
      </w:pPr>
      <w:r w:rsidRPr="004022C9">
        <w:rPr>
          <w:b/>
        </w:rPr>
        <w:lastRenderedPageBreak/>
        <w:t>Graphical abstract</w:t>
      </w:r>
    </w:p>
    <w:p w14:paraId="2BB70AC2" w14:textId="28246ED9" w:rsidR="004022C9" w:rsidRDefault="004022C9">
      <w:pPr>
        <w:jc w:val="left"/>
        <w:rPr>
          <w:b/>
        </w:rPr>
      </w:pPr>
    </w:p>
    <w:p w14:paraId="18BD416B" w14:textId="77777777" w:rsidR="004022C9" w:rsidRDefault="004022C9">
      <w:pPr>
        <w:jc w:val="left"/>
        <w:rPr>
          <w:b/>
        </w:rPr>
      </w:pPr>
    </w:p>
    <w:p w14:paraId="04222C2F" w14:textId="77777777" w:rsidR="004022C9" w:rsidRDefault="004022C9">
      <w:pPr>
        <w:jc w:val="left"/>
        <w:rPr>
          <w:b/>
        </w:rPr>
      </w:pPr>
    </w:p>
    <w:p w14:paraId="0BB98AA0" w14:textId="24171B41" w:rsidR="004022C9" w:rsidRPr="004022C9" w:rsidRDefault="004022C9">
      <w:pPr>
        <w:jc w:val="left"/>
        <w:rPr>
          <w:b/>
          <w:bCs/>
        </w:rPr>
      </w:pPr>
      <w:r>
        <w:rPr>
          <w:noProof/>
          <w:lang w:val="en-US" w:eastAsia="en-US"/>
        </w:rPr>
        <w:drawing>
          <wp:inline distT="0" distB="0" distL="0" distR="0" wp14:anchorId="257D4197" wp14:editId="1C00686E">
            <wp:extent cx="5731510" cy="4010169"/>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4010169"/>
                    </a:xfrm>
                    <a:prstGeom prst="rect">
                      <a:avLst/>
                    </a:prstGeom>
                    <a:noFill/>
                    <a:ln>
                      <a:noFill/>
                    </a:ln>
                  </pic:spPr>
                </pic:pic>
              </a:graphicData>
            </a:graphic>
          </wp:inline>
        </w:drawing>
      </w:r>
      <w:r w:rsidRPr="004022C9">
        <w:rPr>
          <w:b/>
        </w:rPr>
        <w:br w:type="page"/>
      </w:r>
    </w:p>
    <w:p w14:paraId="25D1E267" w14:textId="0F38A909" w:rsidR="0083202E" w:rsidRDefault="0083202E" w:rsidP="0083202E">
      <w:pPr>
        <w:pStyle w:val="Heading2"/>
      </w:pPr>
      <w:r>
        <w:lastRenderedPageBreak/>
        <w:t>Section 2.4 Permeation of CHG formulations skin permeation studies</w:t>
      </w:r>
    </w:p>
    <w:p w14:paraId="7FE75BB0" w14:textId="77777777" w:rsidR="0083202E" w:rsidRDefault="0083202E" w:rsidP="0083202E"/>
    <w:p w14:paraId="69B559B5" w14:textId="77777777" w:rsidR="0083202E" w:rsidRDefault="0083202E" w:rsidP="0083202E">
      <w:pPr>
        <w:spacing w:line="360" w:lineRule="auto"/>
      </w:pPr>
      <w:r>
        <w:rPr>
          <w:rFonts w:eastAsia="Times"/>
        </w:rPr>
        <w:t>CHG</w:t>
      </w:r>
      <w:r w:rsidRPr="00CD0817">
        <w:rPr>
          <w:rFonts w:eastAsia="Times"/>
        </w:rPr>
        <w:t xml:space="preserve"> skin permeation was evaluated </w:t>
      </w:r>
      <w:r w:rsidRPr="00DC475E">
        <w:rPr>
          <w:rFonts w:eastAsia="Times"/>
          <w:i/>
        </w:rPr>
        <w:t>ex vivo</w:t>
      </w:r>
      <w:r w:rsidRPr="00CD0817">
        <w:rPr>
          <w:rFonts w:eastAsia="Times"/>
        </w:rPr>
        <w:t xml:space="preserve"> using a Franz-type diffusion cell.</w:t>
      </w:r>
      <w:r>
        <w:rPr>
          <w:rFonts w:eastAsia="Times"/>
        </w:rPr>
        <w:t xml:space="preserve"> </w:t>
      </w:r>
      <w:proofErr w:type="spellStart"/>
      <w:r>
        <w:rPr>
          <w:rFonts w:eastAsia="Times"/>
        </w:rPr>
        <w:t>Transepidermal</w:t>
      </w:r>
      <w:proofErr w:type="spellEnd"/>
      <w:r>
        <w:rPr>
          <w:rFonts w:eastAsia="Times"/>
        </w:rPr>
        <w:t xml:space="preserve"> water loss (TEWL) was measured for each skin sample to check its integrity using a </w:t>
      </w:r>
      <w:proofErr w:type="spellStart"/>
      <w:r>
        <w:rPr>
          <w:rFonts w:eastAsia="Times"/>
        </w:rPr>
        <w:t>Biox</w:t>
      </w:r>
      <w:proofErr w:type="spellEnd"/>
      <w:r>
        <w:rPr>
          <w:rFonts w:eastAsia="Times"/>
        </w:rPr>
        <w:t xml:space="preserve"> </w:t>
      </w:r>
      <w:proofErr w:type="spellStart"/>
      <w:r>
        <w:rPr>
          <w:rFonts w:eastAsia="Times"/>
        </w:rPr>
        <w:t>Aquaflux</w:t>
      </w:r>
      <w:proofErr w:type="spellEnd"/>
      <w:r>
        <w:rPr>
          <w:rFonts w:eastAsia="Times"/>
        </w:rPr>
        <w:t xml:space="preserve">™ meter (model AF200). The TEWL probe was allowed to equilibrate for 2 min before any TEWL measurements of skin samples were taken. Any skin sample with a TEWL measurement 4 × above or below the mean TEWL measurement was discarded </w:t>
      </w:r>
      <w:r>
        <w:rPr>
          <w:rFonts w:eastAsia="Times"/>
        </w:rPr>
        <w:fldChar w:fldCharType="begin" w:fldLock="1"/>
      </w:r>
      <w:r>
        <w:rPr>
          <w:rFonts w:eastAsia="Times"/>
        </w:rPr>
        <w:instrText>ADDIN CSL_CITATION {"citationItems":[{"id":"ITEM-1","itemData":{"DOI":"10.1016/j.tiv.2014.09.012","ISSN":"18793177","abstract":"The conventional safety approach that includes dermal absorption of pharmaceutical or consumer products uses models that are based on intact skin. However, when products are intended for application to skin with a less effective barrier, such as in new-born infants, or in cases where the skin is mildly damaged or diseased, there are instances where absorption through compromised skin is also important. A tape stripping procedure was investigated using dermatomed pig skin to assess if an in vitro model could replicate the typical changes in barrier function observed in humans with compromised skin. The relationship between Trans-Epidermal Water Loss (TEWL), Electrical Resistance (ER) and Tritiated Water Flux (TWF), markers of skin barrier function in OECD 428 studies was investigated. There was a step-wise reduction in ER from normal (control) skin following 5, 10, 15 or 20 tape strips. This was mirrored by increases in both TWF and TEWL. An in vitro experimental protocol using 5 tape strips, ER and dermatomed pig skin provided a rapid, robust and reproducible approach equivalent to the 3-4-fold increases in TEWL observed clinically in compromised skin.","author":[{"dropping-particle":"","family":"Davies","given":"Diane J.","non-dropping-particle":"","parse-names":false,"suffix":""},{"dropping-particle":"","family":"Heylings","given":"Jon R.","non-dropping-particle":"","parse-names":false,"suffix":""},{"dropping-particle":"","family":"McCarthy","given":"Timothy J.","non-dropping-particle":"","parse-names":false,"suffix":""},{"dropping-particle":"","family":"Correa","given":"Catherine M.","non-dropping-particle":"","parse-names":false,"suffix":""}],"container-title":"Toxicology in Vitro","id":"ITEM-1","issue":"1","issued":{"date-parts":[["2015","2"]]},"page":"176-181","publisher":"Elsevier Ltd","title":"Development of an in vitro model for studying the penetration of chemicals through compromised skin","type":"article-journal","volume":"29"},"uris":["http://www.mendeley.com/documents/?uuid=6ac4177c-b954-3adf-a852-6fd70ebb775e","http://www.mendeley.com/documents/?uuid=0db7f80f-266f-4ce9-a9ba-98cf72ce9613"]}],"mendeley":{"formattedCitation":"&lt;sup&gt;35&lt;/sup&gt;","plainTextFormattedCitation":"35","previouslyFormattedCitation":"&lt;sup&gt;35&lt;/sup&gt;"},"properties":{"noteIndex":0},"schema":"https://github.com/citation-style-language/schema/raw/master/csl-citation.json"}</w:instrText>
      </w:r>
      <w:r>
        <w:rPr>
          <w:rFonts w:eastAsia="Times"/>
        </w:rPr>
        <w:fldChar w:fldCharType="separate"/>
      </w:r>
      <w:r w:rsidRPr="00DC475E">
        <w:rPr>
          <w:rFonts w:eastAsia="Times"/>
          <w:noProof/>
          <w:vertAlign w:val="superscript"/>
        </w:rPr>
        <w:t>35</w:t>
      </w:r>
      <w:r>
        <w:rPr>
          <w:rFonts w:eastAsia="Times"/>
        </w:rPr>
        <w:fldChar w:fldCharType="end"/>
      </w:r>
      <w:r>
        <w:rPr>
          <w:rFonts w:eastAsia="Times"/>
        </w:rPr>
        <w:t xml:space="preserve">. </w:t>
      </w:r>
      <w:r>
        <w:t>Skin</w:t>
      </w:r>
      <w:r w:rsidRPr="004964F2">
        <w:t xml:space="preserve"> samples </w:t>
      </w:r>
      <w:r>
        <w:t xml:space="preserve">that met the TEWL threshold </w:t>
      </w:r>
      <w:r w:rsidRPr="004964F2">
        <w:t xml:space="preserve">were placed on a cork board for support and the </w:t>
      </w:r>
      <w:proofErr w:type="spellStart"/>
      <w:r w:rsidRPr="004964F2">
        <w:t>Dermapen</w:t>
      </w:r>
      <w:proofErr w:type="spellEnd"/>
      <w:r w:rsidRPr="004964F2">
        <w:t xml:space="preserve">® applied vertically to the skin at the lowest </w:t>
      </w:r>
      <w:r>
        <w:t>microneedle oscillation speed (8000 RPM)</w:t>
      </w:r>
      <w:r w:rsidRPr="004964F2">
        <w:t xml:space="preserve"> for 10 seconds. </w:t>
      </w:r>
      <w:r>
        <w:t>Post-microneedle application</w:t>
      </w:r>
      <w:r w:rsidRPr="004964F2">
        <w:t xml:space="preserve">, the skin was immediately placed </w:t>
      </w:r>
      <w:r>
        <w:t>in</w:t>
      </w:r>
      <w:r w:rsidRPr="004964F2">
        <w:t xml:space="preserve"> the diffusion cell apparatus and the </w:t>
      </w:r>
      <w:r>
        <w:t xml:space="preserve">CHG </w:t>
      </w:r>
      <w:r w:rsidRPr="004964F2">
        <w:t>formulation</w:t>
      </w:r>
      <w:r>
        <w:t>s were</w:t>
      </w:r>
      <w:r w:rsidRPr="004964F2">
        <w:t xml:space="preserve"> applied to the skin.</w:t>
      </w:r>
      <w:r>
        <w:t xml:space="preserve"> Phosphate buffer saline with (pH 7.4) was used as a receptor fluid for the permeation study.</w:t>
      </w:r>
      <w:r w:rsidRPr="004964F2">
        <w:t xml:space="preserve"> </w:t>
      </w:r>
      <w:r>
        <w:t xml:space="preserve">The Franz-type cells </w:t>
      </w:r>
      <w:r>
        <w:rPr>
          <w:rFonts w:eastAsia="Times"/>
        </w:rPr>
        <w:t>were placed in a water bath set to 37</w:t>
      </w:r>
      <w:r>
        <w:rPr>
          <w:rFonts w:eastAsia="Times"/>
          <w:vertAlign w:val="superscript"/>
        </w:rPr>
        <w:t>o</w:t>
      </w:r>
      <w:r>
        <w:rPr>
          <w:rFonts w:eastAsia="Times"/>
        </w:rPr>
        <w:t xml:space="preserve">C for the duration of the experiment. </w:t>
      </w:r>
      <w:r w:rsidRPr="004964F2">
        <w:t xml:space="preserve">Samples were taken from the </w:t>
      </w:r>
      <w:r>
        <w:t>diffusion</w:t>
      </w:r>
      <w:r w:rsidRPr="004964F2">
        <w:t xml:space="preserve"> cell receptor at specific time points over 24hr</w:t>
      </w:r>
      <w:r>
        <w:t xml:space="preserve"> and subsequently r</w:t>
      </w:r>
      <w:r w:rsidRPr="00CD0817">
        <w:t xml:space="preserve">eplaced with </w:t>
      </w:r>
      <w:r>
        <w:t xml:space="preserve">an </w:t>
      </w:r>
      <w:r w:rsidRPr="00CD0817">
        <w:t>equal volume of fresh</w:t>
      </w:r>
      <w:r>
        <w:t xml:space="preserve"> buffer</w:t>
      </w:r>
      <w:r w:rsidRPr="004964F2">
        <w:t xml:space="preserve">. </w:t>
      </w:r>
    </w:p>
    <w:p w14:paraId="6D3F6ECF" w14:textId="77777777" w:rsidR="0083202E" w:rsidRDefault="0083202E" w:rsidP="0083202E">
      <w:pPr>
        <w:spacing w:line="360" w:lineRule="auto"/>
      </w:pPr>
    </w:p>
    <w:p w14:paraId="358AF748" w14:textId="77777777" w:rsidR="0083202E" w:rsidRDefault="0083202E" w:rsidP="0083202E">
      <w:pPr>
        <w:spacing w:line="360" w:lineRule="auto"/>
      </w:pPr>
      <w:r>
        <w:rPr>
          <w:rFonts w:eastAsia="Times"/>
        </w:rPr>
        <w:t>At the end of the 24 h experiment, the diffusion cells were disassembled and excess formulation remaining on the skin surface was removed using absorbent paper towel. Skin was allowed to air dry at ambient temperature for one hour, after which 21 consecutive D-</w:t>
      </w:r>
      <w:proofErr w:type="spellStart"/>
      <w:r>
        <w:rPr>
          <w:rFonts w:eastAsia="Times"/>
        </w:rPr>
        <w:t>squame</w:t>
      </w:r>
      <w:proofErr w:type="spellEnd"/>
      <w:r>
        <w:rPr>
          <w:rFonts w:eastAsia="Times"/>
        </w:rPr>
        <w:t xml:space="preserve">™ tape strips were firmly pressed onto the treated area of skin using a roller and quickly removed from each skin sample to remove </w:t>
      </w:r>
      <w:r>
        <w:rPr>
          <w:rFonts w:eastAsia="Times"/>
          <w:i/>
        </w:rPr>
        <w:t xml:space="preserve">stratum </w:t>
      </w:r>
      <w:proofErr w:type="spellStart"/>
      <w:r>
        <w:rPr>
          <w:rFonts w:eastAsia="Times"/>
          <w:i/>
        </w:rPr>
        <w:t>corneum</w:t>
      </w:r>
      <w:proofErr w:type="spellEnd"/>
      <w:r>
        <w:rPr>
          <w:rFonts w:eastAsia="Times"/>
          <w:i/>
        </w:rPr>
        <w:t xml:space="preserve"> </w:t>
      </w:r>
      <w:proofErr w:type="spellStart"/>
      <w:r>
        <w:rPr>
          <w:rFonts w:eastAsia="Times"/>
        </w:rPr>
        <w:t>corneocytes</w:t>
      </w:r>
      <w:proofErr w:type="spellEnd"/>
      <w:r>
        <w:rPr>
          <w:rFonts w:eastAsia="Times"/>
        </w:rPr>
        <w:t xml:space="preserve"> </w:t>
      </w:r>
      <w:r>
        <w:rPr>
          <w:rFonts w:eastAsia="Times"/>
        </w:rPr>
        <w:fldChar w:fldCharType="begin" w:fldLock="1"/>
      </w:r>
      <w:r>
        <w:rPr>
          <w:rFonts w:eastAsia="Times"/>
        </w:rPr>
        <w:instrText>ADDIN CSL_CITATION {"citationItems":[{"id":"ITEM-1","itemData":{"DOI":"10.1016/j.ijpharm.2020.119808","ISSN":"0378-5173","abstract":"Despite being one of the most efficacious drugs used in the treatment of basal cell carcinoma (BCC), imiquimod has limited cutaneous permeation. The current work presents the development of polyvinylpyrrolidone-co-vinyl acetate (PVPVA) microneedles loaded with imiquimod for improving intradermal delivery of imiquimod for the treatment of nodular BCC. In vitro permeation studies, using full thickness ex vivo porcine skin were used to evaluate the effec- tiveness of these imiquimod loaded polymeric microneedles in comparison to the topical application of commercial Aldara™ cream. HPLC analysis demonstrated similar intradermal permeation of imiquimod from Aldara™ cream and imiquimod-loaded microneedles despite the microneedle having a six-fold lower drug loading than the clinical dose of Aldara™ used for BCC management. In addition, ToF-SIMS analysis of skin cross sections demonstrated intradermal localisation of imiquimod following microneedle-based delivery while the Aldara™ treated skin showed the drug localised predominantly within the stratum corneum. ToF-SIMS analysis also demonstrated intradermal co-localisation of the PVPVA polymer, used in fabricating the microneedle, with imiquimod within the microneedle channels in a label-free manner. This study demonstrates that a polymeric microneedle system may be a viable approach to im- proving the intradermal delivery of imiquimod for the treatment of nodular BCC with lower drug loading. 1.","author":[{"dropping-particle":"","family":"Sabri","given":"Akmal H","non-dropping-particle":"","parse-names":false,"suffix":""},{"dropping-particle":"","family":"Cater","given":"Zachary","non-dropping-particle":"","parse-names":false,"suffix":""},{"dropping-particle":"","family":"Gurnani","given":"Pratik","non-dropping-particle":"","parse-names":false,"suffix":""},{"dropping-particle":"","family":"Ogilvie","given":"Jane","non-dropping-particle":"","parse-names":false,"suffix":""},{"dropping-particle":"","family":"Segal","given":"Joel","non-dropping-particle":"","parse-names":false,"suffix":""},{"dropping-particle":"","family":"Scurr","given":"David J","non-dropping-particle":"","parse-names":false,"suffix":""},{"dropping-particle":"","family":"Marlow","given":"Maria","non-dropping-particle":"","parse-names":false,"suffix":""}],"container-title":"International Journal of Pharmaceutics","id":"ITEM-1","issue":"May","issued":{"date-parts":[["2020"]]},"page":"119808","publisher":"Elsevier","title":"Intradermal delivery of imiquimod using polymeric microneedles for basal cell carcinoma","type":"article-journal","volume":"589"},"uris":["http://www.mendeley.com/documents/?uuid=4aeea987-728c-49c3-b3a3-edf2e81de1c1"]}],"mendeley":{"formattedCitation":"&lt;sup&gt;17&lt;/sup&gt;","plainTextFormattedCitation":"17","previouslyFormattedCitation":"&lt;sup&gt;17&lt;/sup&gt;"},"properties":{"noteIndex":0},"schema":"https://github.com/citation-style-language/schema/raw/master/csl-citation.json"}</w:instrText>
      </w:r>
      <w:r>
        <w:rPr>
          <w:rFonts w:eastAsia="Times"/>
        </w:rPr>
        <w:fldChar w:fldCharType="separate"/>
      </w:r>
      <w:r w:rsidRPr="00DC475E">
        <w:rPr>
          <w:rFonts w:eastAsia="Times"/>
          <w:noProof/>
          <w:vertAlign w:val="superscript"/>
        </w:rPr>
        <w:t>17</w:t>
      </w:r>
      <w:r>
        <w:rPr>
          <w:rFonts w:eastAsia="Times"/>
        </w:rPr>
        <w:fldChar w:fldCharType="end"/>
      </w:r>
      <w:r>
        <w:rPr>
          <w:rFonts w:eastAsia="Times"/>
        </w:rPr>
        <w:t xml:space="preserve">. The first three tape strips were retained separately and the remaining strips were pooled into groups: </w:t>
      </w:r>
      <w:r w:rsidRPr="009E5013">
        <w:rPr>
          <w:rFonts w:eastAsia="Times"/>
        </w:rPr>
        <w:t>4-6, 7-10, 11-16 and 17-21 in order to enable sufficient amount of CHG to be extracted from the latter tape strips for HPLC detection based on our previous work</w:t>
      </w:r>
      <w:r w:rsidRPr="009E5013">
        <w:rPr>
          <w:rFonts w:eastAsia="Times"/>
        </w:rPr>
        <w:fldChar w:fldCharType="begin" w:fldLock="1"/>
      </w:r>
      <w:r w:rsidRPr="009E5013">
        <w:rPr>
          <w:rFonts w:eastAsia="Times"/>
        </w:rPr>
        <w:instrText>ADDIN CSL_CITATION {"citationItems":[{"id":"ITEM-1","itemData":{"DOI":"10.1016/j.ejpb.2020.12.014","ISSN":"18733441","PMID":"33359754","abstract":"Chlorhexidine digluconate (CHG) is a cationic bisbiguanide used in the UK as the first-line skin antiseptic prior to surgery in the UK due to its favourable efficacy and safety profile, high affinity for skin binding and minimal reports of resistance. Despite this, bacteria remain within deeper skin layers, furrows and appendages that are considered inaccessible to CHG, due to its poor dermal penetration. In this study a third generation, polyamidoamine dendrimer (G3 PAMAM-NH2) was utilised to improve dermal penetration of CHG. A topical gel formulation was optimised to maximise CHG delivery (containing 0.5% gelling agent and 4% drug), followed by drug and dendrimer co-formulation into a commercially viable gel. The gel containing 4% CHG and 1 mM PAMAM dendrimer significantly increased the depth permeation of CHG compared to the commercial benchmark (Hibiscrub®, containing 4% w/v CHG) (p &lt; 0.05). The optimised formulation was further characterised using Time-of-Flight Secondary Ion Mass Spectrometry (ToF-SIMS), which indicated that the depth of dermal penetration achieved was sufficient to reach the skin strata that typically harbours pathogenic bacteria, which is currently inaccessible by commercial CHG formulations. This study therefore indicates that a G3 PAMAM-NH2 dendrimer gel may be viable as a permeation enhancer of CHG, for improved skin antisepsis in those at risk of a skin or soft tissue infection as a result of surgical intervention.","author":[{"dropping-particle":"","family":"Kirkby","given":"Melissa","non-dropping-particle":"","parse-names":false,"suffix":""},{"dropping-particle":"","family":"Sabri","given":"Akmal B.","non-dropping-particle":"","parse-names":false,"suffix":""},{"dropping-particle":"","family":"Scurr","given":"David J.","non-dropping-particle":"","parse-names":false,"suffix":""},{"dropping-particle":"","family":"Moss","given":"Gary P.","non-dropping-particle":"","parse-names":false,"suffix":""}],"container-title":"European Journal of Pharmaceutics and Biopharmaceutics","id":"ITEM-1","issue":"January","issued":{"date-parts":[["2021"]]},"page":"77-87","publisher":"Elsevier B.V.","title":"Dendrimer-mediated permeation enhancement of chlorhexidine digluconate: Determination of in vitro skin permeability and visualisation of dermal distribution","type":"article-journal","volume":"159"},"uris":["http://www.mendeley.com/documents/?uuid=1a9556e0-5040-43d8-8e9f-b940cec859fd"]}],"mendeley":{"formattedCitation":"&lt;sup&gt;14&lt;/sup&gt;","plainTextFormattedCitation":"14","previouslyFormattedCitation":"&lt;sup&gt;14&lt;/sup&gt;"},"properties":{"noteIndex":0},"schema":"https://github.com/citation-style-language/schema/raw/master/csl-citation.json"}</w:instrText>
      </w:r>
      <w:r w:rsidRPr="009E5013">
        <w:rPr>
          <w:rFonts w:eastAsia="Times"/>
        </w:rPr>
        <w:fldChar w:fldCharType="separate"/>
      </w:r>
      <w:r w:rsidRPr="009E5013">
        <w:rPr>
          <w:rFonts w:eastAsia="Times"/>
          <w:noProof/>
          <w:vertAlign w:val="superscript"/>
        </w:rPr>
        <w:t>14</w:t>
      </w:r>
      <w:r w:rsidRPr="009E5013">
        <w:rPr>
          <w:rFonts w:eastAsia="Times"/>
        </w:rPr>
        <w:fldChar w:fldCharType="end"/>
      </w:r>
      <w:r w:rsidRPr="009E5013">
        <w:rPr>
          <w:rFonts w:eastAsia="Times"/>
        </w:rPr>
        <w:t>. Tape strips were</w:t>
      </w:r>
      <w:r>
        <w:rPr>
          <w:rFonts w:eastAsia="Times"/>
        </w:rPr>
        <w:t xml:space="preserve"> weighed before and after stripping to allow for gravimetric analysis of tape strip weights and normalisation of CHG content as described previously </w:t>
      </w:r>
      <w:r>
        <w:rPr>
          <w:rFonts w:eastAsia="Times"/>
        </w:rPr>
        <w:fldChar w:fldCharType="begin" w:fldLock="1"/>
      </w:r>
      <w:r>
        <w:rPr>
          <w:rFonts w:eastAsia="Times"/>
        </w:rPr>
        <w:instrText>ADDIN CSL_CITATION {"citationItems":[{"id":"ITEM-1","itemData":{"DOI":"10.1016/j.ejpb.2008.08.008","ISSN":"09396411","PMID":"18775778","abstract":"Tape stripping is a simple and efficient method for the assessment of quality and efficacy of cosmetical and dermatological formulations. After topical application and penetration of formulations, the cell layers of the stratum corneum are successively removed from the same skin area using adhesive films. The tape strips contain the amount of corneocytes and the corresponding amount of the penetrated formulation, which can be determined by classical analytical chemical methods. Different formulations can strongly influence the amount of stratum corneum removed with every tape strip. Therefore, it is essential for the comparison of the penetration of different formulations that the amount of formulation detected on the single tape strip is not related to the tape strip number as a relative measure of the penetration depths, but to their standardized real position in the stratum corneum. Therefore, different methods are reported for the determination of the amount of stratum corneum removed with every tape strip. The tape stripping method in its standardized form is well-suited to determine the dermatopharmacokinetics of topically applied substances. Additionally, the method can be used to obtain information about the homogeneity and the distribution of formulations on the skin and in the stratum corneum. This is used, e.g., for the determination of the homogeneity of the distribution and the ex vivo determination of a universal sun protection factor (USPF) characterizing the efficacy of sunscreens.","author":[{"dropping-particle":"","family":"Lademann","given":"J.","non-dropping-particle":"","parse-names":false,"suffix":""},{"dropping-particle":"","family":"Jacobi","given":"U.","non-dropping-particle":"","parse-names":false,"suffix":""},{"dropping-particle":"","family":"Surber","given":"C.","non-dropping-particle":"","parse-names":false,"suffix":""},{"dropping-particle":"","family":"Weigmann","given":"H.-J.","non-dropping-particle":"","parse-names":false,"suffix":""},{"dropping-particle":"","family":"Fluhr","given":"J.W.","non-dropping-particle":"","parse-names":false,"suffix":""}],"container-title":"European Journal of Pharmaceutics and Biopharmaceutics","id":"ITEM-1","issue":"2","issued":{"date-parts":[["2009","6"]]},"page":"317-323","title":"The tape stripping procedure – evaluation of some critical parameters","type":"article-journal","volume":"72"},"uris":["http://www.mendeley.com/documents/?uuid=03b55d34-4ca4-3324-bb42-3ea433a3d36d"]},{"id":"ITEM-2","itemData":{"author":[{"dropping-particle":"","family":"Reddy","given":"Micaela B","non-dropping-particle":"","parse-names":false,"suffix":""},{"dropping-particle":"","family":"Stinchcomb","given":"Audra L","non-dropping-particle":"","parse-names":false,"suffix":""},{"dropping-particle":"","family":"Guy","given":"Richard H","non-dropping-particle":"","parse-names":false,"suffix":""},{"dropping-particle":"","family":"Bunge","given":"Annette L","non-dropping-particle":"","parse-names":false,"suffix":""}],"container-title":"Pharmaceutical Research","id":"ITEM-2","issue":"3","issued":{"date-parts":[["2002"]]},"page":"292-298","title":"Determining Dermal Absorption Parameters in Vivo from Tape Strip Data","type":"article-journal","volume":"19"},"uris":["http://www.mendeley.com/documents/?uuid=3fe305fd-d4f2-35f3-8d9a-4ccd25c9ec28","http://www.mendeley.com/documents/?uuid=b6664da8-d567-4930-8128-310693b4a3c9"]}],"mendeley":{"formattedCitation":"&lt;sup&gt;36,37&lt;/sup&gt;","plainTextFormattedCitation":"36,37","previouslyFormattedCitation":"&lt;sup&gt;36,37&lt;/sup&gt;"},"properties":{"noteIndex":0},"schema":"https://github.com/citation-style-language/schema/raw/master/csl-citation.json"}</w:instrText>
      </w:r>
      <w:r>
        <w:rPr>
          <w:rFonts w:eastAsia="Times"/>
        </w:rPr>
        <w:fldChar w:fldCharType="separate"/>
      </w:r>
      <w:r w:rsidRPr="00DC475E">
        <w:rPr>
          <w:rFonts w:eastAsia="Times"/>
          <w:noProof/>
          <w:vertAlign w:val="superscript"/>
        </w:rPr>
        <w:t>36,37</w:t>
      </w:r>
      <w:r>
        <w:rPr>
          <w:rFonts w:eastAsia="Times"/>
        </w:rPr>
        <w:fldChar w:fldCharType="end"/>
      </w:r>
      <w:r>
        <w:rPr>
          <w:rFonts w:eastAsia="Times"/>
        </w:rPr>
        <w:t xml:space="preserve">. CHG was extracted from all tape strips in 5 mL of mobile phase for HPLC analysis. Tape stripping studies for ToF-SIMS analysis also used the method described above, however tape strips for ToF-SIMS analysis were placed sticky-side up onto glass microscope slides following application to the skin, and secured in place with double-sided </w:t>
      </w:r>
      <w:proofErr w:type="spellStart"/>
      <w:r>
        <w:rPr>
          <w:rFonts w:eastAsia="Times"/>
        </w:rPr>
        <w:t>Sellotape</w:t>
      </w:r>
      <w:proofErr w:type="spellEnd"/>
      <w:r>
        <w:rPr>
          <w:rFonts w:eastAsia="Times"/>
        </w:rPr>
        <w:t xml:space="preserve">™. </w:t>
      </w:r>
      <w:r>
        <w:t xml:space="preserve">With regards to sample </w:t>
      </w:r>
      <w:proofErr w:type="spellStart"/>
      <w:r>
        <w:t>cryosectioning</w:t>
      </w:r>
      <w:proofErr w:type="spellEnd"/>
      <w:r>
        <w:t xml:space="preserve"> both vertical and lateral sectioning was utilised in order to elucidate the distribution of the drug within the skin</w:t>
      </w:r>
      <w:r>
        <w:fldChar w:fldCharType="begin" w:fldLock="1"/>
      </w:r>
      <w:r>
        <w:instrText>ADDIN CSL_CITATION {"citationItems":[{"id":"ITEM-1","itemData":{"DOI":"10.1016/j.ijpharm.2020.119808","ISSN":"0378-5173","abstract":"Despite being one of the most efficacious drugs used in the treatment of basal cell carcinoma (BCC), imiquimod has limited cutaneous permeation. The current work presents the development of polyvinylpyrrolidone-co-vinyl acetate (PVPVA) microneedles loaded with imiquimod for improving intradermal delivery of imiquimod for the treatment of nodular BCC. In vitro permeation studies, using full thickness ex vivo porcine skin were used to evaluate the effec- tiveness of these imiquimod loaded polymeric microneedles in comparison to the topical application of commercial Aldara™ cream. HPLC analysis demonstrated similar intradermal permeation of imiquimod from Aldara™ cream and imiquimod-loaded microneedles despite the microneedle having a six-fold lower drug loading than the clinical dose of Aldara™ used for BCC management. In addition, ToF-SIMS analysis of skin cross sections demonstrated intradermal localisation of imiquimod following microneedle-based delivery while the Aldara™ treated skin showed the drug localised predominantly within the stratum corneum. ToF-SIMS analysis also demonstrated intradermal co-localisation of the PVPVA polymer, used in fabricating the microneedle, with imiquimod within the microneedle channels in a label-free manner. This study demonstrates that a polymeric microneedle system may be a viable approach to im- proving the intradermal delivery of imiquimod for the treatment of nodular BCC with lower drug loading. 1.","author":[{"dropping-particle":"","family":"Sabri","given":"Akmal H","non-dropping-particle":"","parse-names":false,"suffix":""},{"dropping-particle":"","family":"Cater","given":"Zachary","non-dropping-particle":"","parse-names":false,"suffix":""},{"dropping-particle":"","family":"Gurnani","given":"Pratik","non-dropping-particle":"","parse-names":false,"suffix":""},{"dropping-particle":"","family":"Ogilvie","given":"Jane","non-dropping-particle":"","parse-names":false,"suffix":""},{"dropping-particle":"","family":"Segal","given":"Joel","non-dropping-particle":"","parse-names":false,"suffix":""},{"dropping-particle":"","family":"Scurr","given":"David J","non-dropping-particle":"","parse-names":false,"suffix":""},{"dropping-particle":"","family":"Marlow","given":"Maria","non-dropping-particle":"","parse-names":false,"suffix":""}],"container-title":"International Journal of Pharmaceutics","id":"ITEM-1","issue":"May","issued":{"date-parts":[["2020"]]},"page":"119808","publisher":"Elsevier","title":"Intradermal delivery of imiquimod using polymeric microneedles for basal cell carcinoma","type":"article-journal","volume":"589"},"uris":["http://www.mendeley.com/documents/?uuid=4aeea987-728c-49c3-b3a3-edf2e81de1c1"]}],"mendeley":{"formattedCitation":"&lt;sup&gt;17&lt;/sup&gt;","plainTextFormattedCitation":"17","previouslyFormattedCitation":"&lt;sup&gt;17&lt;/sup&gt;"},"properties":{"noteIndex":0},"schema":"https://github.com/citation-style-language/schema/raw/master/csl-citation.json"}</w:instrText>
      </w:r>
      <w:r>
        <w:fldChar w:fldCharType="separate"/>
      </w:r>
      <w:r w:rsidRPr="00DC475E">
        <w:rPr>
          <w:noProof/>
          <w:vertAlign w:val="superscript"/>
        </w:rPr>
        <w:t>17</w:t>
      </w:r>
      <w:r>
        <w:fldChar w:fldCharType="end"/>
      </w:r>
      <w:r>
        <w:t xml:space="preserve">. </w:t>
      </w:r>
    </w:p>
    <w:p w14:paraId="072F8D69" w14:textId="77777777" w:rsidR="00BF143F" w:rsidRDefault="00BF143F" w:rsidP="00BF143F">
      <w:pPr>
        <w:spacing w:line="480" w:lineRule="auto"/>
      </w:pPr>
      <w:r>
        <w:lastRenderedPageBreak/>
        <w:t xml:space="preserve">The British Pharmacopoeia method was used initially for the detection of CHG using HPLC, conducted on a Shimadzu Prominence HPLC system with an SPD M20 diode array detector, and the final HPLC method was based upon the method used </w:t>
      </w:r>
      <w:r w:rsidRPr="00736178">
        <w:t xml:space="preserve">by </w:t>
      </w:r>
      <w:r w:rsidRPr="00736178">
        <w:fldChar w:fldCharType="begin" w:fldLock="1"/>
      </w:r>
      <w:r>
        <w:instrText>ADDIN CSL_CITATION {"citationItems":[{"id":"ITEM-1","itemData":{"author":[{"dropping-particle":"","family":"Holmes","given":"Amy M.","non-dropping-particle":"","parse-names":false,"suffix":""},{"dropping-particle":"","family":"Scurr","given":"David J.","non-dropping-particle":"","parse-names":false,"suffix":""},{"dropping-particle":"","family":"Heylings","given":"Jon R.","non-dropping-particle":"","parse-names":false,"suffix":""},{"dropping-particle":"","family":"Wan","given":"Ka-Wai","non-dropping-particle":"","parse-names":false,"suffix":""},{"dropping-particle":"","family":"Moss","given":"Gary P.","non-dropping-particle":"","parse-names":false,"suffix":""}],"container-title":"European Journal of Pharmaceutical Sciences","id":"ITEM-1","issued":{"date-parts":[["2017","6","15"]]},"page":"90-101","title":"Dendrimer pre-treatment enhances the skin permeation of chlorhexidine digluconate: Characterisation by in vitro percutaneous absorption studies and Time-of-Flight Secondary Ion Mass Spectrometry","type":"article-journal","volume":"104"},"uris":["http://www.mendeley.com/documents/?uuid=8ea86cf5-7cab-36d0-bcc9-8af73ceae31e"]}],"mendeley":{"formattedCitation":"(Holmes &lt;i&gt;et al.&lt;/i&gt; 2017)","manualFormatting":"Holmes et al. (2017)","plainTextFormattedCitation":"(Holmes et al. 2017)","previouslyFormattedCitation":"(Holmes &lt;i&gt;et al.&lt;/i&gt;, 2017)"},"properties":{"noteIndex":0},"schema":"https://github.com/citation-style-language/schema/raw/master/csl-citation.json"}</w:instrText>
      </w:r>
      <w:r w:rsidRPr="00736178">
        <w:fldChar w:fldCharType="separate"/>
      </w:r>
      <w:r w:rsidRPr="00736178">
        <w:rPr>
          <w:noProof/>
        </w:rPr>
        <w:t xml:space="preserve">Holmes </w:t>
      </w:r>
      <w:r w:rsidRPr="00736178">
        <w:rPr>
          <w:i/>
          <w:noProof/>
        </w:rPr>
        <w:t>et al.</w:t>
      </w:r>
      <w:r w:rsidRPr="00736178">
        <w:rPr>
          <w:noProof/>
        </w:rPr>
        <w:t xml:space="preserve"> (2017)</w:t>
      </w:r>
      <w:r w:rsidRPr="00736178">
        <w:fldChar w:fldCharType="end"/>
      </w:r>
      <w:r w:rsidRPr="00D94FB8">
        <w:rPr>
          <w:vertAlign w:val="superscript"/>
        </w:rPr>
        <w:t>38</w:t>
      </w:r>
      <w:r w:rsidRPr="00736178">
        <w:t xml:space="preserve">, initially adjusted from </w:t>
      </w:r>
      <w:r w:rsidRPr="00736178">
        <w:fldChar w:fldCharType="begin" w:fldLock="1"/>
      </w:r>
      <w:r>
        <w:instrText>ADDIN CSL_CITATION {"citationItems":[{"id":"ITEM-1","itemData":{"author":[{"dropping-particle":"","family":"Karpanen","given":"T J","non-dropping-particle":"","parse-names":false,"suffix":""},{"dropping-particle":"","family":"Worthington","given":"T","non-dropping-particle":"","parse-names":false,"suffix":""},{"dropping-particle":"","family":"Conway","given":"B R","non-dropping-particle":"","parse-names":false,"suffix":""},{"dropping-particle":"","family":"Hilton","given":"A C","non-dropping-particle":"","parse-names":false,"suffix":""},{"dropping-particle":"","family":"Elliott","given":"T S J","non-dropping-particle":"","parse-names":false,"suffix":""},{"dropping-particle":"","family":"Lambert","given":"P A","non-dropping-particle":"","parse-names":false,"suffix":""}],"container-title":"Antimicrobial agents and chemotherapy","id":"ITEM-1","issue":"10","issued":{"date-parts":[["2008","10","1"]]},"page":"3633-3636","publisher":"American Society for Microbiology Journals","title":"Penetration of chlorhexidine into human skin","type":"article-journal","volume":"52"},"uris":["http://www.mendeley.com/documents/?uuid=bc605c7a-8747-32a2-87e1-7278a59f530a"]}],"mendeley":{"formattedCitation":"(Karpanen, Worthington, Conway, &lt;i&gt;et al.&lt;/i&gt; 2008)","manualFormatting":"Karpanen et al. (2008)","plainTextFormattedCitation":"(Karpanen, Worthington, Conway, et al. 2008)","previouslyFormattedCitation":"(T J Karpanen &lt;i&gt;et al.&lt;/i&gt;, 2008)"},"properties":{"noteIndex":0},"schema":"https://github.com/citation-style-language/schema/raw/master/csl-citation.json"}</w:instrText>
      </w:r>
      <w:r w:rsidRPr="00736178">
        <w:fldChar w:fldCharType="separate"/>
      </w:r>
      <w:r w:rsidRPr="00736178">
        <w:rPr>
          <w:noProof/>
        </w:rPr>
        <w:t xml:space="preserve">Karpanen </w:t>
      </w:r>
      <w:r w:rsidRPr="00736178">
        <w:rPr>
          <w:i/>
          <w:noProof/>
        </w:rPr>
        <w:t>et al.</w:t>
      </w:r>
      <w:r w:rsidRPr="00736178">
        <w:rPr>
          <w:noProof/>
        </w:rPr>
        <w:t xml:space="preserve"> (2008)</w:t>
      </w:r>
      <w:r w:rsidRPr="00736178">
        <w:fldChar w:fldCharType="end"/>
      </w:r>
      <w:r w:rsidRPr="00D94FB8">
        <w:rPr>
          <w:vertAlign w:val="superscript"/>
        </w:rPr>
        <w:t>5</w:t>
      </w:r>
      <w:r w:rsidRPr="00736178">
        <w:t>.</w:t>
      </w:r>
      <w:r>
        <w:t xml:space="preserve"> The samples were run at a flow rate of 1.5 mL/min at 40 </w:t>
      </w:r>
      <w:proofErr w:type="spellStart"/>
      <w:r>
        <w:rPr>
          <w:vertAlign w:val="superscript"/>
        </w:rPr>
        <w:t>o</w:t>
      </w:r>
      <w:r>
        <w:t>C</w:t>
      </w:r>
      <w:proofErr w:type="spellEnd"/>
      <w:r>
        <w:t xml:space="preserve"> through a reverse-phase chromatography column (C18; dimension, 150 × 4.6 mm, 5 µM [Thermo Scientific, United Kingdom]), with UV detection at 254 nm. The isocratic mobile phase consisted of a </w:t>
      </w:r>
      <w:proofErr w:type="spellStart"/>
      <w:r>
        <w:t>methanol:water</w:t>
      </w:r>
      <w:proofErr w:type="spellEnd"/>
      <w:r>
        <w:t xml:space="preserve"> mixture (75:25) with 0.005 M sodium octane-1-sulfonate as an ion pairing reagent </w:t>
      </w:r>
      <w:r w:rsidRPr="00736178">
        <w:fldChar w:fldCharType="begin" w:fldLock="1"/>
      </w:r>
      <w:r>
        <w:instrText>ADDIN CSL_CITATION {"citationItems":[{"id":"ITEM-1","itemData":{"abstract":"I Abstract [ A simple and reliable high-performance liquid chromatographic (HPLC) method for analyzing chlorhexidine in human serum was developed. After the addition of an internal standard, levomepromazine, 0.2 mL serum was deproteinized with 10% perchloric acid. The acidic supernatant was neutralized with 1M potassium carbonate solution, and the insoluble salt was removed by centrifugation. An aliquot of the supernatant was applied to HPLC with UV detection (260 nm). HPLC separation was achieved on a polymer-coated ODS column equilibrated with acetonitrile/water containing 0.05% trifluoroacetic acid, 0.05% heptafluorobutyric acid, and 0.1% triethylamine (40:60, v/v). The calibration curve was linear in the concentration range from 0.05 to 50.0 pg/mL, and the lower limit of detection was 0.05 pg/mL. The accuracy and precision of the method were evaluated at concentrations of 0.5 pg/mL and 5.0 pg/mL. The coefficients of variation ranged from 4.0 to 4.5%. The concentration of chlorhexidine in the serum of a patient who died after a suspected intravenous injection of chlorhexidine gluconate was determined.","author":[{"dropping-particle":"","family":"Kudo","given":"Keiko","non-dropping-particle":"","parse-names":false,"suffix":""},{"dropping-particle":"","family":"Ikeda","given":"Noriaki","non-dropping-particle":"","parse-names":false,"suffix":""},{"dropping-particle":"","family":"Kiyoshima","given":"Akiko","non-dropping-particle":"","parse-names":false,"suffix":""},{"dropping-particle":"","family":"Hino","given":"Yukiko","non-dropping-particle":"","parse-names":false,"suffix":""},{"dropping-particle":"","family":"Nishida","given":"Naoki","non-dropping-particle":"","parse-names":false,"suffix":""},{"dropping-particle":"","family":"Inoue","given":"Naohide","non-dropping-particle":"","parse-names":false,"suffix":""}],"container-title":"Journal of Analytical Toxicology","id":"ITEM-1","issued":{"date-parts":[["2002"]]},"title":"Toxicological Analysis of Chlorhexidine in Human Serum using HPLC on a Polymer-Coated ODS Column","type":"report","volume":"26"},"uris":["http://www.mendeley.com/documents/?uuid=8ac0c018-bb72-3c48-8b7d-d6dbeae71b5f"]}],"mendeley":{"formattedCitation":"(Kudo &lt;i&gt;et al.&lt;/i&gt; 2002)","plainTextFormattedCitation":"(Kudo et al. 2002)","previouslyFormattedCitation":"(Kudo &lt;i&gt;et al.&lt;/i&gt;, 2002)"},"properties":{"noteIndex":0},"schema":"https://github.com/citation-style-language/schema/raw/master/csl-citation.json"}</w:instrText>
      </w:r>
      <w:r w:rsidRPr="00736178">
        <w:fldChar w:fldCharType="separate"/>
      </w:r>
      <w:r w:rsidRPr="00780D75">
        <w:rPr>
          <w:noProof/>
        </w:rPr>
        <w:t xml:space="preserve">(Kudo </w:t>
      </w:r>
      <w:r w:rsidRPr="00780D75">
        <w:rPr>
          <w:i/>
          <w:noProof/>
        </w:rPr>
        <w:t>et al.</w:t>
      </w:r>
      <w:r w:rsidRPr="00780D75">
        <w:rPr>
          <w:noProof/>
        </w:rPr>
        <w:t xml:space="preserve"> 2002)</w:t>
      </w:r>
      <w:r w:rsidRPr="00736178">
        <w:fldChar w:fldCharType="end"/>
      </w:r>
      <w:r w:rsidRPr="00736178">
        <w:t>, 0.1% w/v t</w:t>
      </w:r>
      <w:r>
        <w:t xml:space="preserve">rimethylamine and adjusted to pH 4 with glacial acetic acid. A Thermo Scientific guard column (product code 850-00) with replaceable guard cartridges (Thermo Scientific, C18 10 mm, 5 µm, </w:t>
      </w:r>
      <w:proofErr w:type="gramStart"/>
      <w:r>
        <w:t>product</w:t>
      </w:r>
      <w:proofErr w:type="gramEnd"/>
      <w:r>
        <w:t xml:space="preserve"> code 28105-014001) were used to ensure HPLC pressure remained stable. Cartridges were replaced when the pressure exceeded 20% of the normal pressure limits as recommended by the manufacturer. The HPLC method was validated by analysing a series of standardised CHG concentrations and plotting a graph of peak area versus CHG concentration. The limit of detection (</w:t>
      </w:r>
      <w:proofErr w:type="spellStart"/>
      <w:r>
        <w:t>LoD</w:t>
      </w:r>
      <w:proofErr w:type="spellEnd"/>
      <w:r>
        <w:t>) and limit of quantification (</w:t>
      </w:r>
      <w:proofErr w:type="spellStart"/>
      <w:r>
        <w:t>LoQ</w:t>
      </w:r>
      <w:proofErr w:type="spellEnd"/>
      <w:r>
        <w:t xml:space="preserve">) were calculated from this calibration graph according to the following equations:  </w:t>
      </w:r>
      <w:proofErr w:type="spellStart"/>
      <w:r>
        <w:t>LoD</w:t>
      </w:r>
      <w:proofErr w:type="spellEnd"/>
      <w:r>
        <w:t xml:space="preserve"> (3 × standard deviation)/slope; </w:t>
      </w:r>
      <w:proofErr w:type="spellStart"/>
      <w:r>
        <w:t>Lo</w:t>
      </w:r>
      <w:r w:rsidRPr="00736178">
        <w:t>Q</w:t>
      </w:r>
      <w:proofErr w:type="spellEnd"/>
      <w:r w:rsidRPr="00736178">
        <w:t xml:space="preserve">  (10 × standard deviation)/slope according to the </w:t>
      </w:r>
      <w:r w:rsidRPr="00736178">
        <w:fldChar w:fldCharType="begin" w:fldLock="1"/>
      </w:r>
      <w:r>
        <w:instrText>ADDIN CSL_CITATION {"citationItems":[{"id":"ITEM-1","itemData":{"author":[{"dropping-particle":"","family":"Karpanen","given":"T J","non-dropping-particle":"","parse-names":false,"suffix":""},{"dropping-particle":"","family":"Worthington","given":"T","non-dropping-particle":"","parse-names":false,"suffix":""},{"dropping-particle":"","family":"Conway","given":"B R","non-dropping-particle":"","parse-names":false,"suffix":""},{"dropping-particle":"","family":"Hilton","given":"A C","non-dropping-particle":"","parse-names":false,"suffix":""},{"dropping-particle":"","family":"Elliott","given":"T S J","non-dropping-particle":"","parse-names":false,"suffix":""},{"dropping-particle":"","family":"Lambert","given":"P A","non-dropping-particle":"","parse-names":false,"suffix":""}],"container-title":"Antimicrobial agents and chemotherapy","id":"ITEM-1","issue":"10","issued":{"date-parts":[["2008","10","1"]]},"page":"3633-3636","publisher":"American Society for Microbiology Journals","title":"Penetration of chlorhexidine into human skin","type":"article-journal","volume":"52"},"uris":["http://www.mendeley.com/documents/?uuid=bc605c7a-8747-32a2-87e1-7278a59f530a"]}],"mendeley":{"formattedCitation":"(Karpanen, Worthington, Conway, &lt;i&gt;et al.&lt;/i&gt; 2008)","manualFormatting":"Karpanen et al., (2008)","plainTextFormattedCitation":"(Karpanen, Worthington, Conway, et al. 2008)","previouslyFormattedCitation":"(T J Karpanen &lt;i&gt;et al.&lt;/i&gt;, 2008)"},"properties":{"noteIndex":0},"schema":"https://github.com/citation-style-language/schema/raw/master/csl-citation.json"}</w:instrText>
      </w:r>
      <w:r w:rsidRPr="00736178">
        <w:fldChar w:fldCharType="separate"/>
      </w:r>
      <w:r w:rsidRPr="00736178">
        <w:rPr>
          <w:noProof/>
        </w:rPr>
        <w:t xml:space="preserve">Karpanen </w:t>
      </w:r>
      <w:r>
        <w:rPr>
          <w:i/>
          <w:noProof/>
        </w:rPr>
        <w:t>et al.</w:t>
      </w:r>
      <w:r w:rsidRPr="00736178">
        <w:rPr>
          <w:noProof/>
        </w:rPr>
        <w:t xml:space="preserve"> (2008</w:t>
      </w:r>
      <w:r>
        <w:rPr>
          <w:noProof/>
        </w:rPr>
        <w:t>a</w:t>
      </w:r>
      <w:r w:rsidRPr="00736178">
        <w:rPr>
          <w:noProof/>
        </w:rPr>
        <w:t>)</w:t>
      </w:r>
      <w:r w:rsidRPr="00736178">
        <w:fldChar w:fldCharType="end"/>
      </w:r>
      <w:r>
        <w:t xml:space="preserve"> method. The experimental mobile phase was used as the solvent for all CHG extractions and was validated on the Shimadzu system (R</w:t>
      </w:r>
      <w:r>
        <w:rPr>
          <w:vertAlign w:val="superscript"/>
        </w:rPr>
        <w:t>2</w:t>
      </w:r>
      <w:r>
        <w:t xml:space="preserve"> value 0.9992). The </w:t>
      </w:r>
      <w:proofErr w:type="spellStart"/>
      <w:r>
        <w:t>LoD</w:t>
      </w:r>
      <w:proofErr w:type="spellEnd"/>
      <w:r>
        <w:t xml:space="preserve"> was calculated to be 0.362 µg/mL and the </w:t>
      </w:r>
      <w:proofErr w:type="spellStart"/>
      <w:r>
        <w:t>LoQ</w:t>
      </w:r>
      <w:proofErr w:type="spellEnd"/>
      <w:r>
        <w:t xml:space="preserve"> was calculated to be 1.098 µg/</w:t>
      </w:r>
      <w:proofErr w:type="spellStart"/>
      <w:r>
        <w:t>mL.</w:t>
      </w:r>
      <w:proofErr w:type="spellEnd"/>
    </w:p>
    <w:p w14:paraId="5FDED620" w14:textId="77777777" w:rsidR="00BF143F" w:rsidRDefault="00BF143F" w:rsidP="0083202E">
      <w:pPr>
        <w:spacing w:line="360" w:lineRule="auto"/>
      </w:pPr>
    </w:p>
    <w:p w14:paraId="02C97F91" w14:textId="77777777" w:rsidR="00BF143F" w:rsidRDefault="00BF143F" w:rsidP="0083202E">
      <w:pPr>
        <w:spacing w:line="360" w:lineRule="auto"/>
      </w:pPr>
    </w:p>
    <w:p w14:paraId="74061316" w14:textId="77777777" w:rsidR="00CA5955" w:rsidRDefault="00CA5955" w:rsidP="00CA5955">
      <w:pPr>
        <w:pStyle w:val="Heading2"/>
      </w:pPr>
      <w:r>
        <w:t>2.7 Statistical analysis of data</w:t>
      </w:r>
    </w:p>
    <w:p w14:paraId="28173B10" w14:textId="77777777" w:rsidR="00CA5955" w:rsidRDefault="00CA5955" w:rsidP="00CA5955">
      <w:pPr>
        <w:spacing w:line="360" w:lineRule="auto"/>
      </w:pPr>
    </w:p>
    <w:p w14:paraId="1E41A942" w14:textId="54ABDF41" w:rsidR="00CA5955" w:rsidRDefault="00CA5955" w:rsidP="00CA5955">
      <w:pPr>
        <w:spacing w:line="360" w:lineRule="auto"/>
      </w:pPr>
      <w:r w:rsidRPr="008061E7">
        <w:lastRenderedPageBreak/>
        <w:t xml:space="preserve">Statistical analysis was conducted using </w:t>
      </w:r>
      <w:proofErr w:type="spellStart"/>
      <w:r w:rsidRPr="008061E7">
        <w:t>GraphPad</w:t>
      </w:r>
      <w:proofErr w:type="spellEnd"/>
      <w:r w:rsidRPr="008061E7">
        <w:t xml:space="preserve"> Prism 7.02 </w:t>
      </w:r>
      <w:r>
        <w:t xml:space="preserve">or IBM SPSS </w:t>
      </w:r>
      <w:r w:rsidRPr="008061E7">
        <w:t xml:space="preserve">software. Data are </w:t>
      </w:r>
      <w:r>
        <w:t xml:space="preserve">described statistically and shown as previously reported </w:t>
      </w:r>
      <w:r w:rsidR="0030170A" w:rsidRPr="00467FD1">
        <w:rPr>
          <w:vertAlign w:val="superscript"/>
        </w:rPr>
        <w:t xml:space="preserve">5, </w:t>
      </w:r>
      <w:r w:rsidRPr="00082512">
        <w:rPr>
          <w:vertAlign w:val="superscript"/>
        </w:rPr>
        <w:t>14</w:t>
      </w:r>
      <w:r>
        <w:t xml:space="preserve">. </w:t>
      </w:r>
      <w:r w:rsidRPr="00CA5955">
        <w:rPr>
          <w:shd w:val="clear" w:color="auto" w:fill="FFFFFF"/>
        </w:rPr>
        <w:t xml:space="preserve">Briefly, all data is displayed as the mean </w:t>
      </w:r>
      <w:r w:rsidRPr="00CA5955">
        <w:rPr>
          <w:u w:val="single"/>
          <w:shd w:val="clear" w:color="auto" w:fill="FFFFFF"/>
        </w:rPr>
        <w:t>+</w:t>
      </w:r>
      <w:r w:rsidRPr="00CA5955">
        <w:rPr>
          <w:shd w:val="clear" w:color="auto" w:fill="FFFFFF"/>
        </w:rPr>
        <w:t xml:space="preserve"> the standard error of the mean (SEM), followed by the sample number, </w:t>
      </w:r>
      <w:r w:rsidRPr="00CA5955">
        <w:rPr>
          <w:i/>
          <w:shd w:val="clear" w:color="auto" w:fill="FFFFFF"/>
        </w:rPr>
        <w:t>n</w:t>
      </w:r>
      <w:r w:rsidRPr="00CA5955">
        <w:rPr>
          <w:shd w:val="clear" w:color="auto" w:fill="FFFFFF"/>
        </w:rPr>
        <w:t xml:space="preserve">. </w:t>
      </w:r>
      <w:r>
        <w:rPr>
          <w:shd w:val="clear" w:color="auto" w:fill="FFFFFF"/>
        </w:rPr>
        <w:t xml:space="preserve"> </w:t>
      </w:r>
      <w:r w:rsidRPr="00CA5955">
        <w:rPr>
          <w:shd w:val="clear" w:color="auto" w:fill="FFFFFF"/>
        </w:rPr>
        <w:t xml:space="preserve">Data was first assessed for normality and homogeneity of variance using the Shapiro-Wilk and </w:t>
      </w:r>
      <w:proofErr w:type="spellStart"/>
      <w:r w:rsidRPr="00CA5955">
        <w:rPr>
          <w:shd w:val="clear" w:color="auto" w:fill="FFFFFF"/>
        </w:rPr>
        <w:t>Levenes</w:t>
      </w:r>
      <w:proofErr w:type="spellEnd"/>
      <w:r w:rsidRPr="00CA5955">
        <w:rPr>
          <w:shd w:val="clear" w:color="auto" w:fill="FFFFFF"/>
        </w:rPr>
        <w:t xml:space="preserve"> tests, respectively. If results indicated that the data was parametric then a One-Way ANOVA with Tukey’s post-hoc test was conducted; if results indicated that the data was non-parametric then a </w:t>
      </w:r>
      <w:proofErr w:type="spellStart"/>
      <w:r w:rsidRPr="00CA5955">
        <w:rPr>
          <w:shd w:val="clear" w:color="auto" w:fill="FFFFFF"/>
        </w:rPr>
        <w:t>Kruskal</w:t>
      </w:r>
      <w:proofErr w:type="spellEnd"/>
      <w:r w:rsidRPr="00CA5955">
        <w:rPr>
          <w:shd w:val="clear" w:color="auto" w:fill="FFFFFF"/>
        </w:rPr>
        <w:t xml:space="preserve"> Wallis ANOVA with Dunn’s post-hoc test was conducted </w:t>
      </w:r>
      <w:r w:rsidRPr="00CA5955">
        <w:rPr>
          <w:shd w:val="clear" w:color="auto" w:fill="FFFFFF"/>
          <w:vertAlign w:val="superscript"/>
        </w:rPr>
        <w:t>14</w:t>
      </w:r>
      <w:r w:rsidRPr="00CA5955">
        <w:rPr>
          <w:shd w:val="clear" w:color="auto" w:fill="FFFFFF"/>
        </w:rPr>
        <w:t xml:space="preserve">. </w:t>
      </w:r>
      <w:r w:rsidRPr="008061E7">
        <w:t>When comparing two groups an unpaired t-test analysis was used, while one-way analysis of variance (ANOVA) with Tukey's multiple comparisons tests was used to compare multiple groups. P values &lt; 0.05 were considered statistically significant.</w:t>
      </w:r>
    </w:p>
    <w:p w14:paraId="54A826B0" w14:textId="77777777" w:rsidR="00641F1B" w:rsidRDefault="00641F1B" w:rsidP="00CA5955">
      <w:pPr>
        <w:spacing w:line="360" w:lineRule="auto"/>
      </w:pPr>
    </w:p>
    <w:p w14:paraId="4BC6B94A" w14:textId="1D097B09" w:rsidR="00641F1B" w:rsidRDefault="00641F1B" w:rsidP="00467FD1">
      <w:pPr>
        <w:spacing w:line="360" w:lineRule="auto"/>
        <w:rPr>
          <w:szCs w:val="22"/>
          <w:shd w:val="clear" w:color="auto" w:fill="FFFFFF"/>
        </w:rPr>
      </w:pPr>
      <w:r>
        <w:rPr>
          <w:rFonts w:cs="Segoe UI"/>
          <w:shd w:val="clear" w:color="auto" w:fill="FFFFFF"/>
        </w:rPr>
        <w:t xml:space="preserve">Further, in terms of the ToF-SIMS analysis, it is perhaps important to emphasise that the SIMS area of analysis is substantial and, as such, there are no needs for repeated samples. For example, the method in the manuscript states that </w:t>
      </w:r>
      <w:r>
        <w:rPr>
          <w:rFonts w:ascii="Calibri" w:hAnsi="Calibri"/>
          <w:szCs w:val="22"/>
          <w:shd w:val="clear" w:color="auto" w:fill="FFFFFF"/>
        </w:rPr>
        <w:t>a</w:t>
      </w:r>
      <w:r w:rsidRPr="00876075">
        <w:rPr>
          <w:rFonts w:ascii="Calibri" w:hAnsi="Calibri"/>
          <w:szCs w:val="22"/>
          <w:shd w:val="clear" w:color="auto" w:fill="FFFFFF"/>
        </w:rPr>
        <w:t>n analysis area of 1.5 mm × 3 mm was employed for the skin cross-sections. The raster size for individual tiles for the 1.5 mm x 3 mm skin cross-sec</w:t>
      </w:r>
      <w:r>
        <w:rPr>
          <w:szCs w:val="22"/>
          <w:shd w:val="clear" w:color="auto" w:fill="FFFFFF"/>
        </w:rPr>
        <w:t>tion analysis was 400 x 400 µm. Thus, a</w:t>
      </w:r>
      <w:r w:rsidRPr="00876075">
        <w:rPr>
          <w:rFonts w:ascii="Calibri" w:hAnsi="Calibri"/>
          <w:szCs w:val="22"/>
          <w:shd w:val="clear" w:color="auto" w:fill="FFFFFF"/>
        </w:rPr>
        <w:t xml:space="preserve">lthough only one tape strip area or cross-sectioned sample area was analysed these macroscopic regions are thought to be more than adequately representative of the overall distribution of CHG in both the X-Y and Z sample coordinates. </w:t>
      </w:r>
      <w:r>
        <w:rPr>
          <w:szCs w:val="22"/>
          <w:shd w:val="clear" w:color="auto" w:fill="FFFFFF"/>
        </w:rPr>
        <w:t xml:space="preserve">This is a methodology and an outcome that we have used and published before in other studies, listed below, and these analytical conditions have therefore been applied to our ToF-SIMS methods more broadly. </w:t>
      </w:r>
    </w:p>
    <w:p w14:paraId="0FC1BE4C" w14:textId="77777777" w:rsidR="00641F1B" w:rsidRDefault="00641F1B" w:rsidP="00467FD1">
      <w:pPr>
        <w:spacing w:line="360" w:lineRule="auto"/>
        <w:rPr>
          <w:szCs w:val="22"/>
          <w:shd w:val="clear" w:color="auto" w:fill="FFFFFF"/>
        </w:rPr>
      </w:pPr>
    </w:p>
    <w:p w14:paraId="21BF256D" w14:textId="77777777" w:rsidR="00641F1B" w:rsidRPr="00467FD1" w:rsidRDefault="00641F1B" w:rsidP="00467FD1">
      <w:pPr>
        <w:ind w:right="95"/>
        <w:rPr>
          <w:rFonts w:cs="Arial"/>
          <w:color w:val="222222"/>
          <w:shd w:val="clear" w:color="auto" w:fill="FFFFFF"/>
        </w:rPr>
      </w:pPr>
      <w:proofErr w:type="spellStart"/>
      <w:r w:rsidRPr="00467FD1">
        <w:rPr>
          <w:rFonts w:cs="Arial"/>
          <w:color w:val="222222"/>
          <w:shd w:val="clear" w:color="auto" w:fill="FFFFFF"/>
        </w:rPr>
        <w:t>Meurs</w:t>
      </w:r>
      <w:proofErr w:type="spellEnd"/>
      <w:r w:rsidRPr="00467FD1">
        <w:rPr>
          <w:rFonts w:cs="Arial"/>
          <w:color w:val="222222"/>
          <w:shd w:val="clear" w:color="auto" w:fill="FFFFFF"/>
        </w:rPr>
        <w:t xml:space="preserve"> J, </w:t>
      </w:r>
      <w:proofErr w:type="spellStart"/>
      <w:r w:rsidRPr="00467FD1">
        <w:rPr>
          <w:rFonts w:cs="Arial"/>
          <w:color w:val="222222"/>
          <w:shd w:val="clear" w:color="auto" w:fill="FFFFFF"/>
        </w:rPr>
        <w:t>Scurr</w:t>
      </w:r>
      <w:proofErr w:type="spellEnd"/>
      <w:r w:rsidRPr="00467FD1">
        <w:rPr>
          <w:rFonts w:cs="Arial"/>
          <w:color w:val="222222"/>
          <w:shd w:val="clear" w:color="auto" w:fill="FFFFFF"/>
        </w:rPr>
        <w:t xml:space="preserve"> DJ, </w:t>
      </w:r>
      <w:proofErr w:type="spellStart"/>
      <w:r w:rsidRPr="00467FD1">
        <w:rPr>
          <w:rFonts w:cs="Arial"/>
          <w:color w:val="222222"/>
          <w:shd w:val="clear" w:color="auto" w:fill="FFFFFF"/>
        </w:rPr>
        <w:t>Lourdusamy</w:t>
      </w:r>
      <w:proofErr w:type="spellEnd"/>
      <w:r w:rsidRPr="00467FD1">
        <w:rPr>
          <w:rFonts w:cs="Arial"/>
          <w:color w:val="222222"/>
          <w:shd w:val="clear" w:color="auto" w:fill="FFFFFF"/>
        </w:rPr>
        <w:t xml:space="preserve"> A, </w:t>
      </w:r>
      <w:proofErr w:type="spellStart"/>
      <w:r w:rsidRPr="00467FD1">
        <w:rPr>
          <w:rFonts w:cs="Arial"/>
          <w:color w:val="222222"/>
          <w:shd w:val="clear" w:color="auto" w:fill="FFFFFF"/>
        </w:rPr>
        <w:t>Storer</w:t>
      </w:r>
      <w:proofErr w:type="spellEnd"/>
      <w:r w:rsidRPr="00467FD1">
        <w:rPr>
          <w:rFonts w:cs="Arial"/>
          <w:color w:val="222222"/>
          <w:shd w:val="clear" w:color="auto" w:fill="FFFFFF"/>
        </w:rPr>
        <w:t xml:space="preserve"> LC, Grundy RG, Alexander MR, Rahman R, Kim DH. Sequential </w:t>
      </w:r>
      <w:proofErr w:type="spellStart"/>
      <w:r w:rsidRPr="00467FD1">
        <w:rPr>
          <w:rFonts w:cs="Arial"/>
          <w:color w:val="222222"/>
          <w:shd w:val="clear" w:color="auto" w:fill="FFFFFF"/>
        </w:rPr>
        <w:t>Orbitrap</w:t>
      </w:r>
      <w:proofErr w:type="spellEnd"/>
      <w:r w:rsidRPr="00467FD1">
        <w:rPr>
          <w:rFonts w:cs="Arial"/>
          <w:color w:val="222222"/>
          <w:shd w:val="clear" w:color="auto" w:fill="FFFFFF"/>
        </w:rPr>
        <w:t xml:space="preserve"> secondary ion mass spectrometry and liquid extraction surface analysis-tandem mass spectrometry-based metabolomics for prediction of brain </w:t>
      </w:r>
      <w:proofErr w:type="spellStart"/>
      <w:r w:rsidRPr="00467FD1">
        <w:rPr>
          <w:rFonts w:cs="Arial"/>
          <w:color w:val="222222"/>
          <w:shd w:val="clear" w:color="auto" w:fill="FFFFFF"/>
        </w:rPr>
        <w:t>tumor</w:t>
      </w:r>
      <w:proofErr w:type="spellEnd"/>
      <w:r w:rsidRPr="00467FD1">
        <w:rPr>
          <w:rFonts w:cs="Arial"/>
          <w:color w:val="222222"/>
          <w:shd w:val="clear" w:color="auto" w:fill="FFFFFF"/>
        </w:rPr>
        <w:t xml:space="preserve"> relapse from sample-limited primary tissue archives. Analytical Chemistry. 2021 Apr 26</w:t>
      </w:r>
      <w:proofErr w:type="gramStart"/>
      <w:r w:rsidRPr="00467FD1">
        <w:rPr>
          <w:rFonts w:cs="Arial"/>
          <w:color w:val="222222"/>
          <w:shd w:val="clear" w:color="auto" w:fill="FFFFFF"/>
        </w:rPr>
        <w:t>;93</w:t>
      </w:r>
      <w:proofErr w:type="gramEnd"/>
      <w:r w:rsidRPr="00467FD1">
        <w:rPr>
          <w:rFonts w:cs="Arial"/>
          <w:color w:val="222222"/>
          <w:shd w:val="clear" w:color="auto" w:fill="FFFFFF"/>
        </w:rPr>
        <w:t>(18):6947-54.</w:t>
      </w:r>
    </w:p>
    <w:p w14:paraId="3D0B7C66" w14:textId="77777777" w:rsidR="00641F1B" w:rsidRPr="00467FD1" w:rsidRDefault="00641F1B" w:rsidP="00467FD1">
      <w:pPr>
        <w:ind w:right="95"/>
        <w:rPr>
          <w:rFonts w:cs="Arial"/>
          <w:color w:val="222222"/>
          <w:shd w:val="clear" w:color="auto" w:fill="FFFFFF"/>
        </w:rPr>
      </w:pPr>
    </w:p>
    <w:p w14:paraId="7CB01890" w14:textId="77777777" w:rsidR="00641F1B" w:rsidRPr="00467FD1" w:rsidRDefault="00641F1B" w:rsidP="00467FD1">
      <w:pPr>
        <w:ind w:right="95"/>
        <w:rPr>
          <w:rFonts w:cs="Arial"/>
          <w:color w:val="222222"/>
          <w:shd w:val="clear" w:color="auto" w:fill="FFFFFF"/>
        </w:rPr>
      </w:pPr>
      <w:r w:rsidRPr="00467FD1">
        <w:rPr>
          <w:rFonts w:cs="Arial"/>
          <w:color w:val="222222"/>
          <w:shd w:val="clear" w:color="auto" w:fill="FFFFFF"/>
        </w:rPr>
        <w:t xml:space="preserve">Starr NJ, Khan MH, </w:t>
      </w:r>
      <w:proofErr w:type="spellStart"/>
      <w:r w:rsidRPr="00467FD1">
        <w:rPr>
          <w:rFonts w:cs="Arial"/>
          <w:color w:val="222222"/>
          <w:shd w:val="clear" w:color="auto" w:fill="FFFFFF"/>
        </w:rPr>
        <w:t>Edney</w:t>
      </w:r>
      <w:proofErr w:type="spellEnd"/>
      <w:r w:rsidRPr="00467FD1">
        <w:rPr>
          <w:rFonts w:cs="Arial"/>
          <w:color w:val="222222"/>
          <w:shd w:val="clear" w:color="auto" w:fill="FFFFFF"/>
        </w:rPr>
        <w:t xml:space="preserve"> MK, </w:t>
      </w:r>
      <w:proofErr w:type="spellStart"/>
      <w:r w:rsidRPr="00467FD1">
        <w:rPr>
          <w:rFonts w:cs="Arial"/>
          <w:color w:val="222222"/>
          <w:shd w:val="clear" w:color="auto" w:fill="FFFFFF"/>
        </w:rPr>
        <w:t>Trindade</w:t>
      </w:r>
      <w:proofErr w:type="spellEnd"/>
      <w:r w:rsidRPr="00467FD1">
        <w:rPr>
          <w:rFonts w:cs="Arial"/>
          <w:color w:val="222222"/>
          <w:shd w:val="clear" w:color="auto" w:fill="FFFFFF"/>
        </w:rPr>
        <w:t xml:space="preserve"> GF, Kern S, </w:t>
      </w:r>
      <w:proofErr w:type="spellStart"/>
      <w:r w:rsidRPr="00467FD1">
        <w:rPr>
          <w:rFonts w:cs="Arial"/>
          <w:color w:val="222222"/>
          <w:shd w:val="clear" w:color="auto" w:fill="FFFFFF"/>
        </w:rPr>
        <w:t>Pirkl</w:t>
      </w:r>
      <w:proofErr w:type="spellEnd"/>
      <w:r w:rsidRPr="00467FD1">
        <w:rPr>
          <w:rFonts w:cs="Arial"/>
          <w:color w:val="222222"/>
          <w:shd w:val="clear" w:color="auto" w:fill="FFFFFF"/>
        </w:rPr>
        <w:t xml:space="preserve"> A, </w:t>
      </w:r>
      <w:proofErr w:type="spellStart"/>
      <w:r w:rsidRPr="00467FD1">
        <w:rPr>
          <w:rFonts w:cs="Arial"/>
          <w:color w:val="222222"/>
          <w:shd w:val="clear" w:color="auto" w:fill="FFFFFF"/>
        </w:rPr>
        <w:t>Kleine-Boymann</w:t>
      </w:r>
      <w:proofErr w:type="spellEnd"/>
      <w:r w:rsidRPr="00467FD1">
        <w:rPr>
          <w:rFonts w:cs="Arial"/>
          <w:color w:val="222222"/>
          <w:shd w:val="clear" w:color="auto" w:fill="FFFFFF"/>
        </w:rPr>
        <w:t xml:space="preserve"> M, Elms C, </w:t>
      </w:r>
      <w:proofErr w:type="spellStart"/>
      <w:r w:rsidRPr="00467FD1">
        <w:rPr>
          <w:rFonts w:cs="Arial"/>
          <w:color w:val="222222"/>
          <w:shd w:val="clear" w:color="auto" w:fill="FFFFFF"/>
        </w:rPr>
        <w:t>O'Mahony</w:t>
      </w:r>
      <w:proofErr w:type="spellEnd"/>
      <w:r w:rsidRPr="00467FD1">
        <w:rPr>
          <w:rFonts w:cs="Arial"/>
          <w:color w:val="222222"/>
          <w:shd w:val="clear" w:color="auto" w:fill="FFFFFF"/>
        </w:rPr>
        <w:t xml:space="preserve"> MM, Bell M, Alexander MR. Elucidating the molecular landscape of the stratum corneum. Proceedings of the National Academy of Sciences. 2022 Mar 22</w:t>
      </w:r>
      <w:proofErr w:type="gramStart"/>
      <w:r w:rsidRPr="00467FD1">
        <w:rPr>
          <w:rFonts w:cs="Arial"/>
          <w:color w:val="222222"/>
          <w:shd w:val="clear" w:color="auto" w:fill="FFFFFF"/>
        </w:rPr>
        <w:t>;119</w:t>
      </w:r>
      <w:proofErr w:type="gramEnd"/>
      <w:r w:rsidRPr="00467FD1">
        <w:rPr>
          <w:rFonts w:cs="Arial"/>
          <w:color w:val="222222"/>
          <w:shd w:val="clear" w:color="auto" w:fill="FFFFFF"/>
        </w:rPr>
        <w:t>(12):e2114380119.</w:t>
      </w:r>
    </w:p>
    <w:p w14:paraId="0AAB3F68" w14:textId="77777777" w:rsidR="00641F1B" w:rsidRPr="00467FD1" w:rsidRDefault="00641F1B" w:rsidP="00467FD1">
      <w:pPr>
        <w:ind w:right="95"/>
        <w:rPr>
          <w:rFonts w:cs="Arial"/>
          <w:color w:val="222222"/>
          <w:shd w:val="clear" w:color="auto" w:fill="FFFFFF"/>
        </w:rPr>
      </w:pPr>
    </w:p>
    <w:p w14:paraId="66AC2C41" w14:textId="77777777" w:rsidR="00641F1B" w:rsidRPr="00467FD1" w:rsidRDefault="00641F1B" w:rsidP="00467FD1">
      <w:pPr>
        <w:ind w:right="95"/>
        <w:rPr>
          <w:rFonts w:cs="Arial"/>
          <w:color w:val="222222"/>
          <w:shd w:val="clear" w:color="auto" w:fill="FFFFFF"/>
        </w:rPr>
      </w:pPr>
      <w:r w:rsidRPr="00467FD1">
        <w:rPr>
          <w:rFonts w:cs="Arial"/>
          <w:color w:val="222222"/>
          <w:shd w:val="clear" w:color="auto" w:fill="FFFFFF"/>
        </w:rPr>
        <w:t xml:space="preserve">McCrorie P, </w:t>
      </w:r>
      <w:proofErr w:type="spellStart"/>
      <w:r w:rsidRPr="00467FD1">
        <w:rPr>
          <w:rFonts w:cs="Arial"/>
          <w:color w:val="222222"/>
          <w:shd w:val="clear" w:color="auto" w:fill="FFFFFF"/>
        </w:rPr>
        <w:t>Rowlinson</w:t>
      </w:r>
      <w:proofErr w:type="spellEnd"/>
      <w:r w:rsidRPr="00467FD1">
        <w:rPr>
          <w:rFonts w:cs="Arial"/>
          <w:color w:val="222222"/>
          <w:shd w:val="clear" w:color="auto" w:fill="FFFFFF"/>
        </w:rPr>
        <w:t xml:space="preserve"> J, </w:t>
      </w:r>
      <w:proofErr w:type="spellStart"/>
      <w:r w:rsidRPr="00467FD1">
        <w:rPr>
          <w:rFonts w:cs="Arial"/>
          <w:color w:val="222222"/>
          <w:shd w:val="clear" w:color="auto" w:fill="FFFFFF"/>
        </w:rPr>
        <w:t>Scurr</w:t>
      </w:r>
      <w:proofErr w:type="spellEnd"/>
      <w:r w:rsidRPr="00467FD1">
        <w:rPr>
          <w:rFonts w:cs="Arial"/>
          <w:color w:val="222222"/>
          <w:shd w:val="clear" w:color="auto" w:fill="FFFFFF"/>
        </w:rPr>
        <w:t xml:space="preserve"> DJ, Marlow M, Rahman R. Detection of Label-Free Drugs within Brain Tissue Using </w:t>
      </w:r>
      <w:proofErr w:type="spellStart"/>
      <w:r w:rsidRPr="00467FD1">
        <w:rPr>
          <w:rFonts w:cs="Arial"/>
          <w:color w:val="222222"/>
          <w:shd w:val="clear" w:color="auto" w:fill="FFFFFF"/>
        </w:rPr>
        <w:t>Orbitrap</w:t>
      </w:r>
      <w:proofErr w:type="spellEnd"/>
      <w:r w:rsidRPr="00467FD1">
        <w:rPr>
          <w:rFonts w:cs="Arial"/>
          <w:color w:val="222222"/>
          <w:shd w:val="clear" w:color="auto" w:fill="FFFFFF"/>
        </w:rPr>
        <w:t xml:space="preserve"> Secondary Ion Mass Spectrometry as a Complement to Neuro-Oncological Drug Delivery. Pharmaceutics. 2022 Mar 5</w:t>
      </w:r>
      <w:proofErr w:type="gramStart"/>
      <w:r w:rsidRPr="00467FD1">
        <w:rPr>
          <w:rFonts w:cs="Arial"/>
          <w:color w:val="222222"/>
          <w:shd w:val="clear" w:color="auto" w:fill="FFFFFF"/>
        </w:rPr>
        <w:t>;14</w:t>
      </w:r>
      <w:proofErr w:type="gramEnd"/>
      <w:r w:rsidRPr="00467FD1">
        <w:rPr>
          <w:rFonts w:cs="Arial"/>
          <w:color w:val="222222"/>
          <w:shd w:val="clear" w:color="auto" w:fill="FFFFFF"/>
        </w:rPr>
        <w:t>(3):571.</w:t>
      </w:r>
    </w:p>
    <w:p w14:paraId="762AB1A5" w14:textId="77777777" w:rsidR="00641F1B" w:rsidRPr="00467FD1" w:rsidRDefault="00641F1B" w:rsidP="00467FD1">
      <w:pPr>
        <w:ind w:right="95"/>
        <w:rPr>
          <w:rFonts w:cs="Arial"/>
          <w:color w:val="222222"/>
          <w:shd w:val="clear" w:color="auto" w:fill="FFFFFF"/>
        </w:rPr>
      </w:pPr>
    </w:p>
    <w:p w14:paraId="5EEE06B1" w14:textId="77777777" w:rsidR="00641F1B" w:rsidRPr="00876075" w:rsidRDefault="00641F1B" w:rsidP="00467FD1">
      <w:pPr>
        <w:ind w:right="95"/>
        <w:rPr>
          <w:szCs w:val="22"/>
          <w:shd w:val="clear" w:color="auto" w:fill="FFFFFF"/>
        </w:rPr>
      </w:pPr>
      <w:proofErr w:type="spellStart"/>
      <w:r w:rsidRPr="00467FD1">
        <w:rPr>
          <w:rFonts w:cs="Arial"/>
          <w:color w:val="222222"/>
          <w:shd w:val="clear" w:color="auto" w:fill="FFFFFF"/>
        </w:rPr>
        <w:t>Meurs</w:t>
      </w:r>
      <w:proofErr w:type="spellEnd"/>
      <w:r w:rsidRPr="00467FD1">
        <w:rPr>
          <w:rFonts w:cs="Arial"/>
          <w:color w:val="222222"/>
          <w:shd w:val="clear" w:color="auto" w:fill="FFFFFF"/>
        </w:rPr>
        <w:t xml:space="preserve"> J, </w:t>
      </w:r>
      <w:proofErr w:type="spellStart"/>
      <w:r w:rsidRPr="00467FD1">
        <w:rPr>
          <w:rFonts w:cs="Arial"/>
          <w:color w:val="222222"/>
          <w:shd w:val="clear" w:color="auto" w:fill="FFFFFF"/>
        </w:rPr>
        <w:t>Scurr</w:t>
      </w:r>
      <w:proofErr w:type="spellEnd"/>
      <w:r w:rsidRPr="00467FD1">
        <w:rPr>
          <w:rFonts w:cs="Arial"/>
          <w:color w:val="222222"/>
          <w:shd w:val="clear" w:color="auto" w:fill="FFFFFF"/>
        </w:rPr>
        <w:t xml:space="preserve"> DJ, </w:t>
      </w:r>
      <w:proofErr w:type="spellStart"/>
      <w:r w:rsidRPr="00467FD1">
        <w:rPr>
          <w:rFonts w:cs="Arial"/>
          <w:color w:val="222222"/>
          <w:shd w:val="clear" w:color="auto" w:fill="FFFFFF"/>
        </w:rPr>
        <w:t>Lourdusamy</w:t>
      </w:r>
      <w:proofErr w:type="spellEnd"/>
      <w:r w:rsidRPr="00467FD1">
        <w:rPr>
          <w:rFonts w:cs="Arial"/>
          <w:color w:val="222222"/>
          <w:shd w:val="clear" w:color="auto" w:fill="FFFFFF"/>
        </w:rPr>
        <w:t xml:space="preserve"> A, </w:t>
      </w:r>
      <w:proofErr w:type="spellStart"/>
      <w:r w:rsidRPr="00467FD1">
        <w:rPr>
          <w:rFonts w:cs="Arial"/>
          <w:color w:val="222222"/>
          <w:shd w:val="clear" w:color="auto" w:fill="FFFFFF"/>
        </w:rPr>
        <w:t>Storer</w:t>
      </w:r>
      <w:proofErr w:type="spellEnd"/>
      <w:r w:rsidRPr="00467FD1">
        <w:rPr>
          <w:rFonts w:cs="Arial"/>
          <w:color w:val="222222"/>
          <w:shd w:val="clear" w:color="auto" w:fill="FFFFFF"/>
        </w:rPr>
        <w:t xml:space="preserve"> LC, Grundy RG, Alexander MR, Rahman R, Kim DH. Sequential 3D </w:t>
      </w:r>
      <w:proofErr w:type="spellStart"/>
      <w:r w:rsidRPr="00467FD1">
        <w:rPr>
          <w:rFonts w:cs="Arial"/>
          <w:color w:val="222222"/>
          <w:shd w:val="clear" w:color="auto" w:fill="FFFFFF"/>
        </w:rPr>
        <w:t>OrbiSIMS</w:t>
      </w:r>
      <w:proofErr w:type="spellEnd"/>
      <w:r w:rsidRPr="00467FD1">
        <w:rPr>
          <w:rFonts w:cs="Arial"/>
          <w:color w:val="222222"/>
          <w:shd w:val="clear" w:color="auto" w:fill="FFFFFF"/>
        </w:rPr>
        <w:t xml:space="preserve"> and LESA-MS/MS-based metabolomics for prediction of brain </w:t>
      </w:r>
      <w:proofErr w:type="spellStart"/>
      <w:r w:rsidRPr="00467FD1">
        <w:rPr>
          <w:rFonts w:cs="Arial"/>
          <w:color w:val="222222"/>
          <w:shd w:val="clear" w:color="auto" w:fill="FFFFFF"/>
        </w:rPr>
        <w:t>tumor</w:t>
      </w:r>
      <w:proofErr w:type="spellEnd"/>
      <w:r w:rsidRPr="00467FD1">
        <w:rPr>
          <w:rFonts w:cs="Arial"/>
          <w:color w:val="222222"/>
          <w:shd w:val="clear" w:color="auto" w:fill="FFFFFF"/>
        </w:rPr>
        <w:t xml:space="preserve"> relapse</w:t>
      </w:r>
      <w:r w:rsidRPr="00876075">
        <w:rPr>
          <w:rFonts w:cs="Arial"/>
          <w:color w:val="222222"/>
          <w:sz w:val="20"/>
          <w:szCs w:val="20"/>
          <w:shd w:val="clear" w:color="auto" w:fill="FFFFFF"/>
        </w:rPr>
        <w:t xml:space="preserve"> from sample-limited primary tissue archives. </w:t>
      </w:r>
      <w:proofErr w:type="spellStart"/>
      <w:proofErr w:type="gramStart"/>
      <w:r w:rsidRPr="00876075">
        <w:rPr>
          <w:rFonts w:cs="Arial"/>
          <w:color w:val="222222"/>
          <w:sz w:val="20"/>
          <w:szCs w:val="20"/>
          <w:shd w:val="clear" w:color="auto" w:fill="FFFFFF"/>
        </w:rPr>
        <w:t>bioRxiv</w:t>
      </w:r>
      <w:proofErr w:type="spellEnd"/>
      <w:proofErr w:type="gramEnd"/>
      <w:r w:rsidRPr="00876075">
        <w:rPr>
          <w:rFonts w:cs="Arial"/>
          <w:color w:val="222222"/>
          <w:sz w:val="20"/>
          <w:szCs w:val="20"/>
          <w:shd w:val="clear" w:color="auto" w:fill="FFFFFF"/>
        </w:rPr>
        <w:t>. 2021 Jan 1:2020-07.</w:t>
      </w:r>
    </w:p>
    <w:p w14:paraId="6C83A8F6" w14:textId="77777777" w:rsidR="00641F1B" w:rsidRDefault="00641F1B" w:rsidP="00641F1B">
      <w:pPr>
        <w:rPr>
          <w:rFonts w:cs="Segoe UI"/>
          <w:shd w:val="clear" w:color="auto" w:fill="FFFFFF"/>
        </w:rPr>
      </w:pPr>
    </w:p>
    <w:p w14:paraId="51E1071A" w14:textId="77777777" w:rsidR="00641F1B" w:rsidRDefault="00641F1B" w:rsidP="00CA5955">
      <w:pPr>
        <w:spacing w:line="360" w:lineRule="auto"/>
      </w:pPr>
    </w:p>
    <w:p w14:paraId="0354B52E" w14:textId="77777777" w:rsidR="00CA5955" w:rsidRDefault="00CA5955" w:rsidP="0083202E">
      <w:pPr>
        <w:spacing w:line="360" w:lineRule="auto"/>
        <w:rPr>
          <w:rFonts w:eastAsia="Times"/>
        </w:rPr>
      </w:pPr>
    </w:p>
    <w:p w14:paraId="35EFE017" w14:textId="77777777" w:rsidR="00CA5955" w:rsidRPr="00761CF1" w:rsidRDefault="00CA5955" w:rsidP="0083202E">
      <w:pPr>
        <w:spacing w:line="360" w:lineRule="auto"/>
        <w:rPr>
          <w:rFonts w:eastAsia="Times"/>
        </w:rPr>
      </w:pPr>
    </w:p>
    <w:p w14:paraId="6CFB34B4" w14:textId="7C21C6D0" w:rsidR="0083202E" w:rsidRDefault="0083202E" w:rsidP="00DA7EF1">
      <w:pPr>
        <w:rPr>
          <w:b/>
        </w:rPr>
      </w:pPr>
    </w:p>
    <w:p w14:paraId="36D50948" w14:textId="77777777" w:rsidR="0083202E" w:rsidRDefault="0083202E" w:rsidP="00DA7EF1">
      <w:pPr>
        <w:rPr>
          <w:b/>
        </w:rPr>
      </w:pPr>
    </w:p>
    <w:p w14:paraId="5EE91C20" w14:textId="77777777" w:rsidR="00CA5955" w:rsidRDefault="00CA5955">
      <w:pPr>
        <w:jc w:val="left"/>
        <w:rPr>
          <w:b/>
        </w:rPr>
      </w:pPr>
      <w:r>
        <w:rPr>
          <w:b/>
        </w:rPr>
        <w:br w:type="page"/>
      </w:r>
    </w:p>
    <w:p w14:paraId="27C66EF9" w14:textId="096ABD34" w:rsidR="00DA7EF1" w:rsidRPr="00240DE6" w:rsidRDefault="00240DE6" w:rsidP="00DA7EF1">
      <w:pPr>
        <w:rPr>
          <w:b/>
        </w:rPr>
      </w:pPr>
      <w:r w:rsidRPr="00240DE6">
        <w:rPr>
          <w:b/>
        </w:rPr>
        <w:lastRenderedPageBreak/>
        <w:t>Section 3.1. Microneedle Insertion Study</w:t>
      </w:r>
    </w:p>
    <w:p w14:paraId="7F6BAACE" w14:textId="2F83FBB5" w:rsidR="00240DE6" w:rsidRDefault="00240DE6" w:rsidP="00DA7EF1">
      <w:pPr>
        <w:spacing w:line="360" w:lineRule="auto"/>
      </w:pPr>
    </w:p>
    <w:p w14:paraId="029C1FDA" w14:textId="597BDA1F" w:rsidR="00DA7EF1" w:rsidRDefault="00DA7EF1" w:rsidP="00DA7EF1">
      <w:pPr>
        <w:spacing w:line="360" w:lineRule="auto"/>
        <w:rPr>
          <w:b/>
          <w:bCs/>
        </w:rPr>
      </w:pPr>
      <w:r>
        <w:t xml:space="preserve">The </w:t>
      </w:r>
      <w:r>
        <w:rPr>
          <w:i/>
        </w:rPr>
        <w:t xml:space="preserve">in </w:t>
      </w:r>
      <w:r w:rsidRPr="00240DE6">
        <w:rPr>
          <w:i/>
        </w:rPr>
        <w:t>vitro</w:t>
      </w:r>
      <w:r>
        <w:t xml:space="preserve"> assessment of microneedle penetration was performed by applying</w:t>
      </w:r>
      <w:r w:rsidRPr="004964F2">
        <w:t xml:space="preserve"> </w:t>
      </w:r>
      <w:r>
        <w:t>t</w:t>
      </w:r>
      <w:r w:rsidRPr="004964F2">
        <w:t xml:space="preserve">he </w:t>
      </w:r>
      <w:proofErr w:type="spellStart"/>
      <w:r w:rsidRPr="004964F2">
        <w:t>Dermapen</w:t>
      </w:r>
      <w:proofErr w:type="spellEnd"/>
      <w:r w:rsidRPr="004964F2">
        <w:t xml:space="preserve">® </w:t>
      </w:r>
      <w:r>
        <w:t>on</w:t>
      </w:r>
      <w:r w:rsidRPr="004964F2">
        <w:t xml:space="preserve">to </w:t>
      </w:r>
      <w:r>
        <w:t>eight</w:t>
      </w:r>
      <w:r w:rsidRPr="004964F2">
        <w:t xml:space="preserve"> sheets of </w:t>
      </w:r>
      <w:proofErr w:type="spellStart"/>
      <w:r>
        <w:t>Parafilm</w:t>
      </w:r>
      <w:proofErr w:type="spellEnd"/>
      <w:r>
        <w:t>®</w:t>
      </w:r>
      <w:r w:rsidRPr="004964F2">
        <w:t xml:space="preserve"> for 10 seconds </w:t>
      </w:r>
      <w:r>
        <w:t xml:space="preserve">at an oscillating speed of 8000 RPM, resulting in the formation of </w:t>
      </w:r>
      <w:proofErr w:type="spellStart"/>
      <w:r>
        <w:t>microchannels</w:t>
      </w:r>
      <w:proofErr w:type="spellEnd"/>
      <w:r w:rsidRPr="004964F2">
        <w:t xml:space="preserve">. </w:t>
      </w:r>
      <w:r>
        <w:t xml:space="preserve"> Overall, t</w:t>
      </w:r>
      <w:r w:rsidRPr="004964F2">
        <w:t xml:space="preserve">here was a general trend of </w:t>
      </w:r>
      <w:r>
        <w:t xml:space="preserve">increasing microneedle insertion depth with increasing microneedle length. On the other hand, there was a </w:t>
      </w:r>
      <w:r w:rsidRPr="004964F2">
        <w:t>decreas</w:t>
      </w:r>
      <w:r>
        <w:t xml:space="preserve">e in microchannel </w:t>
      </w:r>
      <w:r w:rsidRPr="004964F2">
        <w:t>diameter</w:t>
      </w:r>
      <w:r>
        <w:t>s</w:t>
      </w:r>
      <w:r w:rsidRPr="004964F2">
        <w:t xml:space="preserve"> with increasing </w:t>
      </w:r>
      <w:proofErr w:type="spellStart"/>
      <w:r>
        <w:t>Parafilm</w:t>
      </w:r>
      <w:proofErr w:type="spellEnd"/>
      <w:r>
        <w:t>®</w:t>
      </w:r>
      <w:r w:rsidRPr="004964F2">
        <w:t xml:space="preserve"> layer</w:t>
      </w:r>
      <w:r>
        <w:t xml:space="preserve">s as shown in </w:t>
      </w:r>
      <w:r>
        <w:fldChar w:fldCharType="begin"/>
      </w:r>
      <w:r>
        <w:instrText xml:space="preserve"> REF _Ref71138280 \h  \* MERGEFORMAT </w:instrText>
      </w:r>
      <w:r>
        <w:fldChar w:fldCharType="separate"/>
      </w:r>
      <w:r>
        <w:t xml:space="preserve">Figure </w:t>
      </w:r>
      <w:r>
        <w:rPr>
          <w:noProof/>
        </w:rPr>
        <w:t>1</w:t>
      </w:r>
      <w:r>
        <w:fldChar w:fldCharType="end"/>
      </w:r>
      <w:r>
        <w:t xml:space="preserve"> </w:t>
      </w:r>
      <w:r w:rsidRPr="00D244F7">
        <w:rPr>
          <w:b/>
          <w:bCs/>
        </w:rPr>
        <w:t>(</w:t>
      </w:r>
      <w:r>
        <w:rPr>
          <w:b/>
          <w:bCs/>
        </w:rPr>
        <w:t>a-</w:t>
      </w:r>
      <w:r w:rsidRPr="00D244F7">
        <w:rPr>
          <w:b/>
          <w:bCs/>
        </w:rPr>
        <w:t>b)</w:t>
      </w:r>
      <w:r w:rsidRPr="004964F2">
        <w:t>.</w:t>
      </w:r>
    </w:p>
    <w:p w14:paraId="3A7E960F" w14:textId="77777777" w:rsidR="00DA7EF1" w:rsidRDefault="00DA7EF1" w:rsidP="00DA7EF1">
      <w:pPr>
        <w:keepNext/>
        <w:spacing w:line="360" w:lineRule="auto"/>
        <w:jc w:val="center"/>
      </w:pPr>
      <w:r>
        <w:rPr>
          <w:noProof/>
          <w:lang w:val="en-US" w:eastAsia="en-US"/>
        </w:rPr>
        <w:drawing>
          <wp:inline distT="0" distB="0" distL="0" distR="0" wp14:anchorId="0282114B" wp14:editId="52DE0A77">
            <wp:extent cx="4710223" cy="421261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39983" cy="4239227"/>
                    </a:xfrm>
                    <a:prstGeom prst="rect">
                      <a:avLst/>
                    </a:prstGeom>
                    <a:noFill/>
                  </pic:spPr>
                </pic:pic>
              </a:graphicData>
            </a:graphic>
          </wp:inline>
        </w:drawing>
      </w:r>
    </w:p>
    <w:p w14:paraId="254F8935" w14:textId="77777777" w:rsidR="00DA7EF1" w:rsidRDefault="00DA7EF1" w:rsidP="00DA7EF1">
      <w:pPr>
        <w:pStyle w:val="Caption"/>
        <w:spacing w:line="360" w:lineRule="auto"/>
      </w:pPr>
      <w:bookmarkStart w:id="1" w:name="_Ref71138280"/>
      <w:r>
        <w:t xml:space="preserve">Figure </w:t>
      </w:r>
      <w:r>
        <w:fldChar w:fldCharType="begin"/>
      </w:r>
      <w:r>
        <w:instrText xml:space="preserve"> SEQ Figure \* ARABIC </w:instrText>
      </w:r>
      <w:r>
        <w:fldChar w:fldCharType="separate"/>
      </w:r>
      <w:r>
        <w:t>1</w:t>
      </w:r>
      <w:r>
        <w:fldChar w:fldCharType="end"/>
      </w:r>
      <w:bookmarkEnd w:id="1"/>
      <w:r>
        <w:t xml:space="preserve"> </w:t>
      </w:r>
      <w:r w:rsidRPr="008061E7">
        <w:t xml:space="preserve">Insertion profile of </w:t>
      </w:r>
      <w:r>
        <w:t>Dermapen</w:t>
      </w:r>
      <w:r w:rsidRPr="008061E7">
        <w:t xml:space="preserve"> microneedle into Parafilm</w:t>
      </w:r>
      <w:r w:rsidRPr="008061E7">
        <w:rPr>
          <w:vertAlign w:val="superscript"/>
        </w:rPr>
        <w:t>®</w:t>
      </w:r>
      <w:r w:rsidRPr="008061E7">
        <w:t xml:space="preserve"> layers </w:t>
      </w:r>
      <w:r>
        <w:t xml:space="preserve">when equipped with </w:t>
      </w:r>
      <w:r w:rsidRPr="008061E7">
        <w:t>(</w:t>
      </w:r>
      <w:r>
        <w:t>a</w:t>
      </w:r>
      <w:r w:rsidRPr="008061E7">
        <w:t>)</w:t>
      </w:r>
      <w:r>
        <w:t xml:space="preserve"> 12 Array micronnedle cartridge (b) 36 Array micronnedle cartridge.</w:t>
      </w:r>
      <w:r w:rsidRPr="008061E7">
        <w:t xml:space="preserve"> Data are expressed as mean± SEM for n=</w:t>
      </w:r>
      <w:r>
        <w:t>10. (b) An example of a m</w:t>
      </w:r>
      <w:r w:rsidRPr="008061E7">
        <w:t xml:space="preserve">icrochannels created in ex vivo porcine skin visualised via </w:t>
      </w:r>
      <w:r>
        <w:t>Gentian violet dye binding study</w:t>
      </w:r>
      <w:r w:rsidRPr="008061E7">
        <w:t xml:space="preserve"> (d) </w:t>
      </w:r>
      <w:r w:rsidRPr="009C6D4C">
        <w:t xml:space="preserve">Microneedle penetration depth for </w:t>
      </w:r>
      <w:r>
        <w:t xml:space="preserve">Dermapen® of </w:t>
      </w:r>
      <w:r w:rsidRPr="009C6D4C">
        <w:t xml:space="preserve">different microneedle </w:t>
      </w:r>
      <w:r>
        <w:t>length (750 µm and 1000 µm) and array size (12 Array and 36 Array)</w:t>
      </w:r>
      <w:r w:rsidRPr="009C6D4C">
        <w:t xml:space="preserve"> into ex vivo porcine flank skin</w:t>
      </w:r>
      <w:r>
        <w:t xml:space="preserve">. </w:t>
      </w:r>
      <w:r w:rsidRPr="008061E7">
        <w:t>Data are expressed as mean± SEM for n=</w:t>
      </w:r>
      <w:r>
        <w:t>10</w:t>
      </w:r>
      <w:r w:rsidRPr="008061E7">
        <w:t>. Differences were calculated using one-way ANOVA, followed by Tukey’s post hoc test, and deemed significant at p&lt;0.05. n.s = not statistically significant at p&gt;0.05</w:t>
      </w:r>
    </w:p>
    <w:p w14:paraId="774F72DE" w14:textId="77777777" w:rsidR="00DA7EF1" w:rsidRDefault="00DA7EF1" w:rsidP="00DA7EF1">
      <w:pPr>
        <w:spacing w:line="360" w:lineRule="auto"/>
      </w:pPr>
    </w:p>
    <w:p w14:paraId="3DF6ACD4" w14:textId="73B1B689" w:rsidR="00DA7EF1" w:rsidRPr="00D244F7" w:rsidRDefault="00DA7EF1" w:rsidP="00DA7EF1">
      <w:pPr>
        <w:spacing w:line="360" w:lineRule="auto"/>
        <w:ind w:firstLine="720"/>
        <w:rPr>
          <w:color w:val="000000" w:themeColor="text1"/>
        </w:rPr>
      </w:pPr>
      <w:r w:rsidRPr="004964F2">
        <w:t>F</w:t>
      </w:r>
      <w:r>
        <w:t>rom</w:t>
      </w:r>
      <w:r w:rsidRPr="004964F2">
        <w:t xml:space="preserve"> </w:t>
      </w:r>
      <w:r>
        <w:fldChar w:fldCharType="begin"/>
      </w:r>
      <w:r>
        <w:instrText xml:space="preserve"> REF _Ref71138280 \h  \* MERGEFORMAT </w:instrText>
      </w:r>
      <w:r>
        <w:fldChar w:fldCharType="separate"/>
      </w:r>
      <w:r>
        <w:t xml:space="preserve">Figure </w:t>
      </w:r>
      <w:r>
        <w:rPr>
          <w:noProof/>
        </w:rPr>
        <w:t>1</w:t>
      </w:r>
      <w:r>
        <w:fldChar w:fldCharType="end"/>
      </w:r>
      <w:r>
        <w:t xml:space="preserve"> </w:t>
      </w:r>
      <w:r w:rsidRPr="00D244F7">
        <w:rPr>
          <w:b/>
          <w:bCs/>
        </w:rPr>
        <w:t>(</w:t>
      </w:r>
      <w:r>
        <w:rPr>
          <w:b/>
          <w:bCs/>
        </w:rPr>
        <w:t>a-b</w:t>
      </w:r>
      <w:r w:rsidRPr="00D244F7">
        <w:rPr>
          <w:b/>
          <w:bCs/>
        </w:rPr>
        <w:t>)</w:t>
      </w:r>
      <w:r>
        <w:rPr>
          <w:b/>
          <w:bCs/>
        </w:rPr>
        <w:t xml:space="preserve"> </w:t>
      </w:r>
      <w:r>
        <w:t xml:space="preserve">it was observed </w:t>
      </w:r>
      <w:r w:rsidRPr="004964F2">
        <w:t xml:space="preserve">the diameter of the </w:t>
      </w:r>
      <w:r>
        <w:t>microneedle</w:t>
      </w:r>
      <w:r w:rsidRPr="004964F2">
        <w:t xml:space="preserve"> channel</w:t>
      </w:r>
      <w:r>
        <w:t>s</w:t>
      </w:r>
      <w:r w:rsidRPr="004964F2">
        <w:t xml:space="preserve"> w</w:t>
      </w:r>
      <w:r>
        <w:t>ere</w:t>
      </w:r>
      <w:r w:rsidRPr="004964F2">
        <w:t xml:space="preserve"> wider from the 36</w:t>
      </w:r>
      <w:r>
        <w:t xml:space="preserve"> </w:t>
      </w:r>
      <w:r w:rsidRPr="004964F2">
        <w:t>A</w:t>
      </w:r>
      <w:r>
        <w:t>rray</w:t>
      </w:r>
      <w:r w:rsidRPr="004964F2">
        <w:t xml:space="preserve"> </w:t>
      </w:r>
      <w:r>
        <w:t>microneedle</w:t>
      </w:r>
      <w:r w:rsidRPr="004964F2">
        <w:t xml:space="preserve"> than the 12</w:t>
      </w:r>
      <w:r>
        <w:t xml:space="preserve"> </w:t>
      </w:r>
      <w:r w:rsidRPr="004964F2">
        <w:t>A</w:t>
      </w:r>
      <w:r>
        <w:t>rray</w:t>
      </w:r>
      <w:r w:rsidRPr="004964F2">
        <w:t xml:space="preserve"> </w:t>
      </w:r>
      <w:r>
        <w:t>microneedle</w:t>
      </w:r>
      <w:r w:rsidRPr="004964F2">
        <w:t xml:space="preserve"> array on the first layer of </w:t>
      </w:r>
      <w:proofErr w:type="spellStart"/>
      <w:r>
        <w:t>Parafilm</w:t>
      </w:r>
      <w:proofErr w:type="spellEnd"/>
      <w:r>
        <w:t xml:space="preserve">®, after which the size of the </w:t>
      </w:r>
      <w:proofErr w:type="spellStart"/>
      <w:r>
        <w:t>micro</w:t>
      </w:r>
      <w:r w:rsidRPr="004964F2">
        <w:t>channels</w:t>
      </w:r>
      <w:proofErr w:type="spellEnd"/>
      <w:r w:rsidRPr="004964F2">
        <w:t xml:space="preserve"> appeared </w:t>
      </w:r>
      <w:r>
        <w:t xml:space="preserve">to be </w:t>
      </w:r>
      <w:r w:rsidRPr="004964F2">
        <w:t xml:space="preserve">similar </w:t>
      </w:r>
      <w:r>
        <w:t xml:space="preserve">irrespective of </w:t>
      </w:r>
      <w:r>
        <w:lastRenderedPageBreak/>
        <w:t>array size</w:t>
      </w:r>
      <w:r w:rsidRPr="004964F2">
        <w:t>.</w:t>
      </w:r>
      <w:r>
        <w:t xml:space="preserve"> In addition, it can be seen from </w:t>
      </w:r>
      <w:r>
        <w:fldChar w:fldCharType="begin"/>
      </w:r>
      <w:r>
        <w:instrText xml:space="preserve"> REF _Ref71138280 \h  \* MERGEFORMAT </w:instrText>
      </w:r>
      <w:r>
        <w:fldChar w:fldCharType="separate"/>
      </w:r>
      <w:r>
        <w:t xml:space="preserve">Figure </w:t>
      </w:r>
      <w:r>
        <w:rPr>
          <w:noProof/>
        </w:rPr>
        <w:t>1</w:t>
      </w:r>
      <w:r>
        <w:fldChar w:fldCharType="end"/>
      </w:r>
      <w:r>
        <w:t xml:space="preserve"> </w:t>
      </w:r>
      <w:r w:rsidRPr="00D244F7">
        <w:rPr>
          <w:b/>
          <w:bCs/>
        </w:rPr>
        <w:t>(</w:t>
      </w:r>
      <w:r>
        <w:rPr>
          <w:b/>
          <w:bCs/>
        </w:rPr>
        <w:t>a-b</w:t>
      </w:r>
      <w:r w:rsidRPr="00D244F7">
        <w:rPr>
          <w:b/>
          <w:bCs/>
        </w:rPr>
        <w:t>)</w:t>
      </w:r>
      <w:r>
        <w:rPr>
          <w:b/>
          <w:bCs/>
        </w:rPr>
        <w:t xml:space="preserve"> </w:t>
      </w:r>
      <w:r>
        <w:t xml:space="preserve">that the </w:t>
      </w:r>
      <w:r w:rsidRPr="00D244F7">
        <w:rPr>
          <w:color w:val="000000" w:themeColor="text1"/>
        </w:rPr>
        <w:t xml:space="preserve">error bars were </w:t>
      </w:r>
      <w:r>
        <w:rPr>
          <w:color w:val="000000" w:themeColor="text1"/>
        </w:rPr>
        <w:t xml:space="preserve">relatively </w:t>
      </w:r>
      <w:r w:rsidRPr="00D244F7">
        <w:rPr>
          <w:color w:val="000000" w:themeColor="text1"/>
        </w:rPr>
        <w:t>small</w:t>
      </w:r>
      <w:r>
        <w:rPr>
          <w:color w:val="000000" w:themeColor="text1"/>
        </w:rPr>
        <w:t>,</w:t>
      </w:r>
      <w:r w:rsidRPr="00D244F7">
        <w:rPr>
          <w:color w:val="000000" w:themeColor="text1"/>
        </w:rPr>
        <w:t xml:space="preserve"> indicating that the diameter of the </w:t>
      </w:r>
      <w:proofErr w:type="spellStart"/>
      <w:r w:rsidRPr="00D244F7">
        <w:rPr>
          <w:color w:val="000000" w:themeColor="text1"/>
        </w:rPr>
        <w:t>microchannels</w:t>
      </w:r>
      <w:proofErr w:type="spellEnd"/>
      <w:r w:rsidRPr="00D244F7">
        <w:rPr>
          <w:color w:val="000000" w:themeColor="text1"/>
        </w:rPr>
        <w:t xml:space="preserve"> were relatively similar.  Such </w:t>
      </w:r>
      <w:r>
        <w:rPr>
          <w:color w:val="000000" w:themeColor="text1"/>
        </w:rPr>
        <w:t xml:space="preserve">consistent and </w:t>
      </w:r>
      <w:r w:rsidRPr="00D244F7">
        <w:rPr>
          <w:color w:val="000000" w:themeColor="text1"/>
        </w:rPr>
        <w:t>homogen</w:t>
      </w:r>
      <w:r>
        <w:rPr>
          <w:color w:val="000000" w:themeColor="text1"/>
        </w:rPr>
        <w:t>ous</w:t>
      </w:r>
      <w:r w:rsidRPr="00D244F7">
        <w:rPr>
          <w:color w:val="000000" w:themeColor="text1"/>
        </w:rPr>
        <w:t xml:space="preserve"> microneedle pore size could be attributed to the </w:t>
      </w:r>
      <w:r>
        <w:rPr>
          <w:color w:val="000000" w:themeColor="text1"/>
        </w:rPr>
        <w:t xml:space="preserve">oscillating function of the </w:t>
      </w:r>
      <w:proofErr w:type="spellStart"/>
      <w:r>
        <w:rPr>
          <w:color w:val="000000" w:themeColor="text1"/>
        </w:rPr>
        <w:t>Dermapen</w:t>
      </w:r>
      <w:proofErr w:type="spellEnd"/>
      <w:r>
        <w:rPr>
          <w:color w:val="000000" w:themeColor="text1"/>
        </w:rPr>
        <w:t xml:space="preserve">® which generates a stamping-like motion on the </w:t>
      </w:r>
      <w:proofErr w:type="spellStart"/>
      <w:r>
        <w:rPr>
          <w:color w:val="000000" w:themeColor="text1"/>
        </w:rPr>
        <w:t>Parafilm</w:t>
      </w:r>
      <w:proofErr w:type="spellEnd"/>
      <w:r>
        <w:rPr>
          <w:color w:val="000000" w:themeColor="text1"/>
        </w:rPr>
        <w:t xml:space="preserve">®. This stamping-like motion has been reported to generate a more consistent microneedle insertion force thus overcoming the issues of </w:t>
      </w:r>
      <w:proofErr w:type="spellStart"/>
      <w:r>
        <w:rPr>
          <w:color w:val="000000" w:themeColor="text1"/>
        </w:rPr>
        <w:t>heterogenous</w:t>
      </w:r>
      <w:proofErr w:type="spellEnd"/>
      <w:r>
        <w:rPr>
          <w:color w:val="000000" w:themeColor="text1"/>
        </w:rPr>
        <w:t xml:space="preserve"> application force across the microneedle array that could result in variation in the pore size and insertion efficiency during skin application </w:t>
      </w:r>
      <w:r>
        <w:rPr>
          <w:bCs/>
        </w:rPr>
        <w:fldChar w:fldCharType="begin" w:fldLock="1"/>
      </w:r>
      <w:r>
        <w:rPr>
          <w:bCs/>
        </w:rPr>
        <w:instrText>ADDIN CSL_CITATION {"citationItems":[{"id":"ITEM-1","itemData":{"DOI":"10.1111/dth.12714","ISSN":"15298019","abstract":"Skin microneedling accelerates the process of skin regeneration through the creation of numerous microinjuries which emerge when skin is deeply punctured with very thin needles. The whole procedure evokes various reactions which can be divided into three major phases: inflammation, proliferation, and remodeling. It activates platelet growth factors which are responsible for the stimulation of fibroblasts to produce collagen and elastin. Moreover, skin breakdown enhances penetration of active ingredients. Treatment can be performed with the use of different devices, all equipped with needles of various lengths. Due to the fact that skin microneedling stimulates the synthesis of significant rebuilding and structural skin elements (collagen, elastin, proteoglycan), it is used in the treatment of many skin defects of different etiologies (e.g., photoaging, wrinkles, loss of elasticity, hypo- or hypertrophic scars, pigmentation changes, infraorbital dark circles, teleangiectasia, stretch marks, cellulite, alopecia, and vitiligo). In order to accelerate postsurgical regeneration and/or to enhance effects, microneedling is combined with the application of UV light (photodynamic therapy with ALA), LED light, platelet-rich plasma, chemical peels, stem cells, retinoids and other pharmaceuticals, and vitamins. High effectiveness, limited number of side effects, and short recovery time, make skin microneedling a popular cosmetic, and medical treatment.","author":[{"dropping-particle":"","family":"Zduńska","given":"Kamila","non-dropping-particle":"","parse-names":false,"suffix":""},{"dropping-particle":"","family":"Kołodziejczak","given":"Anna","non-dropping-particle":"","parse-names":false,"suffix":""},{"dropping-particle":"","family":"Rotsztejn","given":"Helena","non-dropping-particle":"","parse-names":false,"suffix":""}],"container-title":"Dermatologic Therapy","id":"ITEM-1","issue":"6","issued":{"date-parts":[["2018"]]},"page":"1-8","title":"Is skin microneedling a good alternative method of various skin defects removal","type":"article-journal","volume":"31"},"uris":["http://www.mendeley.com/documents/?uuid=ba22651e-88e7-4501-9968-2ae42c4a0db0"]}],"mendeley":{"formattedCitation":"&lt;sup&gt;42&lt;/sup&gt;","plainTextFormattedCitation":"42","previouslyFormattedCitation":"&lt;sup&gt;42&lt;/sup&gt;"},"properties":{"noteIndex":0},"schema":"https://github.com/citation-style-language/schema/raw/master/csl-citation.json"}</w:instrText>
      </w:r>
      <w:r>
        <w:rPr>
          <w:bCs/>
        </w:rPr>
        <w:fldChar w:fldCharType="separate"/>
      </w:r>
      <w:r w:rsidRPr="00DC475E">
        <w:rPr>
          <w:bCs/>
          <w:noProof/>
          <w:vertAlign w:val="superscript"/>
        </w:rPr>
        <w:t>42</w:t>
      </w:r>
      <w:r>
        <w:rPr>
          <w:bCs/>
        </w:rPr>
        <w:fldChar w:fldCharType="end"/>
      </w:r>
      <w:r w:rsidRPr="00D244F7">
        <w:rPr>
          <w:color w:val="000000" w:themeColor="text1"/>
        </w:rPr>
        <w:t xml:space="preserve">. </w:t>
      </w:r>
      <w:r>
        <w:rPr>
          <w:color w:val="000000" w:themeColor="text1"/>
        </w:rPr>
        <w:t xml:space="preserve"> </w:t>
      </w:r>
      <w:r w:rsidRPr="00D244F7">
        <w:rPr>
          <w:color w:val="000000" w:themeColor="text1"/>
        </w:rPr>
        <w:t xml:space="preserve">From </w:t>
      </w:r>
      <w:r w:rsidR="00240DE6">
        <w:rPr>
          <w:color w:val="000000" w:themeColor="text1"/>
        </w:rPr>
        <w:t xml:space="preserve">the </w:t>
      </w:r>
      <w:r w:rsidRPr="00D244F7">
        <w:rPr>
          <w:color w:val="000000" w:themeColor="text1"/>
        </w:rPr>
        <w:t>perspective</w:t>
      </w:r>
      <w:r w:rsidR="00240DE6">
        <w:rPr>
          <w:color w:val="000000" w:themeColor="text1"/>
        </w:rPr>
        <w:t xml:space="preserve"> of percutaneous absorption</w:t>
      </w:r>
      <w:r w:rsidRPr="00D244F7">
        <w:rPr>
          <w:color w:val="000000" w:themeColor="text1"/>
        </w:rPr>
        <w:t xml:space="preserve">, the formation of consistent </w:t>
      </w:r>
      <w:proofErr w:type="spellStart"/>
      <w:r w:rsidRPr="00D244F7">
        <w:rPr>
          <w:color w:val="000000" w:themeColor="text1"/>
        </w:rPr>
        <w:t>microchannels</w:t>
      </w:r>
      <w:proofErr w:type="spellEnd"/>
      <w:r w:rsidRPr="00D244F7">
        <w:rPr>
          <w:color w:val="000000" w:themeColor="text1"/>
        </w:rPr>
        <w:t xml:space="preserve"> especially during the first </w:t>
      </w:r>
      <w:proofErr w:type="spellStart"/>
      <w:r>
        <w:rPr>
          <w:color w:val="000000" w:themeColor="text1"/>
        </w:rPr>
        <w:t>Parafilm</w:t>
      </w:r>
      <w:proofErr w:type="spellEnd"/>
      <w:r>
        <w:rPr>
          <w:color w:val="000000" w:themeColor="text1"/>
        </w:rPr>
        <w:t>®</w:t>
      </w:r>
      <w:r w:rsidRPr="00D244F7">
        <w:rPr>
          <w:color w:val="000000" w:themeColor="text1"/>
        </w:rPr>
        <w:t xml:space="preserve"> </w:t>
      </w:r>
      <w:r>
        <w:rPr>
          <w:color w:val="000000" w:themeColor="text1"/>
        </w:rPr>
        <w:t>layer</w:t>
      </w:r>
      <w:r w:rsidRPr="00D244F7">
        <w:rPr>
          <w:color w:val="000000" w:themeColor="text1"/>
        </w:rPr>
        <w:t xml:space="preserve"> is very pertinent </w:t>
      </w:r>
      <w:r>
        <w:rPr>
          <w:color w:val="000000" w:themeColor="text1"/>
        </w:rPr>
        <w:t xml:space="preserve">as this layer typically represent the </w:t>
      </w:r>
      <w:r>
        <w:rPr>
          <w:i/>
          <w:iCs/>
          <w:color w:val="000000" w:themeColor="text1"/>
        </w:rPr>
        <w:t>stratum corneum</w:t>
      </w:r>
      <w:r>
        <w:rPr>
          <w:iCs/>
          <w:color w:val="000000" w:themeColor="text1"/>
        </w:rPr>
        <w:t>,</w:t>
      </w:r>
      <w:r>
        <w:rPr>
          <w:i/>
          <w:iCs/>
          <w:color w:val="000000" w:themeColor="text1"/>
        </w:rPr>
        <w:t xml:space="preserve"> </w:t>
      </w:r>
      <w:r>
        <w:rPr>
          <w:color w:val="000000" w:themeColor="text1"/>
        </w:rPr>
        <w:t xml:space="preserve">which is the main barrier for the delivery of hydrophilic active agents such as CHG into the skin. The formation of </w:t>
      </w:r>
      <w:proofErr w:type="spellStart"/>
      <w:r>
        <w:rPr>
          <w:color w:val="000000" w:themeColor="text1"/>
        </w:rPr>
        <w:t>microchannels</w:t>
      </w:r>
      <w:proofErr w:type="spellEnd"/>
      <w:r>
        <w:rPr>
          <w:color w:val="000000" w:themeColor="text1"/>
        </w:rPr>
        <w:t xml:space="preserve"> in the skin in a reliable and homogenous manner will ensure</w:t>
      </w:r>
      <w:r w:rsidRPr="00D244F7">
        <w:rPr>
          <w:color w:val="000000" w:themeColor="text1"/>
        </w:rPr>
        <w:t xml:space="preserve"> that any formulation applied to the skin can move through the pores at an equal rate</w:t>
      </w:r>
      <w:r>
        <w:rPr>
          <w:color w:val="000000" w:themeColor="text1"/>
        </w:rPr>
        <w:t xml:space="preserve"> leading to a more</w:t>
      </w:r>
      <w:r w:rsidRPr="00D244F7">
        <w:rPr>
          <w:color w:val="000000" w:themeColor="text1"/>
        </w:rPr>
        <w:t xml:space="preserve"> </w:t>
      </w:r>
      <w:r>
        <w:rPr>
          <w:color w:val="000000" w:themeColor="text1"/>
        </w:rPr>
        <w:t>homogenous</w:t>
      </w:r>
      <w:r w:rsidRPr="00D244F7">
        <w:rPr>
          <w:color w:val="000000" w:themeColor="text1"/>
        </w:rPr>
        <w:t xml:space="preserve"> drug distribution across the entirety of the treated skin layer. </w:t>
      </w:r>
    </w:p>
    <w:p w14:paraId="3B51165C" w14:textId="4CF4B135" w:rsidR="00DA7EF1" w:rsidRDefault="00DA7EF1" w:rsidP="00DA7EF1">
      <w:pPr>
        <w:spacing w:line="360" w:lineRule="auto"/>
        <w:ind w:firstLine="720"/>
      </w:pPr>
      <w:r>
        <w:t>I</w:t>
      </w:r>
      <w:r w:rsidRPr="00250FE0">
        <w:t xml:space="preserve">n order to evaluate if the insertion profile observed from these </w:t>
      </w:r>
      <w:r w:rsidRPr="002714B0">
        <w:rPr>
          <w:i/>
          <w:iCs/>
        </w:rPr>
        <w:t>in vitro</w:t>
      </w:r>
      <w:r w:rsidRPr="00250FE0">
        <w:t xml:space="preserve"> characterisation</w:t>
      </w:r>
      <w:r>
        <w:t>s would translate</w:t>
      </w:r>
      <w:r w:rsidRPr="00250FE0">
        <w:t xml:space="preserve"> </w:t>
      </w:r>
      <w:r>
        <w:t xml:space="preserve">into actual skin tissues, an </w:t>
      </w:r>
      <w:r>
        <w:rPr>
          <w:i/>
          <w:iCs/>
        </w:rPr>
        <w:t xml:space="preserve">ex vivo </w:t>
      </w:r>
      <w:r>
        <w:t xml:space="preserve">skin insertion study was conducted using the </w:t>
      </w:r>
      <w:proofErr w:type="spellStart"/>
      <w:r>
        <w:t>Dermapen</w:t>
      </w:r>
      <w:proofErr w:type="spellEnd"/>
      <w:r>
        <w:t xml:space="preserve">® device. </w:t>
      </w:r>
      <w:r w:rsidRPr="004964F2">
        <w:t xml:space="preserve">The </w:t>
      </w:r>
      <w:r>
        <w:t>microneedle penetration depth was visualised</w:t>
      </w:r>
      <w:r w:rsidRPr="004964F2">
        <w:t xml:space="preserve"> </w:t>
      </w:r>
      <w:r>
        <w:rPr>
          <w:i/>
          <w:iCs/>
        </w:rPr>
        <w:t>via</w:t>
      </w:r>
      <w:r w:rsidRPr="004964F2">
        <w:t xml:space="preserve"> gentian violet </w:t>
      </w:r>
      <w:r>
        <w:t xml:space="preserve">staining as shown in </w:t>
      </w:r>
      <w:r>
        <w:fldChar w:fldCharType="begin"/>
      </w:r>
      <w:r>
        <w:instrText xml:space="preserve"> REF _Ref71138280 \h  \* MERGEFORMAT </w:instrText>
      </w:r>
      <w:r>
        <w:fldChar w:fldCharType="separate"/>
      </w:r>
      <w:r>
        <w:t xml:space="preserve">Figure </w:t>
      </w:r>
      <w:r>
        <w:rPr>
          <w:noProof/>
        </w:rPr>
        <w:t>1</w:t>
      </w:r>
      <w:r>
        <w:fldChar w:fldCharType="end"/>
      </w:r>
      <w:r>
        <w:t xml:space="preserve"> </w:t>
      </w:r>
      <w:r w:rsidRPr="00211790">
        <w:rPr>
          <w:b/>
          <w:bCs/>
        </w:rPr>
        <w:t>(c)</w:t>
      </w:r>
      <w:r w:rsidRPr="004964F2">
        <w:t>.</w:t>
      </w:r>
      <w:r>
        <w:t xml:space="preserve"> The successful penetration of microneedle into the </w:t>
      </w:r>
      <w:r>
        <w:rPr>
          <w:i/>
          <w:iCs/>
        </w:rPr>
        <w:t xml:space="preserve">ex vivo </w:t>
      </w:r>
      <w:r>
        <w:t xml:space="preserve">porcine skin showed that the region surrounding the microneedle pores retained a normal structure consistent with an intact </w:t>
      </w:r>
      <w:r>
        <w:rPr>
          <w:i/>
          <w:iCs/>
        </w:rPr>
        <w:t>stratum corneum</w:t>
      </w:r>
      <w:r>
        <w:t xml:space="preserve">. However, the microneedle channels displayed a deep indentation with disrupted </w:t>
      </w:r>
      <w:r>
        <w:rPr>
          <w:i/>
          <w:iCs/>
        </w:rPr>
        <w:t>stratum corneum</w:t>
      </w:r>
      <w:r>
        <w:t xml:space="preserve">. The mean penetration depth for </w:t>
      </w:r>
      <w:proofErr w:type="spellStart"/>
      <w:r>
        <w:t>Dermapen</w:t>
      </w:r>
      <w:proofErr w:type="spellEnd"/>
      <w:r>
        <w:t xml:space="preserve">® 750 µm 12 Array and </w:t>
      </w:r>
      <w:proofErr w:type="spellStart"/>
      <w:r>
        <w:t>Dermapen</w:t>
      </w:r>
      <w:proofErr w:type="spellEnd"/>
      <w:r>
        <w:t xml:space="preserve">® 750 µm 36 Array were 503 µm and 482 µm respectively as shown in </w:t>
      </w:r>
      <w:r>
        <w:fldChar w:fldCharType="begin"/>
      </w:r>
      <w:r>
        <w:instrText xml:space="preserve"> REF _Ref71138280 \h  \* MERGEFORMAT </w:instrText>
      </w:r>
      <w:r>
        <w:fldChar w:fldCharType="separate"/>
      </w:r>
      <w:r>
        <w:t xml:space="preserve">Figure </w:t>
      </w:r>
      <w:r>
        <w:rPr>
          <w:noProof/>
        </w:rPr>
        <w:t>1</w:t>
      </w:r>
      <w:r>
        <w:fldChar w:fldCharType="end"/>
      </w:r>
      <w:r>
        <w:t xml:space="preserve"> </w:t>
      </w:r>
      <w:r w:rsidRPr="00211790">
        <w:rPr>
          <w:b/>
          <w:bCs/>
        </w:rPr>
        <w:t>(</w:t>
      </w:r>
      <w:r>
        <w:rPr>
          <w:b/>
          <w:bCs/>
        </w:rPr>
        <w:t>d</w:t>
      </w:r>
      <w:r w:rsidRPr="00211790">
        <w:rPr>
          <w:b/>
          <w:bCs/>
        </w:rPr>
        <w:t>)</w:t>
      </w:r>
      <w:r>
        <w:t xml:space="preserve">. It is apparent that for the same microneedle length an increase in the number of microneedles per array resulted in a statistically significant reduction in the microneedle penetration depth. Such a reduction in microneedle penetration depth with an increase in the number of microneedles per array can be attributed to the “bed of nails effect”. This is a situation where increasing the microneedle density per unit area results in a reduction in the penetration profile of the microneedles as the force applied to the array is now distributed over greater number of microneedles. Ultimately, the pressure exerted at the tip of microneedle will reduce resulting in a lower insertion depth </w:t>
      </w:r>
      <w:r>
        <w:fldChar w:fldCharType="begin" w:fldLock="1"/>
      </w:r>
      <w:r>
        <w:instrText>ADDIN CSL_CITATION {"citationItems":[{"id":"ITEM-1","itemData":{"DOI":"10.1016/j.jconrel.2010.08.008","ISSN":"0168-3659","author":[{"dropping-particle":"","family":"Donnelly","given":"Ryan F","non-dropping-particle":"","parse-names":false,"suffix":""},{"dropping-particle":"","family":"Garland","given":"Martin J","non-dropping-particle":"","parse-names":false,"suffix":""},{"dropping-particle":"","family":"Morrow","given":"Desmond I J","non-dropping-particle":"","parse-names":false,"suffix":""},{"dropping-particle":"","family":"Migalska","given":"Katarzyna","non-dropping-particle":"","parse-names":false,"suffix":""},{"dropping-particle":"","family":"Raghu","given":"Thakur","non-dropping-particle":"","parse-names":false,"suffix":""},{"dropping-particle":"","family":"Singh","given":"Raj","non-dropping-particle":"","parse-names":false,"suffix":""},{"dropping-particle":"","family":"Majithiya","given":"Rita","non-dropping-particle":"","parse-names":false,"suffix":""},{"dropping-particle":"","family":"Woolfson","given":"A David","non-dropping-particle":"","parse-names":false,"suffix":""}],"container-title":"Journal of Controlled Release","id":"ITEM-1","issue":"3","issued":{"date-parts":[["2010"]]},"page":"333-341","publisher":"Elsevier B.V.","title":"Optical coherence tomography is a valuable tool in the study of the effects of microneedle geometry on skin penetration characteristics and in-skin dissolution","type":"article-journal","volume":"147"},"uris":["http://www.mendeley.com/documents/?uuid=a4b65fb8-3aeb-4afe-9435-cb1e63cf1b5b"]}],"mendeley":{"formattedCitation":"&lt;sup&gt;43&lt;/sup&gt;","plainTextFormattedCitation":"43","previouslyFormattedCitation":"&lt;sup&gt;43&lt;/sup&gt;"},"properties":{"noteIndex":0},"schema":"https://github.com/citation-style-language/schema/raw/master/csl-citation.json"}</w:instrText>
      </w:r>
      <w:r>
        <w:fldChar w:fldCharType="separate"/>
      </w:r>
      <w:r w:rsidRPr="00DC475E">
        <w:rPr>
          <w:noProof/>
          <w:vertAlign w:val="superscript"/>
        </w:rPr>
        <w:t>43</w:t>
      </w:r>
      <w:r>
        <w:fldChar w:fldCharType="end"/>
      </w:r>
      <w:r>
        <w:t xml:space="preserve">. </w:t>
      </w:r>
    </w:p>
    <w:p w14:paraId="30D39CFE" w14:textId="77777777" w:rsidR="00DA7EF1" w:rsidRDefault="00DA7EF1" w:rsidP="00DA7EF1">
      <w:pPr>
        <w:spacing w:line="360" w:lineRule="auto"/>
        <w:ind w:firstLine="720"/>
      </w:pPr>
      <w:r>
        <w:lastRenderedPageBreak/>
        <w:t xml:space="preserve">In contrast, when the microneedle length was increased to 1000 µm, the microneedle penetration depth was similar. This suggests that the “bed of nail effect” may be more apparent with shorter microneedle lengths. Such findings may be attributed to the decrease in </w:t>
      </w:r>
      <w:r w:rsidRPr="007F73FF">
        <w:t>collagen and elastin levels</w:t>
      </w:r>
      <w:r>
        <w:t xml:space="preserve"> with increasing skin depth </w:t>
      </w:r>
      <w:r>
        <w:fldChar w:fldCharType="begin" w:fldLock="1"/>
      </w:r>
      <w:r>
        <w:instrText>ADDIN CSL_CITATION {"citationItems":[{"id":"ITEM-1","itemData":{"DOI":"10.3390/cosmetics1030211","ISBN":"3324705231","ISSN":"20799284","abstract":"The aim of this study was to evaluate the influence of the depth of the dermis on the measured collagen and elastin levels and to establish the correlation between the amount of these two extracellular matrix (ECM) components and age. Multiphoton Microscopy (MPM) that measures the autofluorescence (AF) and second harmonic generation (SHG) was used to quantify the levels of elastin and collagen and to determine the SAAID (SHG-to-AF Aging Index of Dermis) at two different skin depths. A 50 MHz ultrasound scanner was used for the calculation of the Sub Epidermal Non Echogenic Band (SENEB). The measurements of the skin mechanical properties were done with a cutometer. All measurements were performed on two groups of 30 healthy female volunteers. The MPM showed a decrease of the quantity of collagen and elastin as a function of depth of the dermis as well as age. The SAAID was lower for the older skin in the deeper dermis. Ultrasound imaging revealed a significant decrease of SENEB as a function of aging. The mechanical properties confirmed a loss of cutaneous elasticity and firmness. Although multiphoton microscopy is a powerful technique to study the characteristics of the dermis and its age-related damage, the location of the measurements (depth) remains very important for the validation of these variations. These variations do not seem to be homogeneous according to the part of the dermis that is studied.","author":[{"dropping-particle":"","family":"Pittet","given":"Jean Christophe","non-dropping-particle":"","parse-names":false,"suffix":""},{"dropping-particle":"","family":"Freis","given":"Olga","non-dropping-particle":"","parse-names":false,"suffix":""},{"dropping-particle":"","family":"Vazquez-Duchêne","given":"Marie Danielle","non-dropping-particle":"","parse-names":false,"suffix":""},{"dropping-particle":"","family":"Périé","given":"Gilles","non-dropping-particle":"","parse-names":false,"suffix":""},{"dropping-particle":"","family":"Pauly","given":"Gilles","non-dropping-particle":"","parse-names":false,"suffix":""}],"container-title":"Cosmetics","id":"ITEM-1","issue":"3","issued":{"date-parts":[["2014"]]},"page":"211-221","title":"Evaluation of elastin/collagen content in human dermis in-vivo by multiphoton tomography-variation with depth and correlation with aging","type":"article-journal","volume":"1"},"uris":["http://www.mendeley.com/documents/?uuid=5170c3b1-4e98-4b12-b6d2-fe7b1779582d"]}],"mendeley":{"formattedCitation":"&lt;sup&gt;44&lt;/sup&gt;","plainTextFormattedCitation":"44","previouslyFormattedCitation":"&lt;sup&gt;44&lt;/sup&gt;"},"properties":{"noteIndex":0},"schema":"https://github.com/citation-style-language/schema/raw/master/csl-citation.json"}</w:instrText>
      </w:r>
      <w:r>
        <w:fldChar w:fldCharType="separate"/>
      </w:r>
      <w:r w:rsidRPr="00DC475E">
        <w:rPr>
          <w:noProof/>
          <w:vertAlign w:val="superscript"/>
        </w:rPr>
        <w:t>44</w:t>
      </w:r>
      <w:r>
        <w:fldChar w:fldCharType="end"/>
      </w:r>
      <w:r>
        <w:t xml:space="preserve">. When shorter microneedles are applied to the skin, these microneedles will encounter a dense fibrous network of elastin and collagen that provides a significant level of resistance to microneedle insertion. In such instances, an array with lower microneedle number will experience less “bed of nail” effect thus having sufficient pressure to pierce these networks of collagen and elastin resulting in deeper insertion. However, when the </w:t>
      </w:r>
      <w:proofErr w:type="spellStart"/>
      <w:r>
        <w:t>Dermapen</w:t>
      </w:r>
      <w:proofErr w:type="spellEnd"/>
      <w:r>
        <w:t xml:space="preserve">® was set to 1000 µm, the microneedle penetration profile reached an insertion depth that has a lower density of elastin and collagen networks. At such depth, these network no longer provide sufficient resistance to microneedle insertion thus overriding the “bed of nail” effect.   </w:t>
      </w:r>
    </w:p>
    <w:p w14:paraId="413A8062" w14:textId="25015753" w:rsidR="00DA7EF1" w:rsidRPr="00E43956" w:rsidRDefault="00DA7EF1" w:rsidP="00DA7EF1">
      <w:pPr>
        <w:spacing w:line="360" w:lineRule="auto"/>
        <w:ind w:firstLine="720"/>
        <w:rPr>
          <w:color w:val="000000" w:themeColor="text1"/>
        </w:rPr>
      </w:pPr>
      <w:r>
        <w:rPr>
          <w:color w:val="000000" w:themeColor="text1"/>
        </w:rPr>
        <w:t xml:space="preserve">. </w:t>
      </w:r>
      <w:r w:rsidRPr="00BD7205">
        <w:rPr>
          <w:color w:val="000000" w:themeColor="text1"/>
        </w:rPr>
        <w:t xml:space="preserve">It can be seen from </w:t>
      </w:r>
      <w:r w:rsidRPr="00BD7205">
        <w:rPr>
          <w:color w:val="000000" w:themeColor="text1"/>
        </w:rPr>
        <w:fldChar w:fldCharType="begin"/>
      </w:r>
      <w:r w:rsidRPr="00BD7205">
        <w:rPr>
          <w:color w:val="000000" w:themeColor="text1"/>
        </w:rPr>
        <w:instrText xml:space="preserve"> REF _Ref71138280 \h </w:instrText>
      </w:r>
      <w:r w:rsidRPr="00BD7205">
        <w:rPr>
          <w:color w:val="000000" w:themeColor="text1"/>
        </w:rPr>
      </w:r>
      <w:r w:rsidRPr="00BD7205">
        <w:rPr>
          <w:color w:val="000000" w:themeColor="text1"/>
        </w:rPr>
        <w:fldChar w:fldCharType="separate"/>
      </w:r>
      <w:r w:rsidRPr="00BD7205">
        <w:rPr>
          <w:color w:val="000000" w:themeColor="text1"/>
        </w:rPr>
        <w:t xml:space="preserve">Figure </w:t>
      </w:r>
      <w:r w:rsidRPr="00BD7205">
        <w:rPr>
          <w:noProof/>
          <w:color w:val="000000" w:themeColor="text1"/>
        </w:rPr>
        <w:t>1</w:t>
      </w:r>
      <w:r w:rsidRPr="00BD7205">
        <w:rPr>
          <w:color w:val="000000" w:themeColor="text1"/>
        </w:rPr>
        <w:fldChar w:fldCharType="end"/>
      </w:r>
      <w:r w:rsidRPr="00BD7205">
        <w:rPr>
          <w:color w:val="000000" w:themeColor="text1"/>
        </w:rPr>
        <w:t xml:space="preserve"> that all the microneedle </w:t>
      </w:r>
      <w:r>
        <w:rPr>
          <w:color w:val="000000" w:themeColor="text1"/>
        </w:rPr>
        <w:t>lengths</w:t>
      </w:r>
      <w:r w:rsidRPr="00BD7205">
        <w:rPr>
          <w:color w:val="000000" w:themeColor="text1"/>
        </w:rPr>
        <w:t xml:space="preserve"> evaluated resulted in insertion depth</w:t>
      </w:r>
      <w:r>
        <w:rPr>
          <w:color w:val="000000" w:themeColor="text1"/>
        </w:rPr>
        <w:t>s</w:t>
      </w:r>
      <w:r w:rsidRPr="00BD7205">
        <w:rPr>
          <w:color w:val="000000" w:themeColor="text1"/>
        </w:rPr>
        <w:t xml:space="preserve"> that were greater than </w:t>
      </w:r>
      <w:r>
        <w:rPr>
          <w:color w:val="000000" w:themeColor="text1"/>
        </w:rPr>
        <w:t>4</w:t>
      </w:r>
      <w:r w:rsidRPr="00BD7205">
        <w:rPr>
          <w:color w:val="000000" w:themeColor="text1"/>
        </w:rPr>
        <w:t xml:space="preserve">00 µm, suggesting that all the </w:t>
      </w:r>
      <w:r>
        <w:rPr>
          <w:color w:val="000000" w:themeColor="text1"/>
        </w:rPr>
        <w:t>lengths</w:t>
      </w:r>
      <w:r w:rsidRPr="00BD7205">
        <w:rPr>
          <w:color w:val="000000" w:themeColor="text1"/>
        </w:rPr>
        <w:t xml:space="preserve"> evaluated would reach </w:t>
      </w:r>
      <w:r>
        <w:rPr>
          <w:color w:val="000000" w:themeColor="text1"/>
        </w:rPr>
        <w:t>this target depth where subdermal bacteria reside</w:t>
      </w:r>
      <w:r w:rsidRPr="00BD7205">
        <w:rPr>
          <w:color w:val="000000" w:themeColor="text1"/>
        </w:rPr>
        <w:t xml:space="preserve">. </w:t>
      </w:r>
      <w:r>
        <w:rPr>
          <w:color w:val="000000" w:themeColor="text1"/>
        </w:rPr>
        <w:t xml:space="preserve">Guided </w:t>
      </w:r>
      <w:r>
        <w:t>by this skin insertion study data</w:t>
      </w:r>
      <w:r>
        <w:rPr>
          <w:color w:val="000000" w:themeColor="text1"/>
        </w:rPr>
        <w:t xml:space="preserve">, we </w:t>
      </w:r>
      <w:r>
        <w:t>selected the 750 µm length microneedles (</w:t>
      </w:r>
      <w:proofErr w:type="spellStart"/>
      <w:r>
        <w:t>Dermapen</w:t>
      </w:r>
      <w:proofErr w:type="spellEnd"/>
      <w:r w:rsidRPr="00DD79D8">
        <w:rPr>
          <w:vertAlign w:val="superscript"/>
        </w:rPr>
        <w:t>®</w:t>
      </w:r>
      <w:r>
        <w:t xml:space="preserve">) for the skin permeation study as this would allow the microneedles to generate sufficiently deep </w:t>
      </w:r>
      <w:proofErr w:type="spellStart"/>
      <w:r>
        <w:t>microchannels</w:t>
      </w:r>
      <w:proofErr w:type="spellEnd"/>
      <w:r>
        <w:t xml:space="preserve"> for the delivery of CHG to treat </w:t>
      </w:r>
      <w:proofErr w:type="spellStart"/>
      <w:r>
        <w:rPr>
          <w:color w:val="000000" w:themeColor="text1"/>
        </w:rPr>
        <w:t>subepidermal</w:t>
      </w:r>
      <w:proofErr w:type="spellEnd"/>
      <w:r>
        <w:rPr>
          <w:color w:val="000000" w:themeColor="text1"/>
        </w:rPr>
        <w:t xml:space="preserve"> bacteria</w:t>
      </w:r>
      <w:r>
        <w:t>.</w:t>
      </w:r>
      <w:r>
        <w:rPr>
          <w:color w:val="000000" w:themeColor="text1"/>
        </w:rPr>
        <w:t xml:space="preserve"> Microneedles with lengths of 1000 </w:t>
      </w:r>
      <w:r>
        <w:t xml:space="preserve">µm were deemed too long and would result in increased pain among patients. This is based on the findings of Gill </w:t>
      </w:r>
      <w:r>
        <w:rPr>
          <w:i/>
          <w:iCs/>
        </w:rPr>
        <w:t>et al</w:t>
      </w:r>
      <w:r>
        <w:t xml:space="preserve">. who showed that longer microneedle length resulted in higher pain sensation among healthy human volunteers </w:t>
      </w:r>
      <w:r>
        <w:fldChar w:fldCharType="begin" w:fldLock="1"/>
      </w:r>
      <w:r>
        <w:instrText>ADDIN CSL_CITATION {"citationItems":[{"id":"ITEM-1","itemData":{"DOI":"10.1097/AJP.0b013e31816778f9","author":[{"dropping-particle":"","family":"Gill","given":"Harvinder S","non-dropping-particle":"","parse-names":false,"suffix":""},{"dropping-particle":"","family":"Denson","given":"Donald D","non-dropping-particle":"","parse-names":false,"suffix":""},{"dropping-particle":"","family":"Burris","given":"Brett A","non-dropping-particle":"","parse-names":false,"suffix":""},{"dropping-particle":"","family":"Prausnitz","given":"Mark R","non-dropping-particle":"","parse-names":false,"suffix":""}],"container-title":"Clin J Pain","id":"ITEM-1","issue":"7","issued":{"date-parts":[["2008"]]},"page":"585-594","title":"Effect of Microneedle Design on Pain in Human Volunteers","type":"article-journal","volume":"24"},"uris":["http://www.mendeley.com/documents/?uuid=4cf9dfe2-cba7-41cf-9801-665aed7d1534"]}],"mendeley":{"formattedCitation":"&lt;sup&gt;45&lt;/sup&gt;","plainTextFormattedCitation":"45","previouslyFormattedCitation":"&lt;sup&gt;45&lt;/sup&gt;"},"properties":{"noteIndex":0},"schema":"https://github.com/citation-style-language/schema/raw/master/csl-citation.json"}</w:instrText>
      </w:r>
      <w:r>
        <w:fldChar w:fldCharType="separate"/>
      </w:r>
      <w:r w:rsidRPr="00DC475E">
        <w:rPr>
          <w:noProof/>
          <w:vertAlign w:val="superscript"/>
        </w:rPr>
        <w:t>45</w:t>
      </w:r>
      <w:r>
        <w:fldChar w:fldCharType="end"/>
      </w:r>
      <w:r>
        <w:t>.</w:t>
      </w:r>
    </w:p>
    <w:p w14:paraId="7C5C0DB5" w14:textId="77777777" w:rsidR="003F60B7" w:rsidRDefault="00467FD1"/>
    <w:sectPr w:rsidR="003F60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EF1"/>
    <w:rsid w:val="00240DE6"/>
    <w:rsid w:val="0030170A"/>
    <w:rsid w:val="004022C9"/>
    <w:rsid w:val="00467FD1"/>
    <w:rsid w:val="00641F1B"/>
    <w:rsid w:val="0083202E"/>
    <w:rsid w:val="0086453F"/>
    <w:rsid w:val="00911914"/>
    <w:rsid w:val="00BD595C"/>
    <w:rsid w:val="00BF143F"/>
    <w:rsid w:val="00CA5955"/>
    <w:rsid w:val="00DA7EF1"/>
    <w:rsid w:val="00E62146"/>
    <w:rsid w:val="00ED6CDF"/>
    <w:rsid w:val="00F22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C3FFF"/>
  <w15:docId w15:val="{0A0A5BD6-A9D2-4690-B567-4F1AEC45E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EF1"/>
    <w:pPr>
      <w:jc w:val="both"/>
    </w:pPr>
    <w:rPr>
      <w:rFonts w:eastAsia="Times New Roman" w:cstheme="minorHAnsi"/>
      <w:sz w:val="24"/>
      <w:szCs w:val="24"/>
      <w:lang w:eastAsia="en-GB"/>
    </w:rPr>
  </w:style>
  <w:style w:type="paragraph" w:styleId="Heading2">
    <w:name w:val="heading 2"/>
    <w:basedOn w:val="Normal"/>
    <w:next w:val="Normal"/>
    <w:link w:val="Heading2Char"/>
    <w:uiPriority w:val="9"/>
    <w:unhideWhenUsed/>
    <w:qFormat/>
    <w:rsid w:val="0083202E"/>
    <w:pP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DA7EF1"/>
    <w:pPr>
      <w:keepNext/>
      <w:spacing w:after="200"/>
    </w:pPr>
    <w:rPr>
      <w:i/>
      <w:iCs/>
      <w:noProof/>
      <w:color w:val="000000" w:themeColor="text1"/>
      <w:sz w:val="18"/>
      <w:szCs w:val="18"/>
    </w:rPr>
  </w:style>
  <w:style w:type="character" w:styleId="CommentReference">
    <w:name w:val="annotation reference"/>
    <w:basedOn w:val="DefaultParagraphFont"/>
    <w:uiPriority w:val="99"/>
    <w:semiHidden/>
    <w:unhideWhenUsed/>
    <w:rsid w:val="00DA7EF1"/>
    <w:rPr>
      <w:sz w:val="16"/>
      <w:szCs w:val="16"/>
    </w:rPr>
  </w:style>
  <w:style w:type="paragraph" w:styleId="CommentText">
    <w:name w:val="annotation text"/>
    <w:basedOn w:val="Normal"/>
    <w:link w:val="CommentTextChar"/>
    <w:uiPriority w:val="99"/>
    <w:semiHidden/>
    <w:unhideWhenUsed/>
    <w:rsid w:val="00DA7EF1"/>
    <w:rPr>
      <w:sz w:val="20"/>
      <w:szCs w:val="20"/>
    </w:rPr>
  </w:style>
  <w:style w:type="character" w:customStyle="1" w:styleId="CommentTextChar">
    <w:name w:val="Comment Text Char"/>
    <w:basedOn w:val="DefaultParagraphFont"/>
    <w:link w:val="CommentText"/>
    <w:uiPriority w:val="99"/>
    <w:semiHidden/>
    <w:rsid w:val="00DA7EF1"/>
    <w:rPr>
      <w:rFonts w:eastAsia="Times New Roman" w:cstheme="minorHAnsi"/>
      <w:sz w:val="20"/>
      <w:szCs w:val="20"/>
      <w:lang w:eastAsia="en-GB"/>
    </w:rPr>
  </w:style>
  <w:style w:type="paragraph" w:styleId="BalloonText">
    <w:name w:val="Balloon Text"/>
    <w:basedOn w:val="Normal"/>
    <w:link w:val="BalloonTextChar"/>
    <w:uiPriority w:val="99"/>
    <w:semiHidden/>
    <w:unhideWhenUsed/>
    <w:rsid w:val="00DA7E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7EF1"/>
    <w:rPr>
      <w:rFonts w:ascii="Segoe UI" w:eastAsia="Times New Roman" w:hAnsi="Segoe UI" w:cs="Segoe UI"/>
      <w:sz w:val="18"/>
      <w:szCs w:val="18"/>
      <w:lang w:eastAsia="en-GB"/>
    </w:rPr>
  </w:style>
  <w:style w:type="character" w:customStyle="1" w:styleId="Heading2Char">
    <w:name w:val="Heading 2 Char"/>
    <w:basedOn w:val="DefaultParagraphFont"/>
    <w:link w:val="Heading2"/>
    <w:uiPriority w:val="9"/>
    <w:rsid w:val="0083202E"/>
    <w:rPr>
      <w:rFonts w:eastAsia="Times New Roman" w:cstheme="minorHAnsi"/>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6624</Words>
  <Characters>37759</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Gary Moss</dc:creator>
  <cp:lastModifiedBy>Rhalf Dagunton</cp:lastModifiedBy>
  <cp:revision>7</cp:revision>
  <dcterms:created xsi:type="dcterms:W3CDTF">2022-04-29T16:11:00Z</dcterms:created>
  <dcterms:modified xsi:type="dcterms:W3CDTF">2022-06-08T04:48:00Z</dcterms:modified>
</cp:coreProperties>
</file>