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2CEE4" w14:textId="366DECD3" w:rsidR="004910B3" w:rsidRDefault="004910B3" w:rsidP="002A22A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2A2">
        <w:rPr>
          <w:rFonts w:ascii="Times New Roman" w:hAnsi="Times New Roman" w:cs="Times New Roman"/>
          <w:b/>
          <w:bCs/>
          <w:sz w:val="24"/>
          <w:szCs w:val="24"/>
        </w:rPr>
        <w:t>Mechanism of Insoluble Aggregate Formation in a Reconstituted Solution of Spray-Dried Protein Powder</w:t>
      </w:r>
    </w:p>
    <w:p w14:paraId="72C9B9E7" w14:textId="6CCF10E8" w:rsidR="002A22A2" w:rsidRPr="002A22A2" w:rsidRDefault="002A22A2" w:rsidP="002A22A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F268A" w14:textId="2DF07CDA" w:rsidR="002A22A2" w:rsidRDefault="004910B3" w:rsidP="002A22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B3">
        <w:rPr>
          <w:rFonts w:ascii="Times New Roman" w:hAnsi="Times New Roman" w:cs="Times New Roman"/>
          <w:sz w:val="24"/>
          <w:szCs w:val="24"/>
        </w:rPr>
        <w:t>Tao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4910B3">
        <w:rPr>
          <w:rFonts w:ascii="Times New Roman" w:hAnsi="Times New Roman" w:cs="Times New Roman"/>
          <w:sz w:val="24"/>
          <w:szCs w:val="24"/>
        </w:rPr>
        <w:t>, Chen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Pr="004910B3">
        <w:rPr>
          <w:rFonts w:ascii="Times New Roman" w:hAnsi="Times New Roman" w:cs="Times New Roman"/>
          <w:sz w:val="24"/>
          <w:szCs w:val="24"/>
        </w:rPr>
        <w:t>,</w:t>
      </w:r>
      <w:r w:rsidR="002A22A2">
        <w:rPr>
          <w:rFonts w:ascii="Times New Roman" w:hAnsi="Times New Roman" w:cs="Times New Roman"/>
          <w:sz w:val="24"/>
          <w:szCs w:val="24"/>
        </w:rPr>
        <w:t xml:space="preserve"> </w:t>
      </w:r>
      <w:r w:rsidRPr="004910B3">
        <w:rPr>
          <w:rFonts w:ascii="Times New Roman" w:hAnsi="Times New Roman" w:cs="Times New Roman"/>
          <w:sz w:val="24"/>
          <w:szCs w:val="24"/>
        </w:rPr>
        <w:t>Howard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 w:rsidRPr="004910B3">
        <w:rPr>
          <w:rFonts w:ascii="Times New Roman" w:hAnsi="Times New Roman" w:cs="Times New Roman"/>
          <w:sz w:val="24"/>
          <w:szCs w:val="24"/>
        </w:rPr>
        <w:t>, Ibrahim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4910B3">
        <w:rPr>
          <w:rFonts w:ascii="Times New Roman" w:hAnsi="Times New Roman" w:cs="Times New Roman"/>
          <w:sz w:val="24"/>
          <w:szCs w:val="24"/>
        </w:rPr>
        <w:t>, Patel</w:t>
      </w:r>
      <w:r w:rsidR="002A22A2">
        <w:rPr>
          <w:rFonts w:ascii="Times New Roman" w:hAnsi="Times New Roman" w:cs="Times New Roman"/>
          <w:sz w:val="24"/>
          <w:szCs w:val="24"/>
        </w:rPr>
        <w:t xml:space="preserve"> SM</w:t>
      </w:r>
      <w:r w:rsidRPr="004910B3">
        <w:rPr>
          <w:rFonts w:ascii="Times New Roman" w:hAnsi="Times New Roman" w:cs="Times New Roman"/>
          <w:sz w:val="24"/>
          <w:szCs w:val="24"/>
        </w:rPr>
        <w:t>, McMahon</w:t>
      </w:r>
      <w:r w:rsidR="002A22A2">
        <w:rPr>
          <w:rFonts w:ascii="Times New Roman" w:hAnsi="Times New Roman" w:cs="Times New Roman"/>
          <w:sz w:val="24"/>
          <w:szCs w:val="24"/>
        </w:rPr>
        <w:t xml:space="preserve"> WP</w:t>
      </w:r>
      <w:r w:rsidRPr="004910B3">
        <w:rPr>
          <w:rFonts w:ascii="Times New Roman" w:hAnsi="Times New Roman" w:cs="Times New Roman"/>
          <w:sz w:val="24"/>
          <w:szCs w:val="24"/>
        </w:rPr>
        <w:t>, Kim</w:t>
      </w:r>
      <w:r w:rsidR="002A22A2">
        <w:rPr>
          <w:rFonts w:ascii="Times New Roman" w:hAnsi="Times New Roman" w:cs="Times New Roman"/>
          <w:sz w:val="24"/>
          <w:szCs w:val="24"/>
        </w:rPr>
        <w:t xml:space="preserve"> YJ</w:t>
      </w:r>
      <w:r w:rsidRPr="004910B3">
        <w:rPr>
          <w:rFonts w:ascii="Times New Roman" w:hAnsi="Times New Roman" w:cs="Times New Roman"/>
          <w:sz w:val="24"/>
          <w:szCs w:val="24"/>
        </w:rPr>
        <w:t>,</w:t>
      </w:r>
    </w:p>
    <w:p w14:paraId="0368B9B5" w14:textId="6D61441E" w:rsidR="004910B3" w:rsidRDefault="004910B3" w:rsidP="002A22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B3">
        <w:rPr>
          <w:rFonts w:ascii="Times New Roman" w:hAnsi="Times New Roman" w:cs="Times New Roman"/>
          <w:sz w:val="24"/>
          <w:szCs w:val="24"/>
        </w:rPr>
        <w:t>Delmar</w:t>
      </w:r>
      <w:r w:rsidR="002A22A2">
        <w:rPr>
          <w:rFonts w:ascii="Times New Roman" w:hAnsi="Times New Roman" w:cs="Times New Roman"/>
          <w:sz w:val="24"/>
          <w:szCs w:val="24"/>
        </w:rPr>
        <w:t xml:space="preserve"> JA</w:t>
      </w:r>
      <w:r w:rsidRPr="004910B3">
        <w:rPr>
          <w:rFonts w:ascii="Times New Roman" w:hAnsi="Times New Roman" w:cs="Times New Roman"/>
          <w:sz w:val="24"/>
          <w:szCs w:val="24"/>
        </w:rPr>
        <w:t>, Davis</w:t>
      </w:r>
      <w:r w:rsidR="002A22A2">
        <w:rPr>
          <w:rFonts w:ascii="Times New Roman" w:hAnsi="Times New Roman" w:cs="Times New Roman"/>
          <w:sz w:val="24"/>
          <w:szCs w:val="24"/>
        </w:rPr>
        <w:t xml:space="preserve"> D</w:t>
      </w:r>
    </w:p>
    <w:p w14:paraId="1F33FBC1" w14:textId="477F3101" w:rsidR="002A22A2" w:rsidRDefault="00116760" w:rsidP="002A22A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225" w:dyaOrig="225" w14:anchorId="19D693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0.65pt;margin-top:12.45pt;width:595.65pt;height:744.5pt;z-index:-251657216;mso-position-horizontal-relative:text;mso-position-vertical-relative:text">
            <v:imagedata r:id="rId7" o:title=""/>
          </v:shape>
          <o:OLEObject Type="Embed" ProgID="AcroExch.Document.7" ShapeID="_x0000_s1026" DrawAspect="Content" ObjectID="_1744182754" r:id="rId8"/>
        </w:object>
      </w:r>
    </w:p>
    <w:p w14:paraId="5105EE76" w14:textId="6A938B99" w:rsidR="002A22A2" w:rsidRPr="002A22A2" w:rsidRDefault="002A22A2" w:rsidP="002A22A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22A2">
        <w:rPr>
          <w:rFonts w:ascii="Times New Roman" w:hAnsi="Times New Roman" w:cs="Times New Roman"/>
          <w:b/>
          <w:bCs/>
          <w:sz w:val="24"/>
          <w:szCs w:val="24"/>
        </w:rPr>
        <w:t>Supplemental Information</w:t>
      </w:r>
    </w:p>
    <w:p w14:paraId="23A9A8F8" w14:textId="66CA38F9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2ED4D7D1" w14:textId="7482F66B" w:rsidR="004910B3" w:rsidRDefault="004910B3" w:rsidP="00B8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AF5E8F" w14:textId="7399D038" w:rsidR="004910B3" w:rsidRDefault="004910B3" w:rsidP="00B8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A7FA9B" w14:textId="35A5E525" w:rsidR="004910B3" w:rsidRDefault="004910B3" w:rsidP="00B8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AA570C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45C88F77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107F5B1C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53CFFAD1" w14:textId="1B8A40FF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6AED88E3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3AD56641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24A0C46D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76B40779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66411A43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1B8B4658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7C8962AE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1813905C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2F2F53B2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3EEBE9C1" w14:textId="77777777" w:rsidR="004910B3" w:rsidRDefault="004910B3">
      <w:pPr>
        <w:rPr>
          <w:rFonts w:ascii="Times New Roman" w:hAnsi="Times New Roman" w:cs="Times New Roman"/>
          <w:sz w:val="24"/>
          <w:szCs w:val="24"/>
        </w:rPr>
      </w:pPr>
    </w:p>
    <w:p w14:paraId="24056590" w14:textId="77777777" w:rsidR="00116760" w:rsidRDefault="0011676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473A51" w14:textId="46BEF7BC" w:rsidR="004910B3" w:rsidRDefault="004910B3">
      <w:pPr>
        <w:rPr>
          <w:rFonts w:ascii="Times New Roman" w:hAnsi="Times New Roman" w:cs="Times New Roman"/>
          <w:sz w:val="24"/>
          <w:szCs w:val="24"/>
        </w:rPr>
      </w:pPr>
      <w:r w:rsidRPr="004910B3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910B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910B3">
        <w:rPr>
          <w:rFonts w:ascii="Times New Roman" w:hAnsi="Times New Roman" w:cs="Times New Roman"/>
          <w:sz w:val="24"/>
          <w:szCs w:val="24"/>
        </w:rPr>
        <w:t xml:space="preserve"> HDX results for</w:t>
      </w:r>
      <w:r w:rsidR="002A22A2">
        <w:rPr>
          <w:rFonts w:ascii="Times New Roman" w:hAnsi="Times New Roman" w:cs="Times New Roman"/>
          <w:sz w:val="24"/>
          <w:szCs w:val="24"/>
        </w:rPr>
        <w:t xml:space="preserve"> comparison of</w:t>
      </w:r>
      <w:r w:rsidRPr="004910B3">
        <w:rPr>
          <w:rFonts w:ascii="Times New Roman" w:hAnsi="Times New Roman" w:cs="Times New Roman"/>
          <w:sz w:val="24"/>
          <w:szCs w:val="24"/>
        </w:rPr>
        <w:t xml:space="preserve"> Fab-1 supernatant and aggregates at 0°C. </w:t>
      </w:r>
      <w:r w:rsidR="002A22A2">
        <w:rPr>
          <w:rFonts w:ascii="Times New Roman" w:hAnsi="Times New Roman" w:cs="Times New Roman"/>
          <w:sz w:val="24"/>
          <w:szCs w:val="24"/>
        </w:rPr>
        <w:t>(</w:t>
      </w:r>
      <w:r w:rsidRPr="004910B3">
        <w:rPr>
          <w:rFonts w:ascii="Times New Roman" w:hAnsi="Times New Roman" w:cs="Times New Roman"/>
          <w:sz w:val="24"/>
          <w:szCs w:val="24"/>
        </w:rPr>
        <w:t>a</w:t>
      </w:r>
      <w:r w:rsidR="002A22A2">
        <w:rPr>
          <w:rFonts w:ascii="Times New Roman" w:hAnsi="Times New Roman" w:cs="Times New Roman"/>
          <w:sz w:val="24"/>
          <w:szCs w:val="24"/>
        </w:rPr>
        <w:t>)</w:t>
      </w:r>
      <w:r w:rsidRPr="004910B3">
        <w:rPr>
          <w:rFonts w:ascii="Times New Roman" w:hAnsi="Times New Roman" w:cs="Times New Roman"/>
          <w:sz w:val="24"/>
          <w:szCs w:val="24"/>
        </w:rPr>
        <w:t xml:space="preserve"> </w:t>
      </w:r>
      <w:r w:rsidR="002A22A2">
        <w:rPr>
          <w:rFonts w:ascii="Times New Roman" w:hAnsi="Times New Roman" w:cs="Times New Roman"/>
          <w:sz w:val="24"/>
          <w:szCs w:val="24"/>
        </w:rPr>
        <w:t>Deuterium uptake (</w:t>
      </w:r>
      <w:r w:rsidRPr="004910B3">
        <w:rPr>
          <w:rFonts w:ascii="Times New Roman" w:hAnsi="Times New Roman" w:cs="Times New Roman"/>
          <w:sz w:val="24"/>
          <w:szCs w:val="24"/>
        </w:rPr>
        <w:t>D-uptake</w:t>
      </w:r>
      <w:r w:rsidR="002A22A2">
        <w:rPr>
          <w:rFonts w:ascii="Times New Roman" w:hAnsi="Times New Roman" w:cs="Times New Roman"/>
          <w:sz w:val="24"/>
          <w:szCs w:val="24"/>
        </w:rPr>
        <w:t>)</w:t>
      </w:r>
      <w:r w:rsidRPr="004910B3">
        <w:rPr>
          <w:rFonts w:ascii="Times New Roman" w:hAnsi="Times New Roman" w:cs="Times New Roman"/>
          <w:sz w:val="24"/>
          <w:szCs w:val="24"/>
        </w:rPr>
        <w:t xml:space="preserve"> plots (measurements in duplicate) indicates </w:t>
      </w:r>
      <w:r w:rsidR="000A4DF8">
        <w:rPr>
          <w:rFonts w:ascii="Times New Roman" w:hAnsi="Times New Roman" w:cs="Times New Roman"/>
          <w:sz w:val="24"/>
          <w:szCs w:val="24"/>
        </w:rPr>
        <w:t xml:space="preserve">that </w:t>
      </w:r>
      <w:r w:rsidRPr="004910B3">
        <w:rPr>
          <w:rFonts w:ascii="Times New Roman" w:hAnsi="Times New Roman" w:cs="Times New Roman"/>
          <w:sz w:val="24"/>
          <w:szCs w:val="24"/>
        </w:rPr>
        <w:t xml:space="preserve">two peptides in </w:t>
      </w:r>
      <w:r w:rsidR="000A4DF8">
        <w:rPr>
          <w:rFonts w:ascii="Times New Roman" w:hAnsi="Times New Roman" w:cs="Times New Roman"/>
          <w:sz w:val="24"/>
          <w:szCs w:val="24"/>
        </w:rPr>
        <w:t>heavy-chain complementary-determining region 1 (</w:t>
      </w:r>
      <w:r w:rsidRPr="004910B3">
        <w:rPr>
          <w:rFonts w:ascii="Times New Roman" w:hAnsi="Times New Roman" w:cs="Times New Roman"/>
          <w:sz w:val="24"/>
          <w:szCs w:val="24"/>
        </w:rPr>
        <w:t>CDR</w:t>
      </w:r>
      <w:r w:rsidR="000A4DF8">
        <w:rPr>
          <w:rFonts w:ascii="Times New Roman" w:hAnsi="Times New Roman" w:cs="Times New Roman"/>
          <w:sz w:val="24"/>
          <w:szCs w:val="24"/>
        </w:rPr>
        <w:t>-</w:t>
      </w:r>
      <w:r w:rsidRPr="004910B3">
        <w:rPr>
          <w:rFonts w:ascii="Times New Roman" w:hAnsi="Times New Roman" w:cs="Times New Roman"/>
          <w:sz w:val="24"/>
          <w:szCs w:val="24"/>
        </w:rPr>
        <w:t>1</w:t>
      </w:r>
      <w:r w:rsidR="000A4DF8">
        <w:rPr>
          <w:rFonts w:ascii="Times New Roman" w:hAnsi="Times New Roman" w:cs="Times New Roman"/>
          <w:sz w:val="24"/>
          <w:szCs w:val="24"/>
        </w:rPr>
        <w:t>)</w:t>
      </w:r>
      <w:r w:rsidRPr="004910B3">
        <w:rPr>
          <w:rFonts w:ascii="Times New Roman" w:hAnsi="Times New Roman" w:cs="Times New Roman"/>
          <w:sz w:val="24"/>
          <w:szCs w:val="24"/>
        </w:rPr>
        <w:t xml:space="preserve"> are critical regions for aggregation formation. The supernatant (red) compared with the aggregates (blue) show D-uptake reduction in AA24</w:t>
      </w:r>
      <w:r w:rsidR="000A4DF8">
        <w:rPr>
          <w:rFonts w:ascii="Calibri" w:hAnsi="Calibri" w:cs="Calibri"/>
          <w:sz w:val="24"/>
          <w:szCs w:val="24"/>
        </w:rPr>
        <w:t>–</w:t>
      </w:r>
      <w:r w:rsidRPr="004910B3">
        <w:rPr>
          <w:rFonts w:ascii="Times New Roman" w:hAnsi="Times New Roman" w:cs="Times New Roman"/>
          <w:sz w:val="24"/>
          <w:szCs w:val="24"/>
        </w:rPr>
        <w:t>28 and AA24</w:t>
      </w:r>
      <w:r w:rsidR="000A4DF8">
        <w:rPr>
          <w:rFonts w:ascii="Calibri" w:hAnsi="Calibri" w:cs="Calibri"/>
          <w:sz w:val="24"/>
          <w:szCs w:val="24"/>
        </w:rPr>
        <w:t>–</w:t>
      </w:r>
      <w:r w:rsidRPr="004910B3">
        <w:rPr>
          <w:rFonts w:ascii="Times New Roman" w:hAnsi="Times New Roman" w:cs="Times New Roman"/>
          <w:sz w:val="24"/>
          <w:szCs w:val="24"/>
        </w:rPr>
        <w:t xml:space="preserve">29, suggesting </w:t>
      </w:r>
      <w:r w:rsidR="000A4DF8">
        <w:rPr>
          <w:rFonts w:ascii="Times New Roman" w:hAnsi="Times New Roman" w:cs="Times New Roman"/>
          <w:sz w:val="24"/>
          <w:szCs w:val="24"/>
        </w:rPr>
        <w:t xml:space="preserve">that </w:t>
      </w:r>
      <w:r w:rsidRPr="004910B3">
        <w:rPr>
          <w:rFonts w:ascii="Times New Roman" w:hAnsi="Times New Roman" w:cs="Times New Roman"/>
          <w:sz w:val="24"/>
          <w:szCs w:val="24"/>
        </w:rPr>
        <w:t>the protein form</w:t>
      </w:r>
      <w:r w:rsidR="000A4DF8">
        <w:rPr>
          <w:rFonts w:ascii="Times New Roman" w:hAnsi="Times New Roman" w:cs="Times New Roman"/>
          <w:sz w:val="24"/>
          <w:szCs w:val="24"/>
        </w:rPr>
        <w:t>ed</w:t>
      </w:r>
      <w:r w:rsidRPr="004910B3">
        <w:rPr>
          <w:rFonts w:ascii="Times New Roman" w:hAnsi="Times New Roman" w:cs="Times New Roman"/>
          <w:sz w:val="24"/>
          <w:szCs w:val="24"/>
        </w:rPr>
        <w:t xml:space="preserve"> aggregates through this region. AA5</w:t>
      </w:r>
      <w:r w:rsidR="000A4DF8">
        <w:rPr>
          <w:rFonts w:ascii="Calibri" w:hAnsi="Calibri" w:cs="Calibri"/>
          <w:sz w:val="24"/>
          <w:szCs w:val="24"/>
        </w:rPr>
        <w:t>–</w:t>
      </w:r>
      <w:r w:rsidRPr="004910B3">
        <w:rPr>
          <w:rFonts w:ascii="Times New Roman" w:hAnsi="Times New Roman" w:cs="Times New Roman"/>
          <w:sz w:val="24"/>
          <w:szCs w:val="24"/>
        </w:rPr>
        <w:t>17 and AA35</w:t>
      </w:r>
      <w:r w:rsidR="000A4DF8">
        <w:rPr>
          <w:rFonts w:ascii="Calibri" w:hAnsi="Calibri" w:cs="Calibri"/>
          <w:sz w:val="24"/>
          <w:szCs w:val="24"/>
        </w:rPr>
        <w:t>–</w:t>
      </w:r>
      <w:r w:rsidRPr="004910B3">
        <w:rPr>
          <w:rFonts w:ascii="Times New Roman" w:hAnsi="Times New Roman" w:cs="Times New Roman"/>
          <w:sz w:val="24"/>
          <w:szCs w:val="24"/>
        </w:rPr>
        <w:t>46 exhibit</w:t>
      </w:r>
      <w:r w:rsidR="000A4DF8">
        <w:rPr>
          <w:rFonts w:ascii="Times New Roman" w:hAnsi="Times New Roman" w:cs="Times New Roman"/>
          <w:sz w:val="24"/>
          <w:szCs w:val="24"/>
        </w:rPr>
        <w:t>ed</w:t>
      </w:r>
      <w:r w:rsidRPr="004910B3">
        <w:rPr>
          <w:rFonts w:ascii="Times New Roman" w:hAnsi="Times New Roman" w:cs="Times New Roman"/>
          <w:sz w:val="24"/>
          <w:szCs w:val="24"/>
        </w:rPr>
        <w:t xml:space="preserve"> increase</w:t>
      </w:r>
      <w:r w:rsidR="000A4DF8">
        <w:rPr>
          <w:rFonts w:ascii="Times New Roman" w:hAnsi="Times New Roman" w:cs="Times New Roman"/>
          <w:sz w:val="24"/>
          <w:szCs w:val="24"/>
        </w:rPr>
        <w:t>d</w:t>
      </w:r>
      <w:r w:rsidRPr="004910B3">
        <w:rPr>
          <w:rFonts w:ascii="Times New Roman" w:hAnsi="Times New Roman" w:cs="Times New Roman"/>
          <w:sz w:val="24"/>
          <w:szCs w:val="24"/>
        </w:rPr>
        <w:t xml:space="preserve"> D-uptake</w:t>
      </w:r>
      <w:r w:rsidR="000A4DF8">
        <w:rPr>
          <w:rFonts w:ascii="Times New Roman" w:hAnsi="Times New Roman" w:cs="Times New Roman"/>
          <w:sz w:val="24"/>
          <w:szCs w:val="24"/>
        </w:rPr>
        <w:t>,</w:t>
      </w:r>
      <w:r w:rsidRPr="004910B3">
        <w:rPr>
          <w:rFonts w:ascii="Times New Roman" w:hAnsi="Times New Roman" w:cs="Times New Roman"/>
          <w:sz w:val="24"/>
          <w:szCs w:val="24"/>
        </w:rPr>
        <w:t xml:space="preserve"> suggesting </w:t>
      </w:r>
      <w:r w:rsidR="000A4DF8">
        <w:rPr>
          <w:rFonts w:ascii="Times New Roman" w:hAnsi="Times New Roman" w:cs="Times New Roman"/>
          <w:sz w:val="24"/>
          <w:szCs w:val="24"/>
        </w:rPr>
        <w:t xml:space="preserve">that </w:t>
      </w:r>
      <w:r w:rsidRPr="004910B3">
        <w:rPr>
          <w:rFonts w:ascii="Times New Roman" w:hAnsi="Times New Roman" w:cs="Times New Roman"/>
          <w:sz w:val="24"/>
          <w:szCs w:val="24"/>
        </w:rPr>
        <w:t xml:space="preserve">these regions in aggregates are more dynamic. </w:t>
      </w:r>
      <w:r w:rsidR="000A4DF8">
        <w:rPr>
          <w:rFonts w:ascii="Times New Roman" w:hAnsi="Times New Roman" w:cs="Times New Roman"/>
          <w:sz w:val="24"/>
          <w:szCs w:val="24"/>
        </w:rPr>
        <w:t>(</w:t>
      </w:r>
      <w:r w:rsidRPr="004910B3">
        <w:rPr>
          <w:rFonts w:ascii="Times New Roman" w:hAnsi="Times New Roman" w:cs="Times New Roman"/>
          <w:sz w:val="24"/>
          <w:szCs w:val="24"/>
        </w:rPr>
        <w:t>b</w:t>
      </w:r>
      <w:r w:rsidR="000A4DF8">
        <w:rPr>
          <w:rFonts w:ascii="Times New Roman" w:hAnsi="Times New Roman" w:cs="Times New Roman"/>
          <w:sz w:val="24"/>
          <w:szCs w:val="24"/>
        </w:rPr>
        <w:t>)</w:t>
      </w:r>
      <w:r w:rsidRPr="004910B3">
        <w:rPr>
          <w:rFonts w:ascii="Times New Roman" w:hAnsi="Times New Roman" w:cs="Times New Roman"/>
          <w:sz w:val="24"/>
          <w:szCs w:val="24"/>
        </w:rPr>
        <w:t xml:space="preserve"> </w:t>
      </w:r>
      <w:r w:rsidR="000A4DF8">
        <w:rPr>
          <w:rFonts w:ascii="Times New Roman" w:hAnsi="Times New Roman" w:cs="Times New Roman"/>
          <w:sz w:val="24"/>
          <w:szCs w:val="24"/>
        </w:rPr>
        <w:t>Hydrogen-deuterium exchange (</w:t>
      </w:r>
      <w:r w:rsidRPr="004910B3">
        <w:rPr>
          <w:rFonts w:ascii="Times New Roman" w:hAnsi="Times New Roman" w:cs="Times New Roman"/>
          <w:sz w:val="24"/>
          <w:szCs w:val="24"/>
        </w:rPr>
        <w:t>HDX</w:t>
      </w:r>
      <w:r w:rsidR="000A4DF8">
        <w:rPr>
          <w:rFonts w:ascii="Times New Roman" w:hAnsi="Times New Roman" w:cs="Times New Roman"/>
          <w:sz w:val="24"/>
          <w:szCs w:val="24"/>
        </w:rPr>
        <w:t>)</w:t>
      </w:r>
      <w:r w:rsidRPr="004910B3">
        <w:rPr>
          <w:rFonts w:ascii="Times New Roman" w:hAnsi="Times New Roman" w:cs="Times New Roman"/>
          <w:sz w:val="24"/>
          <w:szCs w:val="24"/>
        </w:rPr>
        <w:t xml:space="preserve"> differential plot of </w:t>
      </w:r>
      <w:r w:rsidR="000A4DF8">
        <w:rPr>
          <w:rFonts w:ascii="Times New Roman" w:hAnsi="Times New Roman" w:cs="Times New Roman"/>
          <w:sz w:val="24"/>
          <w:szCs w:val="24"/>
        </w:rPr>
        <w:t>antibody fragment 1 (</w:t>
      </w:r>
      <w:r w:rsidRPr="004910B3">
        <w:rPr>
          <w:rFonts w:ascii="Times New Roman" w:hAnsi="Times New Roman" w:cs="Times New Roman"/>
          <w:sz w:val="24"/>
          <w:szCs w:val="24"/>
        </w:rPr>
        <w:t>Fab-1</w:t>
      </w:r>
      <w:r w:rsidR="000A4DF8">
        <w:rPr>
          <w:rFonts w:ascii="Times New Roman" w:hAnsi="Times New Roman" w:cs="Times New Roman"/>
          <w:sz w:val="24"/>
          <w:szCs w:val="24"/>
        </w:rPr>
        <w:t>) light chain and heavy chain</w:t>
      </w:r>
      <w:r w:rsidRPr="004910B3">
        <w:rPr>
          <w:rFonts w:ascii="Times New Roman" w:hAnsi="Times New Roman" w:cs="Times New Roman"/>
          <w:sz w:val="24"/>
          <w:szCs w:val="24"/>
        </w:rPr>
        <w:t xml:space="preserve"> shows the </w:t>
      </w:r>
      <w:r w:rsidR="000A4DF8">
        <w:rPr>
          <w:rFonts w:ascii="Times New Roman" w:hAnsi="Times New Roman" w:cs="Times New Roman"/>
          <w:sz w:val="24"/>
          <w:szCs w:val="24"/>
        </w:rPr>
        <w:t xml:space="preserve">difference in </w:t>
      </w:r>
      <w:r w:rsidRPr="004910B3">
        <w:rPr>
          <w:rFonts w:ascii="Times New Roman" w:hAnsi="Times New Roman" w:cs="Times New Roman"/>
          <w:sz w:val="24"/>
          <w:szCs w:val="24"/>
        </w:rPr>
        <w:t xml:space="preserve">D-uptake </w:t>
      </w:r>
      <w:r w:rsidR="000A4DF8">
        <w:rPr>
          <w:rFonts w:ascii="Times New Roman" w:hAnsi="Times New Roman" w:cs="Times New Roman"/>
          <w:sz w:val="24"/>
          <w:szCs w:val="24"/>
        </w:rPr>
        <w:t xml:space="preserve">in </w:t>
      </w:r>
      <w:r w:rsidRPr="004910B3">
        <w:rPr>
          <w:rFonts w:ascii="Times New Roman" w:hAnsi="Times New Roman" w:cs="Times New Roman"/>
          <w:sz w:val="24"/>
          <w:szCs w:val="24"/>
        </w:rPr>
        <w:t xml:space="preserve">the supernatant and the aggregates at 0°C. </w:t>
      </w:r>
      <w:r w:rsidR="000A4DF8">
        <w:rPr>
          <w:rFonts w:ascii="Times New Roman" w:hAnsi="Times New Roman" w:cs="Times New Roman"/>
          <w:sz w:val="24"/>
          <w:szCs w:val="24"/>
        </w:rPr>
        <w:t>R</w:t>
      </w:r>
      <w:r w:rsidRPr="004910B3">
        <w:rPr>
          <w:rFonts w:ascii="Times New Roman" w:hAnsi="Times New Roman" w:cs="Times New Roman"/>
          <w:sz w:val="24"/>
          <w:szCs w:val="24"/>
        </w:rPr>
        <w:t xml:space="preserve">esults </w:t>
      </w:r>
      <w:r w:rsidR="000A4DF8">
        <w:rPr>
          <w:rFonts w:ascii="Times New Roman" w:hAnsi="Times New Roman" w:cs="Times New Roman"/>
          <w:sz w:val="24"/>
          <w:szCs w:val="24"/>
        </w:rPr>
        <w:t>s</w:t>
      </w:r>
      <w:r w:rsidR="000A4DF8" w:rsidRPr="004910B3">
        <w:rPr>
          <w:rFonts w:ascii="Times New Roman" w:hAnsi="Times New Roman" w:cs="Times New Roman"/>
          <w:sz w:val="24"/>
          <w:szCs w:val="24"/>
        </w:rPr>
        <w:t xml:space="preserve">imilar </w:t>
      </w:r>
      <w:r w:rsidRPr="004910B3">
        <w:rPr>
          <w:rFonts w:ascii="Times New Roman" w:hAnsi="Times New Roman" w:cs="Times New Roman"/>
          <w:sz w:val="24"/>
          <w:szCs w:val="24"/>
        </w:rPr>
        <w:t xml:space="preserve">to </w:t>
      </w:r>
      <w:r w:rsidR="000A4DF8">
        <w:rPr>
          <w:rFonts w:ascii="Times New Roman" w:hAnsi="Times New Roman" w:cs="Times New Roman"/>
          <w:sz w:val="24"/>
          <w:szCs w:val="24"/>
        </w:rPr>
        <w:t xml:space="preserve">those of </w:t>
      </w:r>
      <w:r w:rsidRPr="004910B3">
        <w:rPr>
          <w:rFonts w:ascii="Times New Roman" w:hAnsi="Times New Roman" w:cs="Times New Roman"/>
          <w:sz w:val="24"/>
          <w:szCs w:val="24"/>
        </w:rPr>
        <w:t xml:space="preserve">HDX at 24°C </w:t>
      </w:r>
      <w:r w:rsidR="000A4DF8">
        <w:rPr>
          <w:rFonts w:ascii="Times New Roman" w:hAnsi="Times New Roman" w:cs="Times New Roman"/>
          <w:sz w:val="24"/>
          <w:szCs w:val="24"/>
        </w:rPr>
        <w:t>were</w:t>
      </w:r>
      <w:r w:rsidR="000A4DF8" w:rsidRPr="004910B3">
        <w:rPr>
          <w:rFonts w:ascii="Times New Roman" w:hAnsi="Times New Roman" w:cs="Times New Roman"/>
          <w:sz w:val="24"/>
          <w:szCs w:val="24"/>
        </w:rPr>
        <w:t xml:space="preserve"> </w:t>
      </w:r>
      <w:r w:rsidRPr="004910B3">
        <w:rPr>
          <w:rFonts w:ascii="Times New Roman" w:hAnsi="Times New Roman" w:cs="Times New Roman"/>
          <w:sz w:val="24"/>
          <w:szCs w:val="24"/>
        </w:rPr>
        <w:t>observed</w:t>
      </w:r>
      <w:r w:rsidR="000A4DF8">
        <w:rPr>
          <w:rFonts w:ascii="Times New Roman" w:hAnsi="Times New Roman" w:cs="Times New Roman"/>
          <w:sz w:val="24"/>
          <w:szCs w:val="24"/>
        </w:rPr>
        <w:t>, indicating</w:t>
      </w:r>
      <w:r w:rsidRPr="004910B3">
        <w:rPr>
          <w:rFonts w:ascii="Times New Roman" w:hAnsi="Times New Roman" w:cs="Times New Roman"/>
          <w:sz w:val="24"/>
          <w:szCs w:val="24"/>
        </w:rPr>
        <w:t xml:space="preserve"> that </w:t>
      </w:r>
      <w:r w:rsidR="000A4DF8">
        <w:rPr>
          <w:rFonts w:ascii="Times New Roman" w:hAnsi="Times New Roman" w:cs="Times New Roman"/>
          <w:sz w:val="24"/>
          <w:szCs w:val="24"/>
        </w:rPr>
        <w:t xml:space="preserve">heavy-chain </w:t>
      </w:r>
      <w:r w:rsidRPr="004910B3">
        <w:rPr>
          <w:rFonts w:ascii="Times New Roman" w:hAnsi="Times New Roman" w:cs="Times New Roman"/>
          <w:sz w:val="24"/>
          <w:szCs w:val="24"/>
        </w:rPr>
        <w:t xml:space="preserve">CDR1 </w:t>
      </w:r>
      <w:r w:rsidR="000A4DF8">
        <w:rPr>
          <w:rFonts w:ascii="Times New Roman" w:hAnsi="Times New Roman" w:cs="Times New Roman"/>
          <w:sz w:val="24"/>
          <w:szCs w:val="24"/>
        </w:rPr>
        <w:t xml:space="preserve">had </w:t>
      </w:r>
      <w:r w:rsidRPr="004910B3">
        <w:rPr>
          <w:rFonts w:ascii="Times New Roman" w:hAnsi="Times New Roman" w:cs="Times New Roman"/>
          <w:sz w:val="24"/>
          <w:szCs w:val="24"/>
        </w:rPr>
        <w:t xml:space="preserve">significant protection and framework regions and constant domains </w:t>
      </w:r>
      <w:r w:rsidR="000A4DF8">
        <w:rPr>
          <w:rFonts w:ascii="Times New Roman" w:hAnsi="Times New Roman" w:cs="Times New Roman"/>
          <w:sz w:val="24"/>
          <w:szCs w:val="24"/>
        </w:rPr>
        <w:t>were</w:t>
      </w:r>
      <w:r w:rsidR="000A4DF8" w:rsidRPr="004910B3">
        <w:rPr>
          <w:rFonts w:ascii="Times New Roman" w:hAnsi="Times New Roman" w:cs="Times New Roman"/>
          <w:sz w:val="24"/>
          <w:szCs w:val="24"/>
        </w:rPr>
        <w:t xml:space="preserve"> </w:t>
      </w:r>
      <w:r w:rsidRPr="004910B3">
        <w:rPr>
          <w:rFonts w:ascii="Times New Roman" w:hAnsi="Times New Roman" w:cs="Times New Roman"/>
          <w:sz w:val="24"/>
          <w:szCs w:val="24"/>
        </w:rPr>
        <w:t>mo</w:t>
      </w:r>
      <w:bookmarkStart w:id="0" w:name="_GoBack"/>
      <w:bookmarkEnd w:id="0"/>
      <w:r w:rsidRPr="004910B3">
        <w:rPr>
          <w:rFonts w:ascii="Times New Roman" w:hAnsi="Times New Roman" w:cs="Times New Roman"/>
          <w:sz w:val="24"/>
          <w:szCs w:val="24"/>
        </w:rPr>
        <w:t xml:space="preserve">re dynamic in the aggregates.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B383EA" w14:textId="4C45E8C5" w:rsidR="00C865FC" w:rsidRDefault="00817187" w:rsidP="00B8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72B5614B" wp14:editId="6030EAE5">
            <wp:extent cx="6692665" cy="379340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378" cy="3816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8F7C1" w14:textId="22C6D5F8" w:rsidR="005518A3" w:rsidRDefault="00817187" w:rsidP="00B8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453A89E9" wp14:editId="6E3F78AB">
            <wp:extent cx="6750924" cy="382513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949" cy="3844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20C4B9" w14:textId="34D3495E" w:rsidR="007D6965" w:rsidRPr="007E7678" w:rsidRDefault="007D6965" w:rsidP="00A941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401D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</w:t>
      </w:r>
      <w:r w:rsidR="006178BF" w:rsidRPr="00C401D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910B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212BB" w:rsidRPr="00C401D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HDX heat map for </w:t>
      </w:r>
      <w:r w:rsidR="00B70AE3">
        <w:rPr>
          <w:rFonts w:ascii="Times New Roman" w:hAnsi="Times New Roman" w:cs="Times New Roman"/>
          <w:sz w:val="24"/>
          <w:szCs w:val="24"/>
        </w:rPr>
        <w:t>Fab-1</w:t>
      </w:r>
      <w:r w:rsidR="00CC1D38">
        <w:rPr>
          <w:rFonts w:ascii="Times New Roman" w:hAnsi="Times New Roman" w:cs="Times New Roman"/>
          <w:sz w:val="24"/>
          <w:szCs w:val="24"/>
        </w:rPr>
        <w:t xml:space="preserve"> (a)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B70AE3">
        <w:rPr>
          <w:rFonts w:ascii="Times New Roman" w:hAnsi="Times New Roman" w:cs="Times New Roman"/>
          <w:sz w:val="24"/>
          <w:szCs w:val="24"/>
        </w:rPr>
        <w:t>Fab-2</w:t>
      </w:r>
      <w:r w:rsidR="00CC1D38">
        <w:rPr>
          <w:rFonts w:ascii="Times New Roman" w:hAnsi="Times New Roman" w:cs="Times New Roman"/>
          <w:sz w:val="24"/>
          <w:szCs w:val="24"/>
        </w:rPr>
        <w:t xml:space="preserve"> (b)</w:t>
      </w:r>
      <w:r>
        <w:rPr>
          <w:rFonts w:ascii="Times New Roman" w:hAnsi="Times New Roman" w:cs="Times New Roman"/>
          <w:sz w:val="24"/>
          <w:szCs w:val="24"/>
        </w:rPr>
        <w:t xml:space="preserve"> supernatant. </w:t>
      </w:r>
      <w:r w:rsidRPr="007E767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-uptake</w:t>
      </w:r>
      <w:r w:rsidR="00C401D0">
        <w:rPr>
          <w:rFonts w:ascii="Times New Roman" w:hAnsi="Times New Roman" w:cs="Times New Roman"/>
          <w:sz w:val="24"/>
          <w:szCs w:val="24"/>
        </w:rPr>
        <w:t xml:space="preserve"> was</w:t>
      </w:r>
      <w:r w:rsidRPr="007E7678">
        <w:rPr>
          <w:rFonts w:ascii="Times New Roman" w:hAnsi="Times New Roman" w:cs="Times New Roman"/>
          <w:sz w:val="24"/>
          <w:szCs w:val="24"/>
        </w:rPr>
        <w:t xml:space="preserve"> measured at </w:t>
      </w:r>
      <w:r>
        <w:rPr>
          <w:rFonts w:ascii="Times New Roman" w:hAnsi="Times New Roman" w:cs="Times New Roman"/>
          <w:sz w:val="24"/>
          <w:szCs w:val="24"/>
        </w:rPr>
        <w:t>0.5</w:t>
      </w:r>
      <w:r w:rsidRPr="007E767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.5, 5, 15, and 60</w:t>
      </w:r>
      <w:r w:rsidRPr="007E7678">
        <w:rPr>
          <w:rFonts w:ascii="Times New Roman" w:hAnsi="Times New Roman" w:cs="Times New Roman"/>
          <w:sz w:val="24"/>
          <w:szCs w:val="24"/>
        </w:rPr>
        <w:t xml:space="preserve"> min</w:t>
      </w:r>
      <w:r>
        <w:rPr>
          <w:rFonts w:ascii="Times New Roman" w:hAnsi="Times New Roman" w:cs="Times New Roman"/>
          <w:sz w:val="24"/>
          <w:szCs w:val="24"/>
        </w:rPr>
        <w:t xml:space="preserve">, and its level at time each point is colored on to the sequence by </w:t>
      </w:r>
      <w:proofErr w:type="spellStart"/>
      <w:r>
        <w:rPr>
          <w:rFonts w:ascii="Times New Roman" w:hAnsi="Times New Roman" w:cs="Times New Roman"/>
          <w:sz w:val="24"/>
          <w:szCs w:val="24"/>
        </w:rPr>
        <w:t>HDExaminer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which takes overlapping peptides into account. The secondary structure from the protein homology model is labeled on top of the heat map, in which red cylinders represent </w:t>
      </w:r>
      <w:r w:rsidR="00C401D0">
        <w:rPr>
          <w:rFonts w:ascii="Times New Roman" w:hAnsi="Times New Roman" w:cs="Times New Roman"/>
          <w:sz w:val="24"/>
          <w:szCs w:val="24"/>
        </w:rPr>
        <w:t xml:space="preserve">alpha </w:t>
      </w:r>
      <w:r>
        <w:rPr>
          <w:rFonts w:ascii="Times New Roman" w:hAnsi="Times New Roman" w:cs="Times New Roman"/>
          <w:sz w:val="24"/>
          <w:szCs w:val="24"/>
        </w:rPr>
        <w:t xml:space="preserve">helices, blue arrows indicate </w:t>
      </w:r>
      <w:r w:rsidR="00C401D0">
        <w:rPr>
          <w:rFonts w:ascii="Times New Roman" w:hAnsi="Times New Roman" w:cs="Times New Roman"/>
          <w:sz w:val="24"/>
          <w:szCs w:val="24"/>
        </w:rPr>
        <w:t xml:space="preserve">beta </w:t>
      </w:r>
      <w:r>
        <w:rPr>
          <w:rFonts w:ascii="Times New Roman" w:hAnsi="Times New Roman" w:cs="Times New Roman"/>
          <w:sz w:val="24"/>
          <w:szCs w:val="24"/>
        </w:rPr>
        <w:t>sheets, and black lines are the loops. CDRs are indicated on top.</w:t>
      </w:r>
    </w:p>
    <w:p w14:paraId="3EB6C028" w14:textId="2031C56A" w:rsidR="007F75A3" w:rsidRDefault="007F7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F6A294" w14:textId="48E513E9" w:rsidR="0027408E" w:rsidRDefault="0027408E" w:rsidP="00B8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A9FED2" w14:textId="77777777" w:rsidR="00A7025A" w:rsidRDefault="00A7025A" w:rsidP="00B84A3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7025A" w:rsidSect="00CF1A8E"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B70C0" w14:textId="77777777" w:rsidR="00520C46" w:rsidRDefault="00520C46" w:rsidP="002A22A2">
      <w:pPr>
        <w:spacing w:after="0" w:line="240" w:lineRule="auto"/>
      </w:pPr>
      <w:r>
        <w:separator/>
      </w:r>
    </w:p>
  </w:endnote>
  <w:endnote w:type="continuationSeparator" w:id="0">
    <w:p w14:paraId="1C992799" w14:textId="77777777" w:rsidR="00520C46" w:rsidRDefault="00520C46" w:rsidP="002A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4BF54" w14:textId="7D657D2A" w:rsidR="00CF1A8E" w:rsidRPr="00CF1A8E" w:rsidRDefault="00CF1A8E">
    <w:pPr>
      <w:pStyle w:val="Footer"/>
      <w:rPr>
        <w:rFonts w:ascii="Times New Roman" w:hAnsi="Times New Roman" w:cs="Times New Roman"/>
        <w:sz w:val="20"/>
        <w:szCs w:val="20"/>
      </w:rPr>
    </w:pPr>
    <w:r w:rsidRPr="00CF1A8E">
      <w:rPr>
        <w:rFonts w:ascii="Times New Roman" w:hAnsi="Times New Roman" w:cs="Times New Roman"/>
        <w:sz w:val="20"/>
        <w:szCs w:val="20"/>
      </w:rPr>
      <w:t>Tao et al</w:t>
    </w:r>
    <w:r w:rsidRPr="00CF1A8E">
      <w:rPr>
        <w:rFonts w:ascii="Times New Roman" w:hAnsi="Times New Roman" w:cs="Times New Roman"/>
        <w:sz w:val="20"/>
        <w:szCs w:val="20"/>
      </w:rPr>
      <w:tab/>
      <w:t>Supplemen</w:t>
    </w:r>
    <w:r w:rsidR="00657AFD">
      <w:rPr>
        <w:rFonts w:ascii="Times New Roman" w:hAnsi="Times New Roman" w:cs="Times New Roman"/>
        <w:sz w:val="20"/>
        <w:szCs w:val="20"/>
      </w:rPr>
      <w:t>t</w:t>
    </w:r>
    <w:r w:rsidRPr="00CF1A8E">
      <w:rPr>
        <w:rFonts w:ascii="Times New Roman" w:hAnsi="Times New Roman" w:cs="Times New Roman"/>
        <w:sz w:val="20"/>
        <w:szCs w:val="20"/>
      </w:rPr>
      <w:t>al Information</w:t>
    </w:r>
    <w:r w:rsidRPr="00CF1A8E">
      <w:rPr>
        <w:rFonts w:ascii="Times New Roman" w:hAnsi="Times New Roman" w:cs="Times New Roman"/>
        <w:sz w:val="20"/>
        <w:szCs w:val="20"/>
      </w:rPr>
      <w:tab/>
      <w:t>Page S</w:t>
    </w:r>
    <w:r w:rsidRPr="00CF1A8E">
      <w:rPr>
        <w:rFonts w:ascii="Times New Roman" w:hAnsi="Times New Roman" w:cs="Times New Roman"/>
        <w:sz w:val="20"/>
        <w:szCs w:val="20"/>
      </w:rPr>
      <w:fldChar w:fldCharType="begin"/>
    </w:r>
    <w:r w:rsidRPr="00CF1A8E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F1A8E">
      <w:rPr>
        <w:rFonts w:ascii="Times New Roman" w:hAnsi="Times New Roman" w:cs="Times New Roman"/>
        <w:sz w:val="20"/>
        <w:szCs w:val="20"/>
      </w:rPr>
      <w:fldChar w:fldCharType="separate"/>
    </w:r>
    <w:r w:rsidR="00116760">
      <w:rPr>
        <w:rFonts w:ascii="Times New Roman" w:hAnsi="Times New Roman" w:cs="Times New Roman"/>
        <w:noProof/>
        <w:sz w:val="20"/>
        <w:szCs w:val="20"/>
      </w:rPr>
      <w:t>4</w:t>
    </w:r>
    <w:r w:rsidRPr="00CF1A8E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4BB83" w14:textId="53A7DD92" w:rsidR="002A22A2" w:rsidRPr="006327F2" w:rsidRDefault="002A22A2">
    <w:pPr>
      <w:pStyle w:val="Footer"/>
      <w:rPr>
        <w:rFonts w:ascii="Times New Roman" w:hAnsi="Times New Roman" w:cs="Times New Roman"/>
        <w:sz w:val="20"/>
        <w:szCs w:val="20"/>
      </w:rPr>
    </w:pPr>
    <w:r w:rsidRPr="006327F2">
      <w:rPr>
        <w:rFonts w:ascii="Times New Roman" w:hAnsi="Times New Roman" w:cs="Times New Roman"/>
        <w:sz w:val="20"/>
        <w:szCs w:val="20"/>
      </w:rPr>
      <w:t>Tao et al.</w:t>
    </w:r>
    <w:r w:rsidRPr="006327F2">
      <w:rPr>
        <w:rFonts w:ascii="Times New Roman" w:hAnsi="Times New Roman" w:cs="Times New Roman"/>
        <w:sz w:val="20"/>
        <w:szCs w:val="20"/>
      </w:rPr>
      <w:tab/>
      <w:t>Supplemental Information</w:t>
    </w:r>
    <w:r w:rsidRPr="006327F2">
      <w:rPr>
        <w:rFonts w:ascii="Times New Roman" w:hAnsi="Times New Roman" w:cs="Times New Roman"/>
        <w:sz w:val="20"/>
        <w:szCs w:val="20"/>
      </w:rPr>
      <w:tab/>
      <w:t>Page S</w:t>
    </w:r>
    <w:r w:rsidRPr="006327F2">
      <w:rPr>
        <w:rFonts w:ascii="Times New Roman" w:hAnsi="Times New Roman" w:cs="Times New Roman"/>
        <w:sz w:val="20"/>
        <w:szCs w:val="20"/>
      </w:rPr>
      <w:fldChar w:fldCharType="begin"/>
    </w:r>
    <w:r w:rsidRPr="006327F2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6327F2">
      <w:rPr>
        <w:rFonts w:ascii="Times New Roman" w:hAnsi="Times New Roman" w:cs="Times New Roman"/>
        <w:sz w:val="20"/>
        <w:szCs w:val="20"/>
      </w:rPr>
      <w:fldChar w:fldCharType="separate"/>
    </w:r>
    <w:r w:rsidRPr="006327F2">
      <w:rPr>
        <w:rFonts w:ascii="Times New Roman" w:hAnsi="Times New Roman" w:cs="Times New Roman"/>
        <w:sz w:val="20"/>
        <w:szCs w:val="20"/>
      </w:rPr>
      <w:t>2</w:t>
    </w:r>
    <w:r w:rsidRPr="006327F2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039CA" w14:textId="77777777" w:rsidR="00520C46" w:rsidRDefault="00520C46" w:rsidP="002A22A2">
      <w:pPr>
        <w:spacing w:after="0" w:line="240" w:lineRule="auto"/>
      </w:pPr>
      <w:r>
        <w:separator/>
      </w:r>
    </w:p>
  </w:footnote>
  <w:footnote w:type="continuationSeparator" w:id="0">
    <w:p w14:paraId="58120412" w14:textId="77777777" w:rsidR="00520C46" w:rsidRDefault="00520C46" w:rsidP="002A2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922A51"/>
    <w:multiLevelType w:val="hybridMultilevel"/>
    <w:tmpl w:val="B1E2AC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42053"/>
    <w:multiLevelType w:val="hybridMultilevel"/>
    <w:tmpl w:val="8B9C4C1C"/>
    <w:lvl w:ilvl="0" w:tplc="A6AA730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27C"/>
    <w:rsid w:val="00002F99"/>
    <w:rsid w:val="0000404D"/>
    <w:rsid w:val="0000453C"/>
    <w:rsid w:val="00006F9C"/>
    <w:rsid w:val="00013951"/>
    <w:rsid w:val="00025F4B"/>
    <w:rsid w:val="00030082"/>
    <w:rsid w:val="0003013F"/>
    <w:rsid w:val="0003768D"/>
    <w:rsid w:val="00040619"/>
    <w:rsid w:val="000407D6"/>
    <w:rsid w:val="000464DA"/>
    <w:rsid w:val="00052B94"/>
    <w:rsid w:val="00054ECB"/>
    <w:rsid w:val="00055158"/>
    <w:rsid w:val="00061353"/>
    <w:rsid w:val="00072E6D"/>
    <w:rsid w:val="000A4DF8"/>
    <w:rsid w:val="000A5277"/>
    <w:rsid w:val="000A666C"/>
    <w:rsid w:val="000B715F"/>
    <w:rsid w:val="000C2EEC"/>
    <w:rsid w:val="000C5DBA"/>
    <w:rsid w:val="000D16A3"/>
    <w:rsid w:val="000E6D15"/>
    <w:rsid w:val="000F1202"/>
    <w:rsid w:val="000F708E"/>
    <w:rsid w:val="001015FC"/>
    <w:rsid w:val="001060D9"/>
    <w:rsid w:val="00116760"/>
    <w:rsid w:val="0013524F"/>
    <w:rsid w:val="00135687"/>
    <w:rsid w:val="00152A61"/>
    <w:rsid w:val="00176929"/>
    <w:rsid w:val="00177EFB"/>
    <w:rsid w:val="001804A0"/>
    <w:rsid w:val="00185A30"/>
    <w:rsid w:val="00195115"/>
    <w:rsid w:val="001A2403"/>
    <w:rsid w:val="001E26C7"/>
    <w:rsid w:val="001E6DA1"/>
    <w:rsid w:val="00200742"/>
    <w:rsid w:val="00207199"/>
    <w:rsid w:val="002123BC"/>
    <w:rsid w:val="002177EC"/>
    <w:rsid w:val="0024558C"/>
    <w:rsid w:val="0027086A"/>
    <w:rsid w:val="0027408E"/>
    <w:rsid w:val="00274A75"/>
    <w:rsid w:val="002A0274"/>
    <w:rsid w:val="002A22A2"/>
    <w:rsid w:val="002B5CD1"/>
    <w:rsid w:val="002C4330"/>
    <w:rsid w:val="003109DB"/>
    <w:rsid w:val="00323AB9"/>
    <w:rsid w:val="0032601D"/>
    <w:rsid w:val="0032685B"/>
    <w:rsid w:val="00335561"/>
    <w:rsid w:val="00342266"/>
    <w:rsid w:val="003436FA"/>
    <w:rsid w:val="00344034"/>
    <w:rsid w:val="00350792"/>
    <w:rsid w:val="0036222A"/>
    <w:rsid w:val="00362801"/>
    <w:rsid w:val="00386595"/>
    <w:rsid w:val="0039053F"/>
    <w:rsid w:val="00397E2F"/>
    <w:rsid w:val="003A012F"/>
    <w:rsid w:val="003B1BE8"/>
    <w:rsid w:val="003B443B"/>
    <w:rsid w:val="00407B32"/>
    <w:rsid w:val="0041447F"/>
    <w:rsid w:val="00415370"/>
    <w:rsid w:val="00420FC0"/>
    <w:rsid w:val="00434530"/>
    <w:rsid w:val="004410D9"/>
    <w:rsid w:val="00451446"/>
    <w:rsid w:val="0045170E"/>
    <w:rsid w:val="00481A17"/>
    <w:rsid w:val="004910B3"/>
    <w:rsid w:val="004A2AE7"/>
    <w:rsid w:val="004B3864"/>
    <w:rsid w:val="004B61B5"/>
    <w:rsid w:val="004D131A"/>
    <w:rsid w:val="004D6CFE"/>
    <w:rsid w:val="004F7C94"/>
    <w:rsid w:val="00515B07"/>
    <w:rsid w:val="00520AF8"/>
    <w:rsid w:val="00520C46"/>
    <w:rsid w:val="0052464C"/>
    <w:rsid w:val="005518A3"/>
    <w:rsid w:val="00570497"/>
    <w:rsid w:val="005720F3"/>
    <w:rsid w:val="005818A0"/>
    <w:rsid w:val="005A1F1D"/>
    <w:rsid w:val="005A35B9"/>
    <w:rsid w:val="005A3AE3"/>
    <w:rsid w:val="005A3C9E"/>
    <w:rsid w:val="005B5E4D"/>
    <w:rsid w:val="005F2FD8"/>
    <w:rsid w:val="0060176C"/>
    <w:rsid w:val="006119DA"/>
    <w:rsid w:val="006178BF"/>
    <w:rsid w:val="00627813"/>
    <w:rsid w:val="006312E8"/>
    <w:rsid w:val="006327F2"/>
    <w:rsid w:val="0065636B"/>
    <w:rsid w:val="00657AFD"/>
    <w:rsid w:val="0066469D"/>
    <w:rsid w:val="00675368"/>
    <w:rsid w:val="00675F32"/>
    <w:rsid w:val="0068755F"/>
    <w:rsid w:val="00690B10"/>
    <w:rsid w:val="00691A09"/>
    <w:rsid w:val="00695124"/>
    <w:rsid w:val="006955D2"/>
    <w:rsid w:val="006A671D"/>
    <w:rsid w:val="006B5E6E"/>
    <w:rsid w:val="006C557E"/>
    <w:rsid w:val="006E0B05"/>
    <w:rsid w:val="006F1570"/>
    <w:rsid w:val="006F6E55"/>
    <w:rsid w:val="00716409"/>
    <w:rsid w:val="00745338"/>
    <w:rsid w:val="0075110C"/>
    <w:rsid w:val="00753845"/>
    <w:rsid w:val="00756ECA"/>
    <w:rsid w:val="007A1A59"/>
    <w:rsid w:val="007C3ADC"/>
    <w:rsid w:val="007D5831"/>
    <w:rsid w:val="007D6965"/>
    <w:rsid w:val="007E7678"/>
    <w:rsid w:val="007F2D88"/>
    <w:rsid w:val="007F75A3"/>
    <w:rsid w:val="00811E73"/>
    <w:rsid w:val="00817187"/>
    <w:rsid w:val="00817CF1"/>
    <w:rsid w:val="008253E1"/>
    <w:rsid w:val="00834F53"/>
    <w:rsid w:val="008504BA"/>
    <w:rsid w:val="00854B69"/>
    <w:rsid w:val="008574B1"/>
    <w:rsid w:val="00864BE2"/>
    <w:rsid w:val="00880C76"/>
    <w:rsid w:val="00881E92"/>
    <w:rsid w:val="00896591"/>
    <w:rsid w:val="008A1A38"/>
    <w:rsid w:val="008A2A01"/>
    <w:rsid w:val="008B1064"/>
    <w:rsid w:val="008B16D5"/>
    <w:rsid w:val="008D4801"/>
    <w:rsid w:val="008D7D06"/>
    <w:rsid w:val="009175DD"/>
    <w:rsid w:val="00922E1C"/>
    <w:rsid w:val="0094306B"/>
    <w:rsid w:val="009509A2"/>
    <w:rsid w:val="00951C7C"/>
    <w:rsid w:val="009756D7"/>
    <w:rsid w:val="0098222E"/>
    <w:rsid w:val="009A54F8"/>
    <w:rsid w:val="009B3BD8"/>
    <w:rsid w:val="009B66AC"/>
    <w:rsid w:val="009D61AD"/>
    <w:rsid w:val="009D7E22"/>
    <w:rsid w:val="00A11161"/>
    <w:rsid w:val="00A23579"/>
    <w:rsid w:val="00A241E0"/>
    <w:rsid w:val="00A2688D"/>
    <w:rsid w:val="00A42EC7"/>
    <w:rsid w:val="00A66CE5"/>
    <w:rsid w:val="00A7025A"/>
    <w:rsid w:val="00A72D8C"/>
    <w:rsid w:val="00A82C61"/>
    <w:rsid w:val="00A907AC"/>
    <w:rsid w:val="00A941BC"/>
    <w:rsid w:val="00A95F4E"/>
    <w:rsid w:val="00A976CE"/>
    <w:rsid w:val="00AA0C35"/>
    <w:rsid w:val="00AA766C"/>
    <w:rsid w:val="00AC3455"/>
    <w:rsid w:val="00AE69A6"/>
    <w:rsid w:val="00AF65D9"/>
    <w:rsid w:val="00B134F8"/>
    <w:rsid w:val="00B537E0"/>
    <w:rsid w:val="00B55342"/>
    <w:rsid w:val="00B569B8"/>
    <w:rsid w:val="00B6486E"/>
    <w:rsid w:val="00B67385"/>
    <w:rsid w:val="00B70AE3"/>
    <w:rsid w:val="00B84A31"/>
    <w:rsid w:val="00BA1149"/>
    <w:rsid w:val="00BA44E7"/>
    <w:rsid w:val="00BA73FB"/>
    <w:rsid w:val="00BB0175"/>
    <w:rsid w:val="00BB3E57"/>
    <w:rsid w:val="00BB72FC"/>
    <w:rsid w:val="00BC0B76"/>
    <w:rsid w:val="00BC2869"/>
    <w:rsid w:val="00BC7321"/>
    <w:rsid w:val="00BD158D"/>
    <w:rsid w:val="00BD3C87"/>
    <w:rsid w:val="00BD51E8"/>
    <w:rsid w:val="00BF17D3"/>
    <w:rsid w:val="00C1171A"/>
    <w:rsid w:val="00C16C8F"/>
    <w:rsid w:val="00C2105D"/>
    <w:rsid w:val="00C401D0"/>
    <w:rsid w:val="00C50D4A"/>
    <w:rsid w:val="00C6127C"/>
    <w:rsid w:val="00C73567"/>
    <w:rsid w:val="00C865FC"/>
    <w:rsid w:val="00C939A0"/>
    <w:rsid w:val="00CB444E"/>
    <w:rsid w:val="00CC1D38"/>
    <w:rsid w:val="00CE4378"/>
    <w:rsid w:val="00CF1A8E"/>
    <w:rsid w:val="00D1125C"/>
    <w:rsid w:val="00D21423"/>
    <w:rsid w:val="00D4334A"/>
    <w:rsid w:val="00D511A6"/>
    <w:rsid w:val="00D56F84"/>
    <w:rsid w:val="00D57B17"/>
    <w:rsid w:val="00D619A7"/>
    <w:rsid w:val="00D70905"/>
    <w:rsid w:val="00D70FA2"/>
    <w:rsid w:val="00D848E1"/>
    <w:rsid w:val="00DB007B"/>
    <w:rsid w:val="00DB0E7C"/>
    <w:rsid w:val="00E212BB"/>
    <w:rsid w:val="00E314F8"/>
    <w:rsid w:val="00E67448"/>
    <w:rsid w:val="00E73A0B"/>
    <w:rsid w:val="00E747B0"/>
    <w:rsid w:val="00E87D83"/>
    <w:rsid w:val="00E94F26"/>
    <w:rsid w:val="00E95BA8"/>
    <w:rsid w:val="00EA360F"/>
    <w:rsid w:val="00EB246C"/>
    <w:rsid w:val="00ED349E"/>
    <w:rsid w:val="00ED7C29"/>
    <w:rsid w:val="00EE5872"/>
    <w:rsid w:val="00EF2F6F"/>
    <w:rsid w:val="00F11745"/>
    <w:rsid w:val="00F370EB"/>
    <w:rsid w:val="00F37237"/>
    <w:rsid w:val="00F42BC0"/>
    <w:rsid w:val="00F42D57"/>
    <w:rsid w:val="00F6210B"/>
    <w:rsid w:val="00F621FD"/>
    <w:rsid w:val="00F73E07"/>
    <w:rsid w:val="00F77DAB"/>
    <w:rsid w:val="00F846E1"/>
    <w:rsid w:val="00F878BD"/>
    <w:rsid w:val="00F87A1B"/>
    <w:rsid w:val="00F90485"/>
    <w:rsid w:val="00F90AA8"/>
    <w:rsid w:val="00F93F23"/>
    <w:rsid w:val="00FA7BA9"/>
    <w:rsid w:val="00FD4B08"/>
    <w:rsid w:val="00FE0E10"/>
    <w:rsid w:val="00FF3005"/>
    <w:rsid w:val="00F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76DA2"/>
  <w15:chartTrackingRefBased/>
  <w15:docId w15:val="{D6424DFE-DFA0-4564-A3F3-C45697B47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4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1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16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16D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D158D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3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3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A2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2A2"/>
  </w:style>
  <w:style w:type="paragraph" w:styleId="Footer">
    <w:name w:val="footer"/>
    <w:basedOn w:val="Normal"/>
    <w:link w:val="FooterChar"/>
    <w:uiPriority w:val="99"/>
    <w:unhideWhenUsed/>
    <w:rsid w:val="002A2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2A2"/>
  </w:style>
  <w:style w:type="paragraph" w:styleId="Revision">
    <w:name w:val="Revision"/>
    <w:hidden/>
    <w:uiPriority w:val="99"/>
    <w:semiHidden/>
    <w:rsid w:val="00687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258</Words>
  <Characters>1415</Characters>
  <Application>Microsoft Office Word</Application>
  <DocSecurity>0</DocSecurity>
  <Lines>50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Yuan</dc:creator>
  <cp:keywords/>
  <dc:description/>
  <cp:lastModifiedBy>Rhalf Dagunton</cp:lastModifiedBy>
  <cp:revision>3</cp:revision>
  <dcterms:created xsi:type="dcterms:W3CDTF">2023-01-04T15:35:00Z</dcterms:created>
  <dcterms:modified xsi:type="dcterms:W3CDTF">2023-04-28T02:26:00Z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2f9f2cd78afc30d31fed74d16db4f3a9d78a650ae431fd92f94f73a879a8fb6b</vt:lpwstr>
  </property>
</Properties>
</file>