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0EE4" w14:textId="3CA30F6E" w:rsidR="00905481" w:rsidRDefault="00C76D48" w:rsidP="00905481">
      <w:pPr>
        <w:spacing w:before="240"/>
        <w:rPr>
          <w:rFonts w:ascii="Times New Roman" w:hAnsi="Times New Roman" w:cs="Times New Roman"/>
          <w:b/>
          <w:bCs/>
          <w:sz w:val="24"/>
          <w:szCs w:val="24"/>
        </w:rPr>
      </w:pPr>
      <w:r w:rsidRPr="000D31FD">
        <w:rPr>
          <w:rFonts w:ascii="Times New Roman" w:hAnsi="Times New Roman" w:cs="Times New Roman"/>
          <w:b/>
          <w:bCs/>
          <w:noProof/>
          <w:sz w:val="24"/>
          <w:szCs w:val="24"/>
        </w:rPr>
        <w:drawing>
          <wp:anchor distT="0" distB="0" distL="114300" distR="114300" simplePos="0" relativeHeight="251657728" behindDoc="0" locked="0" layoutInCell="1" allowOverlap="1" wp14:anchorId="4D9E71B0" wp14:editId="0DD009DB">
            <wp:simplePos x="0" y="0"/>
            <wp:positionH relativeFrom="margin">
              <wp:posOffset>1694815</wp:posOffset>
            </wp:positionH>
            <wp:positionV relativeFrom="paragraph">
              <wp:posOffset>836477</wp:posOffset>
            </wp:positionV>
            <wp:extent cx="2912745" cy="2605405"/>
            <wp:effectExtent l="0" t="0" r="1905" b="4445"/>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rotWithShape="1">
                    <a:blip r:embed="rId5" cstate="print">
                      <a:extLst>
                        <a:ext uri="{28A0092B-C50C-407E-A947-70E740481C1C}">
                          <a14:useLocalDpi xmlns:a14="http://schemas.microsoft.com/office/drawing/2010/main" val="0"/>
                        </a:ext>
                      </a:extLst>
                    </a:blip>
                    <a:srcRect l="3736" t="16602" r="54969" b="17727"/>
                    <a:stretch/>
                  </pic:blipFill>
                  <pic:spPr bwMode="auto">
                    <a:xfrm>
                      <a:off x="0" y="0"/>
                      <a:ext cx="2912745" cy="2605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5481" w:rsidRPr="000D31FD">
        <w:rPr>
          <w:rFonts w:ascii="Times New Roman" w:hAnsi="Times New Roman" w:cs="Times New Roman"/>
          <w:b/>
          <w:bCs/>
          <w:sz w:val="24"/>
          <w:szCs w:val="24"/>
        </w:rPr>
        <w:t>Supplementary Material</w:t>
      </w:r>
    </w:p>
    <w:p w14:paraId="7DDAA7F2" w14:textId="77777777" w:rsidR="00C76D48" w:rsidRPr="000D31FD" w:rsidRDefault="00C76D48" w:rsidP="00905481">
      <w:pPr>
        <w:spacing w:before="240"/>
        <w:rPr>
          <w:rFonts w:ascii="Times New Roman" w:hAnsi="Times New Roman" w:cs="Times New Roman"/>
          <w:b/>
          <w:bCs/>
          <w:sz w:val="24"/>
          <w:szCs w:val="24"/>
        </w:rPr>
      </w:pPr>
    </w:p>
    <w:p w14:paraId="4558058A" w14:textId="75F8B0DB" w:rsidR="00905481" w:rsidRPr="000D31FD" w:rsidRDefault="00905481" w:rsidP="00905481">
      <w:pPr>
        <w:spacing w:before="240"/>
        <w:jc w:val="center"/>
        <w:rPr>
          <w:rFonts w:ascii="Times New Roman" w:hAnsi="Times New Roman" w:cs="Times New Roman"/>
          <w:b/>
          <w:bCs/>
          <w:i/>
          <w:iCs/>
          <w:sz w:val="24"/>
          <w:szCs w:val="24"/>
          <w:highlight w:val="yellow"/>
        </w:rPr>
      </w:pPr>
      <w:r w:rsidRPr="000D31FD">
        <w:rPr>
          <w:rFonts w:ascii="Times New Roman" w:hAnsi="Times New Roman" w:cs="Times New Roman"/>
          <w:i/>
          <w:iCs/>
          <w:sz w:val="24"/>
          <w:szCs w:val="24"/>
        </w:rPr>
        <w:t>Supplementary Figure S1. To obtain the AUC of the drug concentration in the aqueous humor (</w:t>
      </w:r>
      <w:proofErr w:type="spellStart"/>
      <w:r w:rsidRPr="000D31FD">
        <w:rPr>
          <w:rFonts w:ascii="Times New Roman" w:hAnsi="Times New Roman" w:cs="Times New Roman"/>
          <w:i/>
          <w:iCs/>
          <w:sz w:val="24"/>
          <w:szCs w:val="24"/>
        </w:rPr>
        <w:t>C</w:t>
      </w:r>
      <w:r w:rsidRPr="000D31FD">
        <w:rPr>
          <w:rFonts w:ascii="Times New Roman" w:hAnsi="Times New Roman" w:cs="Times New Roman"/>
          <w:i/>
          <w:iCs/>
          <w:sz w:val="24"/>
          <w:szCs w:val="24"/>
          <w:vertAlign w:val="subscript"/>
        </w:rPr>
        <w:t>aq</w:t>
      </w:r>
      <w:proofErr w:type="spellEnd"/>
      <w:r w:rsidRPr="000D31FD">
        <w:rPr>
          <w:rFonts w:ascii="Times New Roman" w:hAnsi="Times New Roman" w:cs="Times New Roman"/>
          <w:i/>
          <w:iCs/>
          <w:sz w:val="24"/>
          <w:szCs w:val="24"/>
        </w:rPr>
        <w:t xml:space="preserve">) over time, experimental data </w:t>
      </w:r>
      <w:r w:rsidRPr="000D31FD">
        <w:rPr>
          <w:rFonts w:ascii="Times New Roman" w:hAnsi="Times New Roman" w:cs="Times New Roman"/>
          <w:i/>
          <w:iCs/>
          <w:sz w:val="24"/>
          <w:szCs w:val="24"/>
        </w:rPr>
        <w:fldChar w:fldCharType="begin" w:fldLock="1"/>
      </w:r>
      <w:r w:rsidR="00C76D48">
        <w:rPr>
          <w:rFonts w:ascii="Times New Roman" w:hAnsi="Times New Roman" w:cs="Times New Roman"/>
          <w:i/>
          <w:iCs/>
          <w:sz w:val="24"/>
          <w:szCs w:val="24"/>
        </w:rPr>
        <w:instrText>ADDIN CSL_CITATION {"citationItems":[{"id":"ITEM-1","itemData":{"DOI":"10.1016/j.biomaterials.2019.119285","ISSN":"18785905","abstract":"Intravitreal injections and implants are used to deliver drugs to the retina because therapeutic levels of these medications cannot be provided by topical administration (i.e. eye drops). In order to reach the retina, a topically applied drug encounters tear dilution, reflex blinking, and rapid fluid drainage that collectively reduce the drug's residence time on the ocular surface. Residing under the tears, the cornea is the primary gateway into the eye for many topical ophthalmic drugs. We hypothesized that a drug-eluting contact lens that rests on the cornea would therefore be well-suited for delivering drugs to the eye including the retina. We developed a contact lens based dexamethasone delivery system (Dex-DS) that achieved sustained drug delivery to the retina at therapeutic levels. Dex-DS consists of a dexamethasone-polymer film encapsulated inside a contact lens. Rabbits wearing Dex-DS achieved retinal drug concentrations that were 200 times greater than those from intensive (hourly) dexamethasone drops. Conversely, Dex-DS demonstrated lower systemic (blood serum) dexamethasone concentrations. In an efficacy study in rabbits, Dex-DS successfully inhibited retinal vascular leakage induced by intravitreal injection of vascular endothelial growth factor (VEGF). Dex-DS was found to be safe in a four-week repeated dose biocompatibility study in healthy rabbits.","author":[{"dropping-particle":"","family":"Ross","given":"Amy E.","non-dropping-particle":"","parse-names":false,"suffix":""},{"dropping-particle":"","family":"Bengani","given":"Lokendrakumar C.","non-dropping-particle":"","parse-names":false,"suffix":""},{"dropping-particle":"","family":"Tulsan","given":"Rehka","non-dropping-particle":"","parse-names":false,"suffix":""},{"dropping-particle":"","family":"Maidana","given":"Daniel E.","non-dropping-particle":"","parse-names":false,"suffix":""},{"dropping-particle":"","family":"Salvador-Culla","given":"Borja","non-dropping-particle":"","parse-names":false,"suffix":""},{"dropping-particle":"","family":"Kobashi","given":"Hidenaga","non-dropping-particle":"","parse-names":false,"suffix":""},{"dropping-particle":"","family":"Kolovou","given":"Paraskevi E.","non-dropping-particle":"","parse-names":false,"suffix":""},{"dropping-particle":"","family":"Zhai","given":"Hualei","non-dropping-particle":"","parse-names":false,"suffix":""},{"dropping-particle":"","family":"Taghizadeh","given":"Koli","non-dropping-particle":"","parse-names":false,"suffix":""},{"dropping-particle":"","family":"Kuang","given":"Liangju","non-dropping-particle":"","parse-names":false,"suffix":""},{"dropping-particle":"","family":"Mehta","given":"Manisha","non-dropping-particle":"","parse-names":false,"suffix":""},{"dropping-particle":"","family":"Vavvas","given":"Demetrios G.","non-dropping-particle":"","parse-names":false,"suffix":""},{"dropping-particle":"","family":"Kohane","given":"Daniel S.","non-dropping-particle":"","parse-names":false,"suffix":""},{"dropping-particle":"","family":"Ciolino","given":"Joseph B.","non-dropping-particle":"","parse-names":false,"suffix":""}],"container-title":"Biomaterials","id":"ITEM-1","issue":"March","issued":{"date-parts":[["2019"]]},"page":"119285","publisher":"Elsevier","title":"Topical sustained drug delivery to the retina with a drug-eluting contact lens","type":"article-journal","volume":"217"},"uris":["http://www.mendeley.com/documents/?uuid=1ad93ed3-c1c7-48ec-9d53-770ff6135cc8"]}],"mendeley":{"formattedCitation":"[1]","plainTextFormattedCitation":"[1]","previouslyFormattedCitation":"[1]"},"properties":{"noteIndex":0},"schema":"https://github.com/citation-style-language/schema/raw/master/csl-citation.json"}</w:instrText>
      </w:r>
      <w:r w:rsidRPr="000D31FD">
        <w:rPr>
          <w:rFonts w:ascii="Times New Roman" w:hAnsi="Times New Roman" w:cs="Times New Roman"/>
          <w:i/>
          <w:iCs/>
          <w:sz w:val="24"/>
          <w:szCs w:val="24"/>
        </w:rPr>
        <w:fldChar w:fldCharType="separate"/>
      </w:r>
      <w:r w:rsidR="00C76D48" w:rsidRPr="00C76D48">
        <w:rPr>
          <w:rFonts w:ascii="Times New Roman" w:hAnsi="Times New Roman" w:cs="Times New Roman"/>
          <w:iCs/>
          <w:noProof/>
          <w:sz w:val="24"/>
          <w:szCs w:val="24"/>
        </w:rPr>
        <w:t>[1]</w:t>
      </w:r>
      <w:r w:rsidRPr="000D31FD">
        <w:rPr>
          <w:rFonts w:ascii="Times New Roman" w:hAnsi="Times New Roman" w:cs="Times New Roman"/>
          <w:i/>
          <w:iCs/>
          <w:sz w:val="24"/>
          <w:szCs w:val="24"/>
        </w:rPr>
        <w:fldChar w:fldCharType="end"/>
      </w:r>
      <w:r w:rsidRPr="000D31FD">
        <w:rPr>
          <w:rFonts w:ascii="Times New Roman" w:hAnsi="Times New Roman" w:cs="Times New Roman"/>
          <w:i/>
          <w:iCs/>
          <w:sz w:val="24"/>
          <w:szCs w:val="24"/>
        </w:rPr>
        <w:t xml:space="preserve"> were fitted to an exponential curve, then AUC was calculated integrating up to </w:t>
      </w:r>
      <w:proofErr w:type="spellStart"/>
      <w:r w:rsidRPr="000D31FD">
        <w:rPr>
          <w:rFonts w:ascii="Times New Roman" w:hAnsi="Times New Roman" w:cs="Times New Roman"/>
          <w:i/>
          <w:iCs/>
          <w:sz w:val="24"/>
          <w:szCs w:val="24"/>
        </w:rPr>
        <w:t>C</w:t>
      </w:r>
      <w:r w:rsidRPr="000D31FD">
        <w:rPr>
          <w:rFonts w:ascii="Times New Roman" w:hAnsi="Times New Roman" w:cs="Times New Roman"/>
          <w:i/>
          <w:iCs/>
          <w:sz w:val="24"/>
          <w:szCs w:val="24"/>
          <w:vertAlign w:val="subscript"/>
        </w:rPr>
        <w:t>aq</w:t>
      </w:r>
      <w:proofErr w:type="spellEnd"/>
      <w:r w:rsidRPr="000D31FD">
        <w:rPr>
          <w:rFonts w:ascii="Times New Roman" w:hAnsi="Times New Roman" w:cs="Times New Roman"/>
          <w:i/>
          <w:iCs/>
          <w:sz w:val="24"/>
          <w:szCs w:val="24"/>
          <w:vertAlign w:val="subscript"/>
        </w:rPr>
        <w:t xml:space="preserve"> </w:t>
      </w:r>
      <w:r w:rsidRPr="000D31FD">
        <w:rPr>
          <w:rFonts w:ascii="Times New Roman" w:hAnsi="Times New Roman" w:cs="Times New Roman"/>
          <w:i/>
          <w:iCs/>
          <w:sz w:val="24"/>
          <w:szCs w:val="24"/>
        </w:rPr>
        <w:t>= 0.</w:t>
      </w:r>
    </w:p>
    <w:p w14:paraId="15AFA340" w14:textId="77777777" w:rsidR="00905481" w:rsidRDefault="00905481" w:rsidP="00905481">
      <w:pPr>
        <w:rPr>
          <w:rFonts w:ascii="Times New Roman" w:hAnsi="Times New Roman" w:cs="Times New Roman"/>
          <w:sz w:val="24"/>
          <w:szCs w:val="24"/>
          <w:highlight w:val="yellow"/>
        </w:rPr>
      </w:pPr>
    </w:p>
    <w:p w14:paraId="4D81F382" w14:textId="77777777" w:rsidR="00C76D48" w:rsidRDefault="00C76D48" w:rsidP="00905481">
      <w:pPr>
        <w:rPr>
          <w:rFonts w:ascii="Times New Roman" w:hAnsi="Times New Roman" w:cs="Times New Roman"/>
          <w:sz w:val="24"/>
          <w:szCs w:val="24"/>
          <w:highlight w:val="yellow"/>
        </w:rPr>
      </w:pPr>
    </w:p>
    <w:p w14:paraId="593D1C78" w14:textId="77777777" w:rsidR="00C76D48" w:rsidRDefault="00C76D48" w:rsidP="00905481">
      <w:pPr>
        <w:rPr>
          <w:rFonts w:ascii="Times New Roman" w:hAnsi="Times New Roman" w:cs="Times New Roman"/>
          <w:sz w:val="24"/>
          <w:szCs w:val="24"/>
          <w:highlight w:val="yellow"/>
        </w:rPr>
      </w:pPr>
    </w:p>
    <w:p w14:paraId="1E3672BC" w14:textId="77777777" w:rsidR="00C76D48" w:rsidRDefault="00C76D48" w:rsidP="00905481">
      <w:pPr>
        <w:rPr>
          <w:rFonts w:ascii="Times New Roman" w:hAnsi="Times New Roman" w:cs="Times New Roman"/>
          <w:sz w:val="24"/>
          <w:szCs w:val="24"/>
          <w:highlight w:val="yellow"/>
        </w:rPr>
      </w:pPr>
    </w:p>
    <w:p w14:paraId="07EC4A38" w14:textId="77777777" w:rsidR="00C76D48" w:rsidRDefault="00C76D48" w:rsidP="00905481">
      <w:pPr>
        <w:rPr>
          <w:rFonts w:ascii="Times New Roman" w:hAnsi="Times New Roman" w:cs="Times New Roman"/>
          <w:sz w:val="24"/>
          <w:szCs w:val="24"/>
          <w:highlight w:val="yellow"/>
        </w:rPr>
      </w:pPr>
    </w:p>
    <w:p w14:paraId="7547F4DF" w14:textId="77777777" w:rsidR="00C76D48" w:rsidRDefault="00C76D48" w:rsidP="00905481">
      <w:pPr>
        <w:rPr>
          <w:rFonts w:ascii="Times New Roman" w:hAnsi="Times New Roman" w:cs="Times New Roman"/>
          <w:sz w:val="24"/>
          <w:szCs w:val="24"/>
          <w:highlight w:val="yellow"/>
        </w:rPr>
      </w:pPr>
    </w:p>
    <w:p w14:paraId="1D379C98" w14:textId="77777777" w:rsidR="00C76D48" w:rsidRDefault="00C76D48" w:rsidP="00905481">
      <w:pPr>
        <w:rPr>
          <w:rFonts w:ascii="Times New Roman" w:hAnsi="Times New Roman" w:cs="Times New Roman"/>
          <w:sz w:val="24"/>
          <w:szCs w:val="24"/>
          <w:highlight w:val="yellow"/>
        </w:rPr>
      </w:pPr>
    </w:p>
    <w:p w14:paraId="21BF4104" w14:textId="77777777" w:rsidR="00C76D48" w:rsidRDefault="00C76D48" w:rsidP="00905481">
      <w:pPr>
        <w:rPr>
          <w:rFonts w:ascii="Times New Roman" w:hAnsi="Times New Roman" w:cs="Times New Roman"/>
          <w:sz w:val="24"/>
          <w:szCs w:val="24"/>
          <w:highlight w:val="yellow"/>
        </w:rPr>
      </w:pPr>
    </w:p>
    <w:p w14:paraId="1979E0E0" w14:textId="77777777" w:rsidR="00C76D48" w:rsidRDefault="00C76D48" w:rsidP="00905481">
      <w:pPr>
        <w:rPr>
          <w:rFonts w:ascii="Times New Roman" w:hAnsi="Times New Roman" w:cs="Times New Roman"/>
          <w:sz w:val="24"/>
          <w:szCs w:val="24"/>
          <w:highlight w:val="yellow"/>
        </w:rPr>
      </w:pPr>
    </w:p>
    <w:p w14:paraId="78975DA7" w14:textId="77777777" w:rsidR="00C76D48" w:rsidRDefault="00C76D48" w:rsidP="00905481">
      <w:pPr>
        <w:rPr>
          <w:rFonts w:ascii="Times New Roman" w:hAnsi="Times New Roman" w:cs="Times New Roman"/>
          <w:sz w:val="24"/>
          <w:szCs w:val="24"/>
          <w:highlight w:val="yellow"/>
        </w:rPr>
      </w:pPr>
    </w:p>
    <w:p w14:paraId="6B3E93F8" w14:textId="77777777" w:rsidR="00C76D48" w:rsidRDefault="00C76D48" w:rsidP="00905481">
      <w:pPr>
        <w:rPr>
          <w:rFonts w:ascii="Times New Roman" w:hAnsi="Times New Roman" w:cs="Times New Roman"/>
          <w:sz w:val="24"/>
          <w:szCs w:val="24"/>
          <w:highlight w:val="yellow"/>
        </w:rPr>
      </w:pPr>
    </w:p>
    <w:p w14:paraId="7DE33438" w14:textId="77777777" w:rsidR="00C76D48" w:rsidRPr="000D31FD" w:rsidRDefault="00C76D48" w:rsidP="00905481">
      <w:pPr>
        <w:rPr>
          <w:rFonts w:ascii="Times New Roman" w:hAnsi="Times New Roman" w:cs="Times New Roman"/>
          <w:sz w:val="24"/>
          <w:szCs w:val="24"/>
          <w:highlight w:val="yellow"/>
        </w:rPr>
      </w:pPr>
    </w:p>
    <w:p w14:paraId="0E1685B3" w14:textId="77777777" w:rsidR="00905481" w:rsidRPr="000D31FD" w:rsidRDefault="00905481" w:rsidP="00905481">
      <w:pPr>
        <w:pStyle w:val="Didascalia"/>
        <w:keepNext/>
        <w:spacing w:before="240"/>
        <w:jc w:val="center"/>
        <w:rPr>
          <w:rFonts w:ascii="Times New Roman" w:hAnsi="Times New Roman" w:cs="Times New Roman"/>
          <w:color w:val="auto"/>
          <w:sz w:val="24"/>
          <w:szCs w:val="24"/>
          <w:lang w:val="en-US"/>
        </w:rPr>
      </w:pPr>
      <w:r w:rsidRPr="00C76D48">
        <w:rPr>
          <w:rFonts w:ascii="Times New Roman" w:hAnsi="Times New Roman" w:cs="Times New Roman"/>
          <w:color w:val="auto"/>
          <w:sz w:val="24"/>
          <w:szCs w:val="24"/>
          <w:lang w:val="en-US"/>
        </w:rPr>
        <w:lastRenderedPageBreak/>
        <w:t>Supplementary Table S1. Drug- and SCL-specific parameters used in the simulations for each reported experimental data set.</w:t>
      </w:r>
    </w:p>
    <w:tbl>
      <w:tblPr>
        <w:tblStyle w:val="Grigliatabella"/>
        <w:tblW w:w="0" w:type="auto"/>
        <w:tblInd w:w="7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64"/>
        <w:gridCol w:w="851"/>
        <w:gridCol w:w="986"/>
        <w:gridCol w:w="868"/>
        <w:gridCol w:w="849"/>
        <w:gridCol w:w="719"/>
        <w:gridCol w:w="785"/>
        <w:gridCol w:w="896"/>
        <w:gridCol w:w="916"/>
        <w:gridCol w:w="647"/>
      </w:tblGrid>
      <w:tr w:rsidR="00905481" w:rsidRPr="000D31FD" w14:paraId="530E803E" w14:textId="77777777" w:rsidTr="001214A4">
        <w:trPr>
          <w:trHeight w:val="417"/>
        </w:trPr>
        <w:tc>
          <w:tcPr>
            <w:tcW w:w="1764" w:type="dxa"/>
            <w:vMerge w:val="restart"/>
            <w:tcBorders>
              <w:right w:val="single" w:sz="4" w:space="0" w:color="auto"/>
            </w:tcBorders>
            <w:shd w:val="clear" w:color="auto" w:fill="auto"/>
            <w:vAlign w:val="center"/>
          </w:tcPr>
          <w:p w14:paraId="1113E764" w14:textId="77777777" w:rsidR="00905481" w:rsidRPr="000D31FD" w:rsidRDefault="00905481" w:rsidP="00667EB7">
            <w:pPr>
              <w:pStyle w:val="Paragrafoelenco"/>
              <w:spacing w:line="276" w:lineRule="auto"/>
              <w:ind w:left="0"/>
              <w:jc w:val="center"/>
              <w:rPr>
                <w:rFonts w:ascii="Times New Roman" w:hAnsi="Times New Roman" w:cs="Times New Roman"/>
                <w:b/>
                <w:bCs/>
                <w:sz w:val="24"/>
                <w:szCs w:val="24"/>
                <w:lang w:val="en-US"/>
              </w:rPr>
            </w:pPr>
            <w:r w:rsidRPr="000D31FD">
              <w:rPr>
                <w:rFonts w:ascii="Times New Roman" w:hAnsi="Times New Roman" w:cs="Times New Roman"/>
                <w:b/>
                <w:bCs/>
                <w:sz w:val="24"/>
                <w:szCs w:val="24"/>
                <w:lang w:val="en-US"/>
              </w:rPr>
              <w:t>Drug</w:t>
            </w:r>
          </w:p>
        </w:tc>
        <w:tc>
          <w:tcPr>
            <w:tcW w:w="5058" w:type="dxa"/>
            <w:gridSpan w:val="6"/>
            <w:tcBorders>
              <w:left w:val="single" w:sz="4" w:space="0" w:color="auto"/>
              <w:right w:val="single" w:sz="4" w:space="0" w:color="auto"/>
            </w:tcBorders>
            <w:shd w:val="clear" w:color="auto" w:fill="auto"/>
            <w:vAlign w:val="center"/>
          </w:tcPr>
          <w:p w14:paraId="43A0A61E" w14:textId="77777777" w:rsidR="00905481" w:rsidRPr="000D31FD" w:rsidRDefault="00905481" w:rsidP="00667EB7">
            <w:pPr>
              <w:pStyle w:val="Paragrafoelenco"/>
              <w:spacing w:line="276" w:lineRule="auto"/>
              <w:ind w:left="0"/>
              <w:jc w:val="center"/>
              <w:rPr>
                <w:rFonts w:ascii="Times New Roman" w:hAnsi="Times New Roman" w:cs="Times New Roman"/>
                <w:b/>
                <w:bCs/>
                <w:sz w:val="24"/>
                <w:szCs w:val="24"/>
                <w:lang w:val="en-US"/>
              </w:rPr>
            </w:pPr>
            <w:r w:rsidRPr="000D31FD">
              <w:rPr>
                <w:rFonts w:ascii="Times New Roman" w:hAnsi="Times New Roman" w:cs="Times New Roman"/>
                <w:b/>
                <w:bCs/>
                <w:sz w:val="24"/>
                <w:szCs w:val="24"/>
                <w:lang w:val="en-US"/>
              </w:rPr>
              <w:t>Model input parameters</w:t>
            </w:r>
          </w:p>
        </w:tc>
        <w:tc>
          <w:tcPr>
            <w:tcW w:w="896" w:type="dxa"/>
            <w:vMerge w:val="restart"/>
            <w:tcBorders>
              <w:left w:val="single" w:sz="4" w:space="0" w:color="auto"/>
              <w:right w:val="single" w:sz="4" w:space="0" w:color="auto"/>
            </w:tcBorders>
            <w:shd w:val="clear" w:color="auto" w:fill="auto"/>
            <w:vAlign w:val="center"/>
          </w:tcPr>
          <w:p w14:paraId="0511AEFC" w14:textId="77777777" w:rsidR="00905481" w:rsidRPr="000D31FD" w:rsidRDefault="00905481" w:rsidP="00667EB7">
            <w:pPr>
              <w:pStyle w:val="Paragrafoelenco"/>
              <w:spacing w:line="276" w:lineRule="auto"/>
              <w:ind w:left="0"/>
              <w:jc w:val="center"/>
              <w:rPr>
                <w:rFonts w:ascii="Times New Roman" w:hAnsi="Times New Roman" w:cs="Times New Roman"/>
                <w:b/>
                <w:bCs/>
                <w:sz w:val="24"/>
                <w:szCs w:val="24"/>
                <w:lang w:val="en-US"/>
              </w:rPr>
            </w:pPr>
            <w:r w:rsidRPr="000D31FD">
              <w:rPr>
                <w:rFonts w:ascii="Times New Roman" w:hAnsi="Times New Roman" w:cs="Times New Roman"/>
                <w:b/>
                <w:bCs/>
                <w:i/>
                <w:iCs/>
                <w:sz w:val="24"/>
                <w:szCs w:val="24"/>
                <w:lang w:val="en-US"/>
              </w:rPr>
              <w:t>In vivo</w:t>
            </w:r>
            <w:r w:rsidRPr="000D31FD">
              <w:rPr>
                <w:rFonts w:ascii="Times New Roman" w:hAnsi="Times New Roman" w:cs="Times New Roman"/>
                <w:b/>
                <w:bCs/>
                <w:sz w:val="24"/>
                <w:szCs w:val="24"/>
                <w:lang w:val="en-US"/>
              </w:rPr>
              <w:t xml:space="preserve"> data source</w:t>
            </w:r>
          </w:p>
        </w:tc>
        <w:tc>
          <w:tcPr>
            <w:tcW w:w="1563" w:type="dxa"/>
            <w:gridSpan w:val="2"/>
            <w:tcBorders>
              <w:left w:val="single" w:sz="4" w:space="0" w:color="auto"/>
            </w:tcBorders>
            <w:shd w:val="clear" w:color="auto" w:fill="auto"/>
            <w:vAlign w:val="center"/>
          </w:tcPr>
          <w:p w14:paraId="1272A41C" w14:textId="77777777" w:rsidR="00905481" w:rsidRPr="000D31FD" w:rsidRDefault="00905481" w:rsidP="00667EB7">
            <w:pPr>
              <w:pStyle w:val="Paragrafoelenco"/>
              <w:spacing w:line="276" w:lineRule="auto"/>
              <w:ind w:left="0"/>
              <w:jc w:val="center"/>
              <w:rPr>
                <w:rFonts w:ascii="Times New Roman" w:hAnsi="Times New Roman" w:cs="Times New Roman"/>
                <w:b/>
                <w:bCs/>
                <w:sz w:val="24"/>
                <w:szCs w:val="24"/>
                <w:lang w:val="en-US"/>
              </w:rPr>
            </w:pPr>
            <w:r w:rsidRPr="000D31FD">
              <w:rPr>
                <w:rFonts w:ascii="Times New Roman" w:hAnsi="Times New Roman" w:cs="Times New Roman"/>
                <w:b/>
                <w:bCs/>
                <w:sz w:val="24"/>
                <w:szCs w:val="24"/>
                <w:lang w:val="en-US"/>
              </w:rPr>
              <w:t>logD</w:t>
            </w:r>
            <w:r w:rsidRPr="000D31FD">
              <w:rPr>
                <w:rFonts w:ascii="Times New Roman" w:hAnsi="Times New Roman" w:cs="Times New Roman"/>
                <w:b/>
                <w:bCs/>
                <w:sz w:val="24"/>
                <w:szCs w:val="24"/>
                <w:vertAlign w:val="subscript"/>
                <w:lang w:val="en-US"/>
              </w:rPr>
              <w:t>7.4</w:t>
            </w:r>
          </w:p>
        </w:tc>
      </w:tr>
      <w:tr w:rsidR="00905481" w:rsidRPr="000D31FD" w14:paraId="236FF6BF" w14:textId="77777777" w:rsidTr="001214A4">
        <w:tc>
          <w:tcPr>
            <w:tcW w:w="1764" w:type="dxa"/>
            <w:vMerge/>
            <w:tcBorders>
              <w:right w:val="single" w:sz="4" w:space="0" w:color="auto"/>
            </w:tcBorders>
            <w:shd w:val="clear" w:color="auto" w:fill="auto"/>
            <w:vAlign w:val="center"/>
          </w:tcPr>
          <w:p w14:paraId="6E5A9B98"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p>
        </w:tc>
        <w:tc>
          <w:tcPr>
            <w:tcW w:w="851" w:type="dxa"/>
            <w:tcBorders>
              <w:left w:val="single" w:sz="4" w:space="0" w:color="auto"/>
            </w:tcBorders>
            <w:shd w:val="clear" w:color="auto" w:fill="auto"/>
            <w:vAlign w:val="center"/>
          </w:tcPr>
          <w:p w14:paraId="25100497"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vertAlign w:val="subscript"/>
                <w:lang w:val="en-US"/>
              </w:rPr>
            </w:pPr>
            <w:proofErr w:type="spellStart"/>
            <w:r w:rsidRPr="000D31FD">
              <w:rPr>
                <w:rFonts w:ascii="Times New Roman" w:hAnsi="Times New Roman" w:cs="Times New Roman"/>
                <w:sz w:val="24"/>
                <w:szCs w:val="24"/>
                <w:lang w:val="en-US"/>
              </w:rPr>
              <w:t>P</w:t>
            </w:r>
            <w:r w:rsidRPr="000D31FD">
              <w:rPr>
                <w:rFonts w:ascii="Times New Roman" w:hAnsi="Times New Roman" w:cs="Times New Roman"/>
                <w:sz w:val="24"/>
                <w:szCs w:val="24"/>
                <w:vertAlign w:val="subscript"/>
                <w:lang w:val="en-US"/>
              </w:rPr>
              <w:t>Conj</w:t>
            </w:r>
            <w:r w:rsidRPr="000D31FD">
              <w:rPr>
                <w:rFonts w:ascii="Times New Roman" w:hAnsi="Times New Roman" w:cs="Times New Roman"/>
                <w:sz w:val="24"/>
                <w:szCs w:val="24"/>
                <w:vertAlign w:val="superscript"/>
                <w:lang w:val="en-US"/>
              </w:rPr>
              <w:t>a</w:t>
            </w:r>
            <w:proofErr w:type="spellEnd"/>
          </w:p>
          <w:p w14:paraId="728CDDC2" w14:textId="77777777" w:rsidR="00905481" w:rsidRPr="000D31FD" w:rsidRDefault="00905481" w:rsidP="00667EB7">
            <w:pPr>
              <w:pStyle w:val="Paragrafoelenco"/>
              <w:spacing w:line="276" w:lineRule="auto"/>
              <w:ind w:left="0"/>
              <w:jc w:val="center"/>
              <w:rPr>
                <w:rFonts w:ascii="Times New Roman" w:hAnsi="Times New Roman" w:cs="Times New Roman"/>
                <w:color w:val="FF0000"/>
                <w:sz w:val="24"/>
                <w:szCs w:val="24"/>
                <w:lang w:val="en-US"/>
              </w:rPr>
            </w:pPr>
            <w:r w:rsidRPr="000D31FD">
              <w:rPr>
                <w:rFonts w:ascii="Times New Roman" w:hAnsi="Times New Roman" w:cs="Times New Roman"/>
                <w:sz w:val="24"/>
                <w:szCs w:val="24"/>
                <w:lang w:val="en-US"/>
              </w:rPr>
              <w:t>(cm/s)</w:t>
            </w:r>
          </w:p>
        </w:tc>
        <w:tc>
          <w:tcPr>
            <w:tcW w:w="986" w:type="dxa"/>
            <w:vAlign w:val="center"/>
          </w:tcPr>
          <w:p w14:paraId="21245191"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vertAlign w:val="superscript"/>
                <w:lang w:val="en-US"/>
              </w:rPr>
            </w:pPr>
            <w:proofErr w:type="spellStart"/>
            <w:r w:rsidRPr="000D31FD">
              <w:rPr>
                <w:rFonts w:ascii="Times New Roman" w:hAnsi="Times New Roman" w:cs="Times New Roman"/>
                <w:sz w:val="24"/>
                <w:szCs w:val="24"/>
                <w:lang w:val="en-US"/>
              </w:rPr>
              <w:t>P</w:t>
            </w:r>
            <w:r w:rsidRPr="000D31FD">
              <w:rPr>
                <w:rFonts w:ascii="Times New Roman" w:hAnsi="Times New Roman" w:cs="Times New Roman"/>
                <w:sz w:val="24"/>
                <w:szCs w:val="24"/>
                <w:vertAlign w:val="subscript"/>
                <w:lang w:val="en-US"/>
              </w:rPr>
              <w:t>ScCh-Ret</w:t>
            </w:r>
            <w:r w:rsidRPr="000D31FD">
              <w:rPr>
                <w:rFonts w:ascii="Times New Roman" w:hAnsi="Times New Roman" w:cs="Times New Roman"/>
                <w:sz w:val="24"/>
                <w:szCs w:val="24"/>
                <w:vertAlign w:val="superscript"/>
                <w:lang w:val="en-US"/>
              </w:rPr>
              <w:t>b</w:t>
            </w:r>
            <w:proofErr w:type="spellEnd"/>
          </w:p>
          <w:p w14:paraId="0959E558"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(cm/s)</w:t>
            </w:r>
          </w:p>
        </w:tc>
        <w:tc>
          <w:tcPr>
            <w:tcW w:w="868" w:type="dxa"/>
            <w:shd w:val="clear" w:color="auto" w:fill="auto"/>
            <w:vAlign w:val="center"/>
          </w:tcPr>
          <w:p w14:paraId="58C02740"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vertAlign w:val="superscript"/>
                <w:lang w:val="en-US"/>
              </w:rPr>
            </w:pPr>
            <w:proofErr w:type="spellStart"/>
            <w:r w:rsidRPr="000D31FD">
              <w:rPr>
                <w:rFonts w:ascii="Times New Roman" w:hAnsi="Times New Roman" w:cs="Times New Roman"/>
                <w:sz w:val="24"/>
                <w:szCs w:val="24"/>
                <w:lang w:val="en-US"/>
              </w:rPr>
              <w:t>P</w:t>
            </w:r>
            <w:r w:rsidRPr="000D31FD">
              <w:rPr>
                <w:rFonts w:ascii="Times New Roman" w:hAnsi="Times New Roman" w:cs="Times New Roman"/>
                <w:sz w:val="24"/>
                <w:szCs w:val="24"/>
                <w:vertAlign w:val="subscript"/>
                <w:lang w:val="en-US"/>
              </w:rPr>
              <w:t>Ret-Vit</w:t>
            </w:r>
            <w:r w:rsidRPr="000D31FD">
              <w:rPr>
                <w:rFonts w:ascii="Times New Roman" w:hAnsi="Times New Roman" w:cs="Times New Roman"/>
                <w:sz w:val="24"/>
                <w:szCs w:val="24"/>
                <w:vertAlign w:val="superscript"/>
                <w:lang w:val="en-US"/>
              </w:rPr>
              <w:t>c</w:t>
            </w:r>
            <w:proofErr w:type="spellEnd"/>
          </w:p>
          <w:p w14:paraId="5EAEAAA0"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(cm/s)</w:t>
            </w:r>
          </w:p>
        </w:tc>
        <w:tc>
          <w:tcPr>
            <w:tcW w:w="849" w:type="dxa"/>
            <w:shd w:val="clear" w:color="auto" w:fill="auto"/>
            <w:vAlign w:val="center"/>
          </w:tcPr>
          <w:p w14:paraId="6DD496F0"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proofErr w:type="spellStart"/>
            <w:r w:rsidRPr="000D31FD">
              <w:rPr>
                <w:rFonts w:ascii="Times New Roman" w:hAnsi="Times New Roman" w:cs="Times New Roman"/>
                <w:sz w:val="24"/>
                <w:szCs w:val="24"/>
                <w:lang w:val="en-US"/>
              </w:rPr>
              <w:t>K</w:t>
            </w:r>
            <w:r w:rsidRPr="000D31FD">
              <w:rPr>
                <w:rFonts w:ascii="Times New Roman" w:hAnsi="Times New Roman" w:cs="Times New Roman"/>
                <w:sz w:val="24"/>
                <w:szCs w:val="24"/>
                <w:vertAlign w:val="subscript"/>
                <w:lang w:val="en-US"/>
              </w:rPr>
              <w:t>ScCh</w:t>
            </w:r>
            <w:r w:rsidRPr="000D31FD">
              <w:rPr>
                <w:rFonts w:ascii="Times New Roman" w:hAnsi="Times New Roman" w:cs="Times New Roman"/>
                <w:sz w:val="24"/>
                <w:szCs w:val="24"/>
                <w:vertAlign w:val="superscript"/>
                <w:lang w:val="en-US"/>
              </w:rPr>
              <w:t>d</w:t>
            </w:r>
            <w:proofErr w:type="spellEnd"/>
          </w:p>
        </w:tc>
        <w:tc>
          <w:tcPr>
            <w:tcW w:w="719" w:type="dxa"/>
            <w:shd w:val="clear" w:color="auto" w:fill="auto"/>
            <w:vAlign w:val="center"/>
          </w:tcPr>
          <w:p w14:paraId="0FAF54B9"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proofErr w:type="spellStart"/>
            <w:r w:rsidRPr="000D31FD">
              <w:rPr>
                <w:rFonts w:ascii="Times New Roman" w:hAnsi="Times New Roman" w:cs="Times New Roman"/>
                <w:sz w:val="24"/>
                <w:szCs w:val="24"/>
                <w:lang w:val="en-US"/>
              </w:rPr>
              <w:t>K</w:t>
            </w:r>
            <w:r w:rsidRPr="000D31FD">
              <w:rPr>
                <w:rFonts w:ascii="Times New Roman" w:hAnsi="Times New Roman" w:cs="Times New Roman"/>
                <w:sz w:val="24"/>
                <w:szCs w:val="24"/>
                <w:vertAlign w:val="subscript"/>
                <w:lang w:val="en-US"/>
              </w:rPr>
              <w:t>Ret</w:t>
            </w:r>
            <w:r w:rsidRPr="000D31FD">
              <w:rPr>
                <w:rFonts w:ascii="Times New Roman" w:hAnsi="Times New Roman" w:cs="Times New Roman"/>
                <w:sz w:val="24"/>
                <w:szCs w:val="24"/>
                <w:vertAlign w:val="superscript"/>
                <w:lang w:val="en-US"/>
              </w:rPr>
              <w:t>d</w:t>
            </w:r>
            <w:proofErr w:type="spellEnd"/>
          </w:p>
        </w:tc>
        <w:tc>
          <w:tcPr>
            <w:tcW w:w="785" w:type="dxa"/>
            <w:tcBorders>
              <w:bottom w:val="single" w:sz="4" w:space="0" w:color="auto"/>
              <w:right w:val="single" w:sz="4" w:space="0" w:color="auto"/>
            </w:tcBorders>
            <w:shd w:val="clear" w:color="auto" w:fill="auto"/>
            <w:vAlign w:val="center"/>
          </w:tcPr>
          <w:p w14:paraId="54520776"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highlight w:val="yellow"/>
                <w:lang w:val="en-US"/>
              </w:rPr>
            </w:pPr>
            <w:r w:rsidRPr="000D31FD">
              <w:rPr>
                <w:rFonts w:ascii="Times New Roman" w:hAnsi="Times New Roman" w:cs="Times New Roman"/>
                <w:sz w:val="24"/>
                <w:szCs w:val="24"/>
                <w:lang w:val="en-US"/>
              </w:rPr>
              <w:t>F %</w:t>
            </w:r>
            <w:r w:rsidRPr="000D31FD">
              <w:rPr>
                <w:rFonts w:ascii="Times New Roman" w:hAnsi="Times New Roman" w:cs="Times New Roman"/>
                <w:sz w:val="24"/>
                <w:szCs w:val="24"/>
                <w:vertAlign w:val="superscript"/>
                <w:lang w:val="en-US"/>
              </w:rPr>
              <w:t>e</w:t>
            </w:r>
          </w:p>
        </w:tc>
        <w:tc>
          <w:tcPr>
            <w:tcW w:w="896" w:type="dxa"/>
            <w:vMerge/>
            <w:tcBorders>
              <w:left w:val="single" w:sz="4" w:space="0" w:color="auto"/>
              <w:bottom w:val="single" w:sz="4" w:space="0" w:color="auto"/>
              <w:right w:val="single" w:sz="4" w:space="0" w:color="auto"/>
            </w:tcBorders>
            <w:shd w:val="clear" w:color="auto" w:fill="auto"/>
            <w:vAlign w:val="center"/>
          </w:tcPr>
          <w:p w14:paraId="69F513EE"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p>
        </w:tc>
        <w:tc>
          <w:tcPr>
            <w:tcW w:w="916" w:type="dxa"/>
            <w:tcBorders>
              <w:left w:val="single" w:sz="4" w:space="0" w:color="auto"/>
              <w:bottom w:val="single" w:sz="4" w:space="0" w:color="auto"/>
            </w:tcBorders>
            <w:shd w:val="clear" w:color="auto" w:fill="auto"/>
            <w:vAlign w:val="center"/>
          </w:tcPr>
          <w:p w14:paraId="7A0A7809"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Value</w:t>
            </w:r>
          </w:p>
        </w:tc>
        <w:tc>
          <w:tcPr>
            <w:tcW w:w="647" w:type="dxa"/>
            <w:tcBorders>
              <w:left w:val="single" w:sz="4" w:space="0" w:color="auto"/>
              <w:bottom w:val="single" w:sz="4" w:space="0" w:color="auto"/>
            </w:tcBorders>
            <w:vAlign w:val="center"/>
          </w:tcPr>
          <w:p w14:paraId="7EABE4A8"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Ref.</w:t>
            </w:r>
          </w:p>
        </w:tc>
      </w:tr>
      <w:tr w:rsidR="00905481" w:rsidRPr="000D31FD" w14:paraId="7A3D1821" w14:textId="77777777" w:rsidTr="001214A4">
        <w:tc>
          <w:tcPr>
            <w:tcW w:w="1764" w:type="dxa"/>
            <w:shd w:val="clear" w:color="auto" w:fill="auto"/>
            <w:vAlign w:val="center"/>
          </w:tcPr>
          <w:p w14:paraId="1959BEA7"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Dexamethasone</w:t>
            </w:r>
          </w:p>
        </w:tc>
        <w:tc>
          <w:tcPr>
            <w:tcW w:w="851" w:type="dxa"/>
            <w:shd w:val="clear" w:color="auto" w:fill="auto"/>
            <w:vAlign w:val="center"/>
          </w:tcPr>
          <w:p w14:paraId="22F3C82A" w14:textId="7E736460" w:rsidR="00905481" w:rsidRPr="000D31FD" w:rsidRDefault="00905481" w:rsidP="001214A4">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2.5E-06</w:t>
            </w:r>
          </w:p>
        </w:tc>
        <w:tc>
          <w:tcPr>
            <w:tcW w:w="986" w:type="dxa"/>
            <w:vAlign w:val="center"/>
          </w:tcPr>
          <w:p w14:paraId="7D52AF46"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10E-06</w:t>
            </w:r>
          </w:p>
        </w:tc>
        <w:tc>
          <w:tcPr>
            <w:tcW w:w="868" w:type="dxa"/>
            <w:shd w:val="clear" w:color="auto" w:fill="auto"/>
            <w:vAlign w:val="center"/>
          </w:tcPr>
          <w:p w14:paraId="681AFD39"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13E-06</w:t>
            </w:r>
          </w:p>
        </w:tc>
        <w:tc>
          <w:tcPr>
            <w:tcW w:w="849" w:type="dxa"/>
            <w:shd w:val="clear" w:color="auto" w:fill="auto"/>
            <w:vAlign w:val="center"/>
          </w:tcPr>
          <w:p w14:paraId="6E716A04"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15</w:t>
            </w:r>
          </w:p>
        </w:tc>
        <w:tc>
          <w:tcPr>
            <w:tcW w:w="719" w:type="dxa"/>
            <w:shd w:val="clear" w:color="auto" w:fill="auto"/>
            <w:vAlign w:val="center"/>
          </w:tcPr>
          <w:p w14:paraId="0FFD1464"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10</w:t>
            </w:r>
          </w:p>
        </w:tc>
        <w:tc>
          <w:tcPr>
            <w:tcW w:w="785" w:type="dxa"/>
            <w:shd w:val="clear" w:color="auto" w:fill="auto"/>
            <w:vAlign w:val="center"/>
          </w:tcPr>
          <w:p w14:paraId="7B03FA65"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3.49</w:t>
            </w:r>
          </w:p>
        </w:tc>
        <w:tc>
          <w:tcPr>
            <w:tcW w:w="896" w:type="dxa"/>
            <w:shd w:val="clear" w:color="auto" w:fill="auto"/>
            <w:vAlign w:val="center"/>
          </w:tcPr>
          <w:p w14:paraId="62A9EC20" w14:textId="4C49CF91"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{"citationItems":[{"id":"ITEM-1","itemData":{"DOI":"10.1016/j.actbio.2020.08.013","ISSN":"18787568","PMID":"32814140","abstract":"Ocular inflammation is one of the leading causes of blindness worldwide, and steroids in topical ophthalmic solutions (e.g. dexamethasone eye drops) are the mainstay of therapy for ocular inflammation. For many non-infectious ocular inflammatory diseases, such as uveitis, eye drops are administered as often as once every hour. The high frequency of administration coupled with the side effects of eye drops leads to poor adherence for patients. Drug-eluting contact lenses have long been sought as a potentially superior alternative for sustained ocular drug delivery; but loading sufficient drug into contact lenses and control the release of the drug is still a challenge. A dexamethasone releasing contact lens (Dex-Lens) was previously developed by encapsulating a dexamethasone-polymer film within the periphery of a hydrogel-based contact lens. Here, we demonstrate safety and efficacy of the Dex-Lens in rabbit models in the treatment of anterior ocular inflammation. The Dex-Lens delivered drug for 7 days in vivo (rabbit model). In an ocular irritation study (Draize test) with Dex-Lens extracts, no adverse events were observed in normal rabbit eyes. Dex-Lenses effectively inhibited suture-induced corneal neovascularization and inflammation for 7 days and lipopolysaccharide-induced anterior uveitis for 5 days. The efficacy of Dex-Lenses was similar to that of hourly-administered dexamethasone eye drops. In the corneal neovascularization study, substantial corneal edema was observed in rabbit eyes that received no treatment and those that wore a vehicle lens as compared to rabbit eyes that wore the Dex-Lens. Throughout these studies, Dex-Lenses were well tolerated and did not exhibit signs of toxicity. Dexamethasone-eluting contact lenses may be an option for the treatment of ocular inflammation and a platform for ocular drug delivery. Statement of Significance: Inflammation of the eye can happen either on the ocular surface (i.e. the cornea) or inside the eye, both of which can result in loss of vision or even blindness. Ocular inflammation is normally treated by steroid eye drops. Depending on the type and severity of inflammation, patients may have to take drops every hour for days at a time. Such severe dosing regimen can lead to patients missing doses. Also, more than 95% drug in an eye drop never goes inside the eye. Here we present a contact lens that release a steroid (dexamethasone) for seven days at a time. It is much more efficient than eye drops an…","author":[{"dropping-particle":"","family":"Bengani","given":"Lokendrakumar C.","non-dropping-particle":"","parse-names":false,"suffix":""},{"dropping-particle":"","family":"Kobashi","given":"Hidenaga","non-dropping-particle":"","parse-names":false,"suffix":""},{"dropping-particle":"","family":"Ross","given":"Amy E.","non-dropping-particle":"","parse-names":false,"suffix":""},{"dropping-particle":"","family":"Zhai","given":"Hualei","non-dropping-particle":"","parse-names":false,"suffix":""},{"dropping-particle":"","family":"Salvador-Culla","given":"Borja","non-dropping-particle":"","parse-names":false,"suffix":""},{"dropping-particle":"","family":"Tulsan","given":"Rekha","non-dropping-particle":"","parse-names":false,"suffix":""},{"dropping-particle":"","family":"Kolovou","given":"Paraskevi E.","non-dropping-particle":"","parse-names":false,"suffix":""},{"dropping-particle":"","family":"Mittal","given":"Sharad K.","non-dropping-particle":"","parse-names":false,"suffix":""},{"dropping-particle":"","family":"Chauhan","given":"Sunil K.","non-dropping-particle":"","parse-names":false,"suffix":""},{"dropping-particle":"","family":"Kohane","given":"Daniel S.","non-dropping-particle":"","parse-names":false,"suffix":""},{"dropping-particle":"","family":"Ciolino","given":"Joseph B.","non-dropping-particle":"","parse-names":false,"suffix":""}],"container-title":"Acta Biomaterialia","id":"ITEM-1","issued":{"date-parts":[["2020"]]},"page":"149-161","publisher":"Elsevier Ltd","title":"Steroid-eluting contact lenses for corneal and intraocular inflammation","type":"article-journal","volume":"116"},"uris":["http://www.mendeley.com/documents/?uuid=2789632a-0c7b-47ec-b5bb-2246cf07a7aa"]}],"mendeley":{"formattedCitation":"[2]","plainTextFormattedCitation":"[2]","previouslyFormattedCitation":"[2]"},"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[2]</w:t>
            </w:r>
            <w:r w:rsidRPr="000D31FD">
              <w:rPr>
                <w:rFonts w:ascii="Times New Roman" w:hAnsi="Times New Roman" w:cs="Times New Roman"/>
                <w:sz w:val="24"/>
                <w:szCs w:val="24"/>
                <w:lang w:val="en-US"/>
              </w:rPr>
              <w:fldChar w:fldCharType="end"/>
            </w:r>
          </w:p>
        </w:tc>
        <w:tc>
          <w:tcPr>
            <w:tcW w:w="916" w:type="dxa"/>
            <w:vAlign w:val="center"/>
          </w:tcPr>
          <w:p w14:paraId="2BD47625"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1.95</w:t>
            </w:r>
          </w:p>
        </w:tc>
        <w:tc>
          <w:tcPr>
            <w:tcW w:w="647" w:type="dxa"/>
            <w:vAlign w:val="center"/>
          </w:tcPr>
          <w:p w14:paraId="10C54036" w14:textId="308E209C"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{"citationItems":[{"id":"ITEM-1","itemData":{"DOI":"10.1016/j.ijpharm.2022.121515","ISSN":"18733476","PMID":"35091006","abstract":"Topical corticosteroids are used to treat inflammation of the anterior segment. Due to their low water-solubility, they are often formulated as suspensions, but ocular bioavailability of the suspensions is not known. Herein, ocular pharmacokinetics of dexamethasone in albino rabbits was investigated following intracameral administration of dexamethasone solution and topical administration of three commercial suspensions: Maxidex®, TobraDex®, and TobraDexST®. Dexamethasone concentrations in tear fluid, cornea, aqueous humor, conjunctiva and iris-ciliary body were determined. Non-compartmental analysis was performed to estimate the pharmacokinetic parameters of dexamethasone. Following intracameral administration, the clearance and the apparent volume of distribution were estimated to be 13.6 µL/min and 990 µL, respectively. After topical administration, the absolute aqueous humor bioavailability for dexamethasone (&lt;2%) is being reported for the first time. The highest value was obtained for TobraDexST® followed by Maxidex® and TobraDex®. This study provides for the first-time comprehensive and quantitative ocular pharmacokinetic parameters (including absolute bioavailability) for topically instilled dexamethasone suspensions. Furthermore, the new intracameral pharmacokinetic parameters allow a rational and quantitative basis for the design of improved ocular dexamethasone delivery systems.","author":[{"dropping-particle":"","family":"Naageshwaran","given":"Vatsala","non-dropping-particle":"","parse-names":false,"suffix":""},{"dropping-particle":"","family":"Ranta","given":"Veli Pekka","non-dropping-particle":"","parse-names":false,"suffix":""},{"dropping-particle":"","family":"Toropainen","given":"Elisa","non-dropping-particle":"","parse-names":false,"suffix":""},{"dropping-particle":"","family":"Tuomainen","given":"Marjo","non-dropping-particle":"","parse-names":false,"suffix":""},{"dropping-particle":"","family":"Gum","given":"Glenwood","non-dropping-particle":"","parse-names":false,"suffix":""},{"dropping-particle":"","family":"Xie","given":"Enli","non-dropping-particle":"","parse-names":false,"suffix":""},{"dropping-particle":"","family":"Bhoopathy","given":"Siddhartha","non-dropping-particle":"","parse-names":false,"suffix":""},{"dropping-particle":"","family":"Urtti","given":"Arto","non-dropping-particle":"","parse-names":false,"suffix":""},{"dropping-particle":"","family":"Amo","given":"Eva M.","non-dropping-particle":"del","parse-names":false,"suffix":""}],"container-title":"International Journal of Pharmaceutics","id":"ITEM-1","issue":"January 2022","issued":{"date-parts":[["2022"]]},"page":"121515","publisher":"Elsevier B.V.","title":"Topical pharmacokinetics of dexamethasone suspensions in the rabbit eye: Bioavailability comparison","type":"article-journal","volume":"615"},"uris":["http://www.mendeley.com/documents/?uuid=9600e3ec-8315-415c-9f93-e72a16557ca9"]}],"mendeley":{"formattedCitation":"[3]","plainTextFormattedCitation":"[3]","previouslyFormattedCitation":"[3]"},"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[3]</w:t>
            </w:r>
            <w:r w:rsidRPr="000D31FD">
              <w:rPr>
                <w:rFonts w:ascii="Times New Roman" w:hAnsi="Times New Roman" w:cs="Times New Roman"/>
                <w:sz w:val="24"/>
                <w:szCs w:val="24"/>
                <w:lang w:val="en-US"/>
              </w:rPr>
              <w:fldChar w:fldCharType="end"/>
            </w:r>
          </w:p>
        </w:tc>
      </w:tr>
      <w:tr w:rsidR="00905481" w:rsidRPr="000D31FD" w14:paraId="41CC3B2E" w14:textId="77777777" w:rsidTr="001214A4">
        <w:tc>
          <w:tcPr>
            <w:tcW w:w="1764" w:type="dxa"/>
            <w:shd w:val="clear" w:color="auto" w:fill="auto"/>
            <w:vAlign w:val="center"/>
          </w:tcPr>
          <w:p w14:paraId="14D392E4"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Melatonin</w:t>
            </w:r>
          </w:p>
        </w:tc>
        <w:tc>
          <w:tcPr>
            <w:tcW w:w="851" w:type="dxa"/>
            <w:shd w:val="clear" w:color="auto" w:fill="auto"/>
            <w:vAlign w:val="center"/>
          </w:tcPr>
          <w:p w14:paraId="13B6F3B2" w14:textId="3BEFE8BB"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2.5E-06</w:t>
            </w:r>
          </w:p>
        </w:tc>
        <w:tc>
          <w:tcPr>
            <w:tcW w:w="986" w:type="dxa"/>
            <w:vAlign w:val="center"/>
          </w:tcPr>
          <w:p w14:paraId="6CAFB659"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10E-06</w:t>
            </w:r>
          </w:p>
        </w:tc>
        <w:tc>
          <w:tcPr>
            <w:tcW w:w="868" w:type="dxa"/>
            <w:shd w:val="clear" w:color="auto" w:fill="auto"/>
            <w:vAlign w:val="center"/>
          </w:tcPr>
          <w:p w14:paraId="2BF36780"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13E-06</w:t>
            </w:r>
          </w:p>
        </w:tc>
        <w:tc>
          <w:tcPr>
            <w:tcW w:w="849" w:type="dxa"/>
            <w:shd w:val="clear" w:color="auto" w:fill="auto"/>
            <w:vAlign w:val="center"/>
          </w:tcPr>
          <w:p w14:paraId="33D65405"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15</w:t>
            </w:r>
          </w:p>
        </w:tc>
        <w:tc>
          <w:tcPr>
            <w:tcW w:w="719" w:type="dxa"/>
            <w:shd w:val="clear" w:color="auto" w:fill="auto"/>
            <w:vAlign w:val="center"/>
          </w:tcPr>
          <w:p w14:paraId="40621856"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10</w:t>
            </w:r>
          </w:p>
        </w:tc>
        <w:tc>
          <w:tcPr>
            <w:tcW w:w="785" w:type="dxa"/>
            <w:shd w:val="clear" w:color="auto" w:fill="auto"/>
            <w:vAlign w:val="center"/>
          </w:tcPr>
          <w:p w14:paraId="0E4C70E3"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highlight w:val="yellow"/>
                <w:lang w:val="en-US"/>
              </w:rPr>
            </w:pPr>
            <w:r w:rsidRPr="000D31FD">
              <w:rPr>
                <w:rFonts w:ascii="Times New Roman" w:hAnsi="Times New Roman" w:cs="Times New Roman"/>
                <w:sz w:val="24"/>
                <w:szCs w:val="24"/>
                <w:lang w:val="en-US"/>
              </w:rPr>
              <w:t>2.93</w:t>
            </w:r>
          </w:p>
        </w:tc>
        <w:tc>
          <w:tcPr>
            <w:tcW w:w="896" w:type="dxa"/>
            <w:shd w:val="clear" w:color="auto" w:fill="auto"/>
            <w:vAlign w:val="center"/>
          </w:tcPr>
          <w:p w14:paraId="25937F8C" w14:textId="1B450AA9"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{"citationItems":[{"id":"ITEM-1","itemData":{"DOI":"10.3390/pharmaceutics14051019","ISSN":"19994923","abstract":"(1) Background: The purpose of this study was to synthesize melatonin-eluting contact lenses (CLs) and evaluate both the ocular kinetics of the released melatonin and its effect on tear volume and intraocular pressure. (2) Methods: In vitro, melatonin-eluting CLs were synthesized by using non-functionalized (HEMA) and functionalized (HEMA/APMA) monomers. In vivo, a short-term prospective and randomized study was performed on 15 rabbits divided into two groups: 12 rabbits wearing functionalized CLs and 3 rabbits without CLs as a control. The melatonin levels in tears, aqueous humor, vitreous body and retina, tear volume, and intraocular pressure were measured for 8 h. (3) Results: In vitro, both monomers did not show differences in terms of melatonin loading and release (p ≥ 0.05). In vivo, the melatonin concentration was elevated in tears and aqueous humor after 2 and 4 h of wearing CLs, respectively (p &lt; 0.05). Additionally, the CLs increased tear volume for 2 h (p &lt; 0.05). (4) Conclusions: The melatonin-eluting CLs released their content over the ocular surface for at least 2 h, which was associated with a secretagogue effect on tear volume. However, the increased amount of melatonin found in the aqueous humor had no effect on intraocular pressure.","author":[{"dropping-particle":"","family":"Serramito","given":"María","non-dropping-particle":"","parse-names":false,"suffix":""},{"dropping-particle":"","family":"Pereira-da-Mota","given":"Ana F.","non-dropping-particle":"","parse-names":false,"suffix":""},{"dropping-particle":"","family":"Carpena-Torres","given":"Carlos","non-dropping-particle":"","parse-names":false,"suffix":""},{"dropping-particle":"","family":"Huete-Toral","given":"Fernando","non-dropping-particle":"","parse-names":false,"suffix":""},{"dropping-particle":"","family":"Alvarez-Lorenzo","given":"Carmen","non-dropping-particle":"","parse-names":false,"suffix":""},{"dropping-particle":"","family":"Carracedo","given":"Gonzalo","non-dropping-particle":"","parse-names":false,"suffix":""}],"container-title":"Pharmaceutics","id":"ITEM-1","issue":"5","issued":{"date-parts":[["2022"]]},"page":"1019","title":"Melatonin-Eluting Contact Lenses Effect on Tear Volume: In Vitro and In Vivo Experiments","type":"article-journal","volume":"14"},"uris":["http://www.mendeley.com/documents/?uuid=2befeadc-500d-45e4-8778-e215f4b2ae53"]}],"mendeley":{"formattedCitation":"[4]","plainTextFormattedCitation":"[4]","previouslyFormattedCitation":"[4]"},"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[4]</w:t>
            </w:r>
            <w:r w:rsidRPr="000D31FD">
              <w:rPr>
                <w:rFonts w:ascii="Times New Roman" w:hAnsi="Times New Roman" w:cs="Times New Roman"/>
                <w:sz w:val="24"/>
                <w:szCs w:val="24"/>
                <w:lang w:val="en-US"/>
              </w:rPr>
              <w:fldChar w:fldCharType="end"/>
            </w:r>
          </w:p>
        </w:tc>
        <w:tc>
          <w:tcPr>
            <w:tcW w:w="916" w:type="dxa"/>
            <w:vAlign w:val="center"/>
          </w:tcPr>
          <w:p w14:paraId="2690D17D"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1.19</w:t>
            </w:r>
          </w:p>
        </w:tc>
        <w:tc>
          <w:tcPr>
            <w:tcW w:w="647" w:type="dxa"/>
            <w:vAlign w:val="center"/>
          </w:tcPr>
          <w:p w14:paraId="1CC161A8" w14:textId="3D25CEB8"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{"citationItems":[{"id":"ITEM-1","itemData":{"DOI":"10.1021/acs.jmedchem.0c00627","ISSN":"15204804","PMID":"33626870","abstract":"The modulation of melatonin signaling in peripheral tissues holds promise for treating metabolic diseases like obesity, diabetes, and nonalcoholic steatohepatitis. Here, several benzimidazole derivatives have been identified as novel agonists of the melatonin receptors MT1 and MT2. The lead compounds 10b, 15a, and 19a demonstrated subnanomolar potency at MT1/MT2 receptors, high oral bioavailability in rodents, peripherally preferred exposure, and excellent selectivity in a broad panel of targets. Two-month oral administration of 10b in high-fat diet rats led to a reduction in body weight gain similar to dapagliflozin with superior results on hepatic steatosis and triglyceride levels. An early toxicological assessment indicated that 10b (also codified as ACH-000143) was devoid of hERG binding, genotoxicity, and behavioral alterations at doses up to 100 mg/kg p.o., supporting further investigation of this compound as a drug candidate.","author":[{"dropping-particle":"","family":"Ferreira","given":"Marcos Antonio","non-dropping-particle":"","parse-names":false,"suffix":""},{"dropping-particle":"","family":"Azevedo","given":"Hatylas","non-dropping-particle":"","parse-names":false,"suffix":""},{"dropping-particle":"","family":"Mascarello","given":"Alessandra","non-dropping-particle":"","parse-names":false,"suffix":""},{"dropping-particle":"","family":"Segretti","given":"Natanael Dante","non-dropping-particle":"","parse-names":false,"suffix":""},{"dropping-particle":"","family":"Russo","given":"Elisa","non-dropping-particle":"","parse-names":false,"suffix":""},{"dropping-particle":"","family":"Russo","given":"Valter","non-dropping-particle":"","parse-names":false,"suffix":""},{"dropping-particle":"","family":"Guimarães","given":"Cristiano Ruch Werneck","non-dropping-particle":"","parse-names":false,"suffix":""}],"container-title":"Journal of Medicinal Chemistry","id":"ITEM-1","issue":"4","issued":{"date-parts":[["2021"]]},"page":"1904-1929","title":"Discovery of ACH-000143: A Novel Potent and Peripherally Preferred Melatonin Receptor Agonist that Reduces Liver Triglycerides and Steatosis in Diet-Induced Obese Rats","type":"article-journal","volume":"64"},"uris":["http://www.mendeley.com/documents/?uuid=c39984a8-e060-43fc-85f2-9d9a7b4878ff"]}],"mendeley":{"formattedCitation":"[5]","plainTextFormattedCitation":"[5]","previouslyFormattedCitation":"[5]"},"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[5]</w:t>
            </w:r>
            <w:r w:rsidRPr="000D31FD">
              <w:rPr>
                <w:rFonts w:ascii="Times New Roman" w:hAnsi="Times New Roman" w:cs="Times New Roman"/>
                <w:sz w:val="24"/>
                <w:szCs w:val="24"/>
                <w:lang w:val="en-US"/>
              </w:rPr>
              <w:fldChar w:fldCharType="end"/>
            </w:r>
          </w:p>
        </w:tc>
      </w:tr>
      <w:tr w:rsidR="00905481" w:rsidRPr="000D31FD" w14:paraId="4BBAD0AB" w14:textId="77777777" w:rsidTr="001214A4">
        <w:tc>
          <w:tcPr>
            <w:tcW w:w="1764" w:type="dxa"/>
            <w:tcBorders>
              <w:bottom w:val="single" w:sz="4" w:space="0" w:color="auto"/>
            </w:tcBorders>
            <w:shd w:val="clear" w:color="auto" w:fill="auto"/>
            <w:vAlign w:val="center"/>
          </w:tcPr>
          <w:p w14:paraId="530722AF"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Latanoprost</w:t>
            </w:r>
          </w:p>
        </w:tc>
        <w:tc>
          <w:tcPr>
            <w:tcW w:w="851" w:type="dxa"/>
            <w:tcBorders>
              <w:bottom w:val="single" w:sz="4" w:space="0" w:color="auto"/>
            </w:tcBorders>
            <w:shd w:val="clear" w:color="auto" w:fill="auto"/>
            <w:vAlign w:val="center"/>
          </w:tcPr>
          <w:p w14:paraId="53CA7EA5" w14:textId="7DC031F6"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3.0E-06</w:t>
            </w:r>
          </w:p>
        </w:tc>
        <w:tc>
          <w:tcPr>
            <w:tcW w:w="986" w:type="dxa"/>
            <w:tcBorders>
              <w:bottom w:val="single" w:sz="4" w:space="0" w:color="auto"/>
            </w:tcBorders>
            <w:vAlign w:val="center"/>
          </w:tcPr>
          <w:p w14:paraId="1A696F70"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10E-06</w:t>
            </w:r>
          </w:p>
        </w:tc>
        <w:tc>
          <w:tcPr>
            <w:tcW w:w="868" w:type="dxa"/>
            <w:tcBorders>
              <w:bottom w:val="single" w:sz="4" w:space="0" w:color="auto"/>
            </w:tcBorders>
            <w:shd w:val="clear" w:color="auto" w:fill="auto"/>
            <w:vAlign w:val="center"/>
          </w:tcPr>
          <w:p w14:paraId="59E4D9F4"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13E-06</w:t>
            </w:r>
          </w:p>
        </w:tc>
        <w:tc>
          <w:tcPr>
            <w:tcW w:w="849" w:type="dxa"/>
            <w:tcBorders>
              <w:bottom w:val="single" w:sz="4" w:space="0" w:color="auto"/>
            </w:tcBorders>
            <w:shd w:val="clear" w:color="auto" w:fill="auto"/>
            <w:vAlign w:val="center"/>
          </w:tcPr>
          <w:p w14:paraId="3B8A3D4F"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17</w:t>
            </w:r>
          </w:p>
        </w:tc>
        <w:tc>
          <w:tcPr>
            <w:tcW w:w="719" w:type="dxa"/>
            <w:tcBorders>
              <w:bottom w:val="single" w:sz="4" w:space="0" w:color="auto"/>
            </w:tcBorders>
            <w:shd w:val="clear" w:color="auto" w:fill="auto"/>
            <w:vAlign w:val="center"/>
          </w:tcPr>
          <w:p w14:paraId="415EC71B"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11</w:t>
            </w:r>
          </w:p>
        </w:tc>
        <w:tc>
          <w:tcPr>
            <w:tcW w:w="785" w:type="dxa"/>
            <w:tcBorders>
              <w:bottom w:val="single" w:sz="4" w:space="0" w:color="auto"/>
            </w:tcBorders>
            <w:shd w:val="clear" w:color="auto" w:fill="auto"/>
            <w:vAlign w:val="center"/>
          </w:tcPr>
          <w:p w14:paraId="6C09349E"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highlight w:val="yellow"/>
                <w:lang w:val="en-US"/>
              </w:rPr>
            </w:pPr>
            <w:r w:rsidRPr="000D31FD">
              <w:rPr>
                <w:rFonts w:ascii="Times New Roman" w:hAnsi="Times New Roman" w:cs="Times New Roman"/>
                <w:sz w:val="24"/>
                <w:szCs w:val="24"/>
                <w:lang w:val="en-US"/>
              </w:rPr>
              <w:t>2.08</w:t>
            </w:r>
          </w:p>
        </w:tc>
        <w:tc>
          <w:tcPr>
            <w:tcW w:w="896" w:type="dxa"/>
            <w:tcBorders>
              <w:bottom w:val="single" w:sz="4" w:space="0" w:color="auto"/>
            </w:tcBorders>
            <w:shd w:val="clear" w:color="auto" w:fill="auto"/>
            <w:vAlign w:val="center"/>
          </w:tcPr>
          <w:p w14:paraId="38347B20" w14:textId="051399DA"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{"citationItems":[{"id":"ITEM-1","itemData":{"DOI":"10.1016/j.biomaterials.2013.09.032","ISSN":"01429612","abstract":"For nearly half a century, contact lenses have been proposed as a means of ocular drug delivery, but achieving controlled drug release has been a significant challenge. We have developed a drug-eluting contact lens designed for prolonged delivery of latanoprost for the treatment of glaucoma, the leading cause of irreversible blindness worldwide. Latanoprost-eluting contact lenses were created by encapsulating latanoprost-poly(lactic-co-glycolic acid) films in methafilcon by ultraviolet light polymerization. Invitro and invivo studies showed an early burst of drug release followed by sustained release for one month. Contact lenses containing thicker drug-polymer films demonstrated released a greater amount of drug after the initial burst. Invivo, single contact lenses were able to achieve, for at least one month, latanoprost concentrations in the aqueous humor that were comparable to those achieved with topical latanoprost solution, the current first-line treatment for glaucoma. The lenses appeared safe in cell culture and animal studies. This contact lens design can potentially be used as a treatment for glaucoma and as a platform for other ocular drug delivery applications. © 2013 Elsevier Ltd.","author":[{"dropping-particle":"","family":"Ciolino","given":"Joseph B.","non-dropping-particle":"","parse-names":false,"suffix":""},{"dropping-particle":"","family":"Stefanescu","given":"Cristina F.","non-dropping-particle":"","parse-names":false,"suffix":""},{"dropping-particle":"","family":"Ross","given":"Amy E.","non-dropping-particle":"","parse-names":false,"suffix":""},{"dropping-particle":"","family":"Salvador-Culla","given":"Borja","non-dropping-particle":"","parse-names":false,"suffix":""},{"dropping-particle":"","family":"Cortez","given":"Priscila","non-dropping-particle":"","parse-names":false,"suffix":""},{"dropping-particle":"","family":"Ford","given":"Eden M.","non-dropping-particle":"","parse-names":false,"suffix":""},{"dropping-particle":"","family":"Wymbs","given":"Kate A.","non-dropping-particle":"","parse-names":false,"suffix":""},{"dropping-particle":"","family":"Sprague","given":"Sarah L.","non-dropping-particle":"","parse-names":false,"suffix":""},{"dropping-particle":"","family":"Mascoop","given":"Daniel R.","non-dropping-particle":"","parse-names":false,"suffix":""},{"dropping-particle":"","family":"Rudina","given":"Shireen S.","non-dropping-particle":"","parse-names":false,"suffix":""},{"dropping-particle":"","family":"Trauger","given":"Sunia A.","non-dropping-particle":"","parse-names":false,"suffix":""},{"dropping-particle":"","family":"Cade","given":"Fabiano","non-dropping-particle":"","parse-names":false,"suffix":""},{"dropping-particle":"","family":"Kohane","given":"Daniel S.","non-dropping-particle":"","parse-names":false,"suffix":""}],"container-title":"Biomaterials","id":"ITEM-1","issue":"1","issued":{"date-parts":[["2014"]]},"page":"432-439","publisher":"Elsevier Ltd","title":"In vivo performance of a drug-eluting contact lens to treat glaucoma for a month","type":"article-journal","volume":"35"},"uris":["http://www.mendeley.com/documents/?uuid=ac794210-c4c0-430c-92ac-66338043298a"]}],"mendeley":{"formattedCitation":"[6]","plainTextFormattedCitation":"[6]","previouslyFormattedCitation":"[6]"},"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[6]</w:t>
            </w:r>
            <w:r w:rsidRPr="000D31FD">
              <w:rPr>
                <w:rFonts w:ascii="Times New Roman" w:hAnsi="Times New Roman" w:cs="Times New Roman"/>
                <w:sz w:val="24"/>
                <w:szCs w:val="24"/>
                <w:lang w:val="en-US"/>
              </w:rPr>
              <w:fldChar w:fldCharType="end"/>
            </w:r>
          </w:p>
        </w:tc>
        <w:tc>
          <w:tcPr>
            <w:tcW w:w="916" w:type="dxa"/>
            <w:tcBorders>
              <w:bottom w:val="single" w:sz="4" w:space="0" w:color="auto"/>
            </w:tcBorders>
            <w:vAlign w:val="center"/>
          </w:tcPr>
          <w:p w14:paraId="5064397D"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4.28</w:t>
            </w:r>
          </w:p>
        </w:tc>
        <w:tc>
          <w:tcPr>
            <w:tcW w:w="647" w:type="dxa"/>
            <w:tcBorders>
              <w:bottom w:val="single" w:sz="4" w:space="0" w:color="auto"/>
            </w:tcBorders>
            <w:vAlign w:val="center"/>
          </w:tcPr>
          <w:p w14:paraId="2FFE5976" w14:textId="66D8348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{"citationItems":[{"id":"ITEM-1","itemData":{"DOI":"10.1016/j.ejpb.2015.04.032","ISSN":"18733441","PMID":"25960331","abstract":"Latanoprost is a practically insoluble prostaglandin F2α analog considered a first-line agent for glaucoma treatment. From a pharmaceutical point of view, latanoprost is challenging to be formulated as an eye drop due to its poor water solubility and the presence of an ester bond that needs to be cleaved in vivo but maintained unchanged during storage. Cyclodextrins (CDs) are known to form complexes with hydrophobic drugs, influencing their stability, availability, solubility, and tolerance in a non-predictable manner. A variety of CDs including native α, β, and γCDs as well as substituted hydroxypropylβCD, hydroxypropylγCD, dimethylβCD, sulphatedβCD, and propylaminoβCD were screened and the most appropriate CD for the formulation of latanoprost for an ocular topical application was selected. Among the tested CDs, propylaminoβCD had the best trade-off between latanoprost stability and availability, which was confirmed by its complex constant value of 3129 M-1. Phase-solubility and NMR investigations demonstrated that the propylaminoβCD effectively formed a complex involving the ester group of latanoprost providing protection to its ester bond, while ensuring proper latanoprost solubilization. Furthermore, in vivo experiments demonstrated that the latanoprost-propylaminoβCD formulation led to lower ocular irritation than the commercial latanoprost formulation used as a reference. The latanoprost-propylaminoβCD formulation was demonstrated to successfully address the main stability, solubility, and tolerance limitations of topical ocular latanoprost therapy for glaucoma.","author":[{"dropping-particle":"","family":"Rodriguez-Aller","given":"Marta","non-dropping-particle":"","parse-names":false,"suffix":""},{"dropping-particle":"","family":"Guinchard","given":"Sylvie","non-dropping-particle":"","parse-names":false,"suffix":""},{"dropping-particle":"","family":"Guillarme","given":"Davy","non-dropping-particle":"","parse-names":false,"suffix":""},{"dropping-particle":"","family":"Pupier","given":"Marion","non-dropping-particle":"","parse-names":false,"suffix":""},{"dropping-particle":"","family":"Jeannerat","given":"Damien","non-dropping-particle":"","parse-names":false,"suffix":""},{"dropping-particle":"","family":"Rivara-Minten","given":"Elisabeth","non-dropping-particle":"","parse-names":false,"suffix":""},{"dropping-particle":"","family":"Veuthey","given":"Jean Luc","non-dropping-particle":"","parse-names":false,"suffix":""},{"dropping-particle":"","family":"Gurny","given":"Robert","non-dropping-particle":"","parse-names":false,"suffix":""}],"container-title":"European Journal of Pharmaceutics and Biopharmaceutics","id":"ITEM-1","issue":"May","issued":{"date-parts":[["2015"]]},"page":"203-214","publisher":"Elsevier B.V.","title":"New prostaglandin analog formulation for glaucoma treatment containing cyclodextrins for improved stability, solubility and ocular tolerance","type":"article-journal","volume":"95"},"uris":["http://www.mendeley.com/documents/?uuid=f1e7366a-b509-40e6-a817-08256b62f3a2"]}],"mendeley":{"formattedCitation":"[7]","plainTextFormattedCitation":"[7]","previouslyFormattedCitation":"[7]"},"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[7]</w:t>
            </w:r>
            <w:r w:rsidRPr="000D31FD">
              <w:rPr>
                <w:rFonts w:ascii="Times New Roman" w:hAnsi="Times New Roman" w:cs="Times New Roman"/>
                <w:sz w:val="24"/>
                <w:szCs w:val="24"/>
                <w:lang w:val="en-US"/>
              </w:rPr>
              <w:fldChar w:fldCharType="end"/>
            </w:r>
          </w:p>
        </w:tc>
      </w:tr>
      <w:tr w:rsidR="00905481" w:rsidRPr="000D31FD" w14:paraId="4957384E" w14:textId="77777777" w:rsidTr="001214A4">
        <w:tc>
          <w:tcPr>
            <w:tcW w:w="1764" w:type="dxa"/>
            <w:tcBorders>
              <w:bottom w:val="single" w:sz="4" w:space="0" w:color="auto"/>
            </w:tcBorders>
            <w:shd w:val="clear" w:color="auto" w:fill="auto"/>
            <w:vAlign w:val="center"/>
          </w:tcPr>
          <w:p w14:paraId="58E410ED"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Ofloxacin</w:t>
            </w:r>
          </w:p>
        </w:tc>
        <w:tc>
          <w:tcPr>
            <w:tcW w:w="851" w:type="dxa"/>
            <w:tcBorders>
              <w:bottom w:val="single" w:sz="4" w:space="0" w:color="auto"/>
            </w:tcBorders>
            <w:shd w:val="clear" w:color="auto" w:fill="auto"/>
            <w:vAlign w:val="center"/>
          </w:tcPr>
          <w:p w14:paraId="406A4803" w14:textId="51499703"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2.5E-07</w:t>
            </w:r>
          </w:p>
        </w:tc>
        <w:tc>
          <w:tcPr>
            <w:tcW w:w="986" w:type="dxa"/>
            <w:tcBorders>
              <w:bottom w:val="single" w:sz="4" w:space="0" w:color="auto"/>
            </w:tcBorders>
            <w:vAlign w:val="center"/>
          </w:tcPr>
          <w:p w14:paraId="485974DB"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5E-06</w:t>
            </w:r>
          </w:p>
        </w:tc>
        <w:tc>
          <w:tcPr>
            <w:tcW w:w="868" w:type="dxa"/>
            <w:tcBorders>
              <w:bottom w:val="single" w:sz="4" w:space="0" w:color="auto"/>
            </w:tcBorders>
            <w:shd w:val="clear" w:color="auto" w:fill="auto"/>
            <w:vAlign w:val="center"/>
          </w:tcPr>
          <w:p w14:paraId="2AE4C044"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7E-06</w:t>
            </w:r>
          </w:p>
        </w:tc>
        <w:tc>
          <w:tcPr>
            <w:tcW w:w="849" w:type="dxa"/>
            <w:tcBorders>
              <w:bottom w:val="single" w:sz="4" w:space="0" w:color="auto"/>
            </w:tcBorders>
            <w:shd w:val="clear" w:color="auto" w:fill="auto"/>
            <w:vAlign w:val="center"/>
          </w:tcPr>
          <w:p w14:paraId="24B0A7DA"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7</w:t>
            </w:r>
          </w:p>
        </w:tc>
        <w:tc>
          <w:tcPr>
            <w:tcW w:w="719" w:type="dxa"/>
            <w:tcBorders>
              <w:bottom w:val="single" w:sz="4" w:space="0" w:color="auto"/>
            </w:tcBorders>
            <w:shd w:val="clear" w:color="auto" w:fill="auto"/>
            <w:vAlign w:val="center"/>
          </w:tcPr>
          <w:p w14:paraId="2824240C"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5</w:t>
            </w:r>
          </w:p>
        </w:tc>
        <w:tc>
          <w:tcPr>
            <w:tcW w:w="785" w:type="dxa"/>
            <w:tcBorders>
              <w:bottom w:val="single" w:sz="4" w:space="0" w:color="auto"/>
            </w:tcBorders>
            <w:shd w:val="clear" w:color="auto" w:fill="auto"/>
            <w:vAlign w:val="center"/>
          </w:tcPr>
          <w:p w14:paraId="0D87AFA3"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7.07*</w:t>
            </w:r>
          </w:p>
        </w:tc>
        <w:tc>
          <w:tcPr>
            <w:tcW w:w="896" w:type="dxa"/>
            <w:tcBorders>
              <w:bottom w:val="single" w:sz="4" w:space="0" w:color="auto"/>
            </w:tcBorders>
            <w:shd w:val="clear" w:color="auto" w:fill="auto"/>
            <w:vAlign w:val="center"/>
          </w:tcPr>
          <w:p w14:paraId="2969BA70" w14:textId="154EBCDB"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{"citationItems":[{"id":"ITEM-1","itemData":{"DOI":"10.3109/02713683.2015.1050738","ISSN":"14602202","abstract":"Abstract: Purpose: To investigate the efficacy of a topical hydrogel ring for drug delivery to the posterior segment of the rabbit eye. Materials and methods: Novel hydrogel corneal lenses (CL), scleral/corneal lenses (S/CL), and rings were prepared using poly(hydroxyethyl methacrylate). The devices were immersed in 0.3% ofloxacin ophthalmic solution (OOS) to homogeneously distribute the drug throughout the hydrogel. The medicated CL, S/CL, Ring 1 (standard ring), or Ring 2 (shape-optimized ring) was applied to the surface of the cornea, cornea/bulbar conjunctiva, or bulbar conjunctiva of albino rabbits, respectively. Medicated rings did not touch the corneal surface. In another group, one OOS drop was administered to the eye. After 0.25–8 hours, the hydrogel devices were removed and ocular tissues were harvested. High-performance liquid chromatography (HPLC) was used to measure the ofloxacin concentration in the devices and tissues. The drug concentrations in the posterior segment tissues were compared among ofloxacin delivery methods. Results: One hour after placement, eyes treated with Ring 1 or S/CL had markedly higher ofloxacin levels in the posterior segment tissues (conjunctiva, sclera, and retina/choroid) than eyes treated with topical OOS or a CL. Lower levels of ofloxacin were found in anterior segment tissues (cornea and aqueous humor) in eyes treated with Ring 1 compared to those treated with S/CL. Ring 2 most effectively delivered ofloxacin to the retina/choroid. The tissue ofloxacin concentration in the fellow eye was markedly lower than the eye treated with Ring 2. Conclusions: Our results suggest that hydrogel rings are effective in delivering topical ophthalmic drugs to the posterior segment. The drugs are most likely delivered via the transconjunctival/scleral route by lateral diffusion across the bulbar conjunctiva and through the sclera. Systemic drug delivery to the posterior segment is minimal.","author":[{"dropping-particle":"","family":"Shikamura","given":"Yuko","non-dropping-particle":"","parse-names":false,"suffix":""},{"dropping-particle":"","family":"Yamazaki","given":"Yoshiko","non-dropping-particle":"","parse-names":false,"suffix":""},{"dropping-particle":"","family":"Matsunaga","given":"Toru","non-dropping-particle":"","parse-names":false,"suffix":""},{"dropping-particle":"","family":"Sato","given":"Takao","non-dropping-particle":"","parse-names":false,"suffix":""},{"dropping-particle":"","family":"Ohtori","given":"Akira","non-dropping-particle":"","parse-names":false,"suffix":""},{"dropping-particle":"","family":"Tojo","given":"Kakuji","non-dropping-particle":"","parse-names":false,"suffix":""}],"container-title":"Current Eye Research","id":"ITEM-1","issue":"5","issued":{"date-parts":[["2016"]]},"page":"653-661","title":"Hydrogel Ring for Topical Drug Delivery to the Ocular Posterior Segment","type":"article-journal","volume":"41"},"uris":["http://www.mendeley.com/documents/?uuid=3dc941e6-c9d5-47a3-8e95-f571d57da0e8"]}],"mendeley":{"formattedCitation":"[8]","plainTextFormattedCitation":"[8]","previouslyFormattedCitation":"[8]"},"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[8]</w:t>
            </w:r>
            <w:r w:rsidRPr="000D31FD">
              <w:rPr>
                <w:rFonts w:ascii="Times New Roman" w:hAnsi="Times New Roman" w:cs="Times New Roman"/>
                <w:sz w:val="24"/>
                <w:szCs w:val="24"/>
                <w:lang w:val="en-US"/>
              </w:rPr>
              <w:fldChar w:fldCharType="end"/>
            </w:r>
          </w:p>
        </w:tc>
        <w:tc>
          <w:tcPr>
            <w:tcW w:w="916" w:type="dxa"/>
            <w:tcBorders>
              <w:bottom w:val="single" w:sz="4" w:space="0" w:color="auto"/>
            </w:tcBorders>
            <w:vAlign w:val="center"/>
          </w:tcPr>
          <w:p w14:paraId="58221355"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-0.40</w:t>
            </w:r>
          </w:p>
        </w:tc>
        <w:tc>
          <w:tcPr>
            <w:tcW w:w="647" w:type="dxa"/>
            <w:tcBorders>
              <w:bottom w:val="single" w:sz="4" w:space="0" w:color="auto"/>
            </w:tcBorders>
            <w:vAlign w:val="center"/>
          </w:tcPr>
          <w:p w14:paraId="2E4C8A02" w14:textId="3448F18D"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{"citationItems":[{"id":"ITEM-1","itemData":{"DOI":"10.2174/138620709787581693","ISSN":"13862073","PMID":"19275530","abstract":"For years, the physicochemical properties of drug candidates have been used to predict their in vivo pharmacokinetic behaviors. Several theories and empirical correlations have been established by various researchers with the overall goal of expediting the drug candidate selection process, with greater confidence and faster turnaround. This study describes a 96-well reverse phase HPLC method, simultaneously determining LogD, LogP, and pK(a) values of drugs in a throughput mode. The LogD and LogP values of each compound were determined, based on the octanol-aqueous partitioning behavior of the charged and non-charged species under different pH values. The pK(a) value was determined by using the Polynomial fit between LogP and LogD and the equation LogD (pK(a)) approximately LogP-0.301. The advantages of this method are: low sample consumption, suitability for low solubility compounds, less restriction on compound purity, potential for higher throughput, precise data, and multiple determinations in one assay.","author":[{"dropping-particle":"","family":"Chiang","given":"Po-Chang","non-dropping-particle":"","parse-names":false,"suffix":""},{"dropping-particle":"","family":"Hu","given":"Yiding","non-dropping-particle":"","parse-names":false,"suffix":""}],"container-title":"Combinatorial Chemistry &amp; High Throughput Screening","id":"ITEM-1","issue":"3","issued":{"date-parts":[["2009"]]},"page":"250-257","title":"Simultaneous Determination of LogD, LogP, and pKa of Drugs by Using a Reverse Phase HPLC Coupled with a 96-Well Plate Auto Injector","type":"article-journal","volume":"12"},"uris":["http://www.mendeley.com/documents/?uuid=dfd65bf0-d9c9-41c0-8e0d-07b8eafd1566"]}],"mendeley":{"formattedCitation":"[9]","plainTextFormattedCitation":"[9]","previouslyFormattedCitation":"[9]"},"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[9]</w:t>
            </w:r>
            <w:r w:rsidRPr="000D31FD">
              <w:rPr>
                <w:rFonts w:ascii="Times New Roman" w:hAnsi="Times New Roman" w:cs="Times New Roman"/>
                <w:sz w:val="24"/>
                <w:szCs w:val="24"/>
                <w:lang w:val="en-US"/>
              </w:rPr>
              <w:fldChar w:fldCharType="end"/>
            </w:r>
          </w:p>
        </w:tc>
      </w:tr>
      <w:tr w:rsidR="00905481" w:rsidRPr="000D31FD" w14:paraId="6A5A185D" w14:textId="77777777" w:rsidTr="001214A4">
        <w:tc>
          <w:tcPr>
            <w:tcW w:w="1764" w:type="dxa"/>
            <w:tcBorders>
              <w:bottom w:val="single" w:sz="4" w:space="0" w:color="auto"/>
            </w:tcBorders>
            <w:shd w:val="clear" w:color="auto" w:fill="auto"/>
            <w:vAlign w:val="center"/>
          </w:tcPr>
          <w:p w14:paraId="3217F06A"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Pravastatin</w:t>
            </w:r>
          </w:p>
        </w:tc>
        <w:tc>
          <w:tcPr>
            <w:tcW w:w="851" w:type="dxa"/>
            <w:tcBorders>
              <w:bottom w:val="single" w:sz="4" w:space="0" w:color="auto"/>
            </w:tcBorders>
            <w:shd w:val="clear" w:color="auto" w:fill="auto"/>
            <w:vAlign w:val="center"/>
          </w:tcPr>
          <w:p w14:paraId="5B6ED172" w14:textId="0F33369E"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2.5E-07</w:t>
            </w:r>
          </w:p>
        </w:tc>
        <w:tc>
          <w:tcPr>
            <w:tcW w:w="986" w:type="dxa"/>
            <w:tcBorders>
              <w:bottom w:val="single" w:sz="4" w:space="0" w:color="auto"/>
            </w:tcBorders>
            <w:vAlign w:val="center"/>
          </w:tcPr>
          <w:p w14:paraId="4565F26F"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3E-06</w:t>
            </w:r>
          </w:p>
        </w:tc>
        <w:tc>
          <w:tcPr>
            <w:tcW w:w="868" w:type="dxa"/>
            <w:tcBorders>
              <w:bottom w:val="single" w:sz="4" w:space="0" w:color="auto"/>
            </w:tcBorders>
            <w:shd w:val="clear" w:color="auto" w:fill="auto"/>
            <w:vAlign w:val="center"/>
          </w:tcPr>
          <w:p w14:paraId="73125500"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4E-06</w:t>
            </w:r>
          </w:p>
        </w:tc>
        <w:tc>
          <w:tcPr>
            <w:tcW w:w="849" w:type="dxa"/>
            <w:tcBorders>
              <w:bottom w:val="single" w:sz="4" w:space="0" w:color="auto"/>
            </w:tcBorders>
            <w:shd w:val="clear" w:color="auto" w:fill="auto"/>
            <w:vAlign w:val="center"/>
          </w:tcPr>
          <w:p w14:paraId="2153E88C"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3</w:t>
            </w:r>
          </w:p>
        </w:tc>
        <w:tc>
          <w:tcPr>
            <w:tcW w:w="719" w:type="dxa"/>
            <w:tcBorders>
              <w:bottom w:val="single" w:sz="4" w:space="0" w:color="auto"/>
            </w:tcBorders>
            <w:shd w:val="clear" w:color="auto" w:fill="auto"/>
            <w:vAlign w:val="center"/>
          </w:tcPr>
          <w:p w14:paraId="2B0D0CF7"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3</w:t>
            </w:r>
          </w:p>
        </w:tc>
        <w:tc>
          <w:tcPr>
            <w:tcW w:w="785" w:type="dxa"/>
            <w:tcBorders>
              <w:bottom w:val="single" w:sz="4" w:space="0" w:color="auto"/>
            </w:tcBorders>
            <w:shd w:val="clear" w:color="auto" w:fill="auto"/>
            <w:vAlign w:val="center"/>
          </w:tcPr>
          <w:p w14:paraId="2EB72BDC"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7.87*</w:t>
            </w:r>
          </w:p>
        </w:tc>
        <w:tc>
          <w:tcPr>
            <w:tcW w:w="896" w:type="dxa"/>
            <w:tcBorders>
              <w:bottom w:val="single" w:sz="4" w:space="0" w:color="auto"/>
            </w:tcBorders>
            <w:shd w:val="clear" w:color="auto" w:fill="auto"/>
            <w:vAlign w:val="center"/>
          </w:tcPr>
          <w:p w14:paraId="441A5F61"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Pr="000D31FD">
              <w:rPr>
                <w:rFonts w:ascii="Times New Roman" w:hAnsi="Times New Roman" w:cs="Times New Roman"/>
                <w:sz w:val="24"/>
                <w:szCs w:val="24"/>
                <w:lang w:val="en-US"/>
              </w:rPr>
              <w:instrText>ADDIN CSL_CITATION {"citationItems":[{"id":"ITEM-1","itemData":{"DOI":"10.1016/j.jconrel.2022.06.001","ISSN":"01683659","author":[{"dropping-particle":"","family":"Pereira-da-Mota","given":"Ana F.","non-dropping-particle":"","parse-names":false,"suffix":""},{"dropping-particle":"","family":"Vivero-Lopez","given":"Maria","non-dropping-particle":"","parse-names":false,"suffix":""},{"dropping-particle":"","family":"Serramito","given":"Maria","non-dropping-particle":"","parse-names":false,"suffix":""},{"dropping-particle":"","family":"Diaz-Gomez","given":"Luis","non-dropping-particle":"","parse-names":false,"suffix":""},{"dropping-particle":"","family":"Serro","given":"Ana Paula","non-dropping-particle":"","parse-names":false,"suffix":""},{"dropping-particle":"","family":"Carracedo","given":"Gonzalo","non-dropping-particle":"","parse-names":false,"suffix":""},{"dropping-particle":"","family":"Huete-Toral","given":"Fernando","non-dropping-particle":"","parse-names":false,"suffix":""},{"dropping-particle":"","family":"Concheiro","given":"Angel","non-dropping-particle":"","parse-names":false,"suffix":""},{"dropping-particle":"","family":"Alvarez-Lorenzo","given":"Carmen","non-dropping-particle":"","parse-names":false,"suffix":""}],"container-title":"Journal of Controlled Release","id":"ITEM-1","issue":"June","issued":{"date-parts":[["2022"]]},"page":"431-443","publisher":"Elsevier B.V.","title":"Contact lenses for pravastatin delivery to eye segments: Design and in vitro-in vivo correlations","type":"article-journal","volume":"348"},"uris":["http://www.mendeley.com/documents/?uuid=f42b2472-9e39-4e7c-9f17-4c45ffc14f1a"]}],"mendeley":{"formattedCitation":"[10]","plainTextFormattedCitation":"[10]","previouslyFormattedCitation":"[10]"},"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Pr="000D31FD">
              <w:rPr>
                <w:rFonts w:ascii="Times New Roman" w:hAnsi="Times New Roman" w:cs="Times New Roman"/>
                <w:noProof/>
                <w:sz w:val="24"/>
                <w:szCs w:val="24"/>
                <w:lang w:val="en-US"/>
              </w:rPr>
              <w:t>[10]</w:t>
            </w:r>
            <w:r w:rsidRPr="000D31FD">
              <w:rPr>
                <w:rFonts w:ascii="Times New Roman" w:hAnsi="Times New Roman" w:cs="Times New Roman"/>
                <w:sz w:val="24"/>
                <w:szCs w:val="24"/>
                <w:lang w:val="en-US"/>
              </w:rPr>
              <w:fldChar w:fldCharType="end"/>
            </w:r>
          </w:p>
        </w:tc>
        <w:tc>
          <w:tcPr>
            <w:tcW w:w="916" w:type="dxa"/>
            <w:tcBorders>
              <w:bottom w:val="single" w:sz="4" w:space="0" w:color="auto"/>
            </w:tcBorders>
            <w:vAlign w:val="center"/>
          </w:tcPr>
          <w:p w14:paraId="42C9D884" w14:textId="77777777"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t>-0.70</w:t>
            </w:r>
          </w:p>
        </w:tc>
        <w:tc>
          <w:tcPr>
            <w:tcW w:w="647" w:type="dxa"/>
            <w:tcBorders>
              <w:bottom w:val="single" w:sz="4" w:space="0" w:color="auto"/>
            </w:tcBorders>
            <w:vAlign w:val="center"/>
          </w:tcPr>
          <w:p w14:paraId="54841658" w14:textId="4E072B6F" w:rsidR="00905481" w:rsidRPr="000D31FD" w:rsidRDefault="00905481" w:rsidP="00667EB7">
            <w:pPr>
              <w:pStyle w:val="Paragrafoelenco"/>
              <w:spacing w:line="276" w:lineRule="auto"/>
              <w:ind w:left="0"/>
              <w:jc w:val="center"/>
              <w:rPr>
                <w:rFonts w:ascii="Times New Roman" w:hAnsi="Times New Roman" w:cs="Times New Roman"/>
                <w:sz w:val="24"/>
                <w:szCs w:val="24"/>
                <w:lang w:val="en-US"/>
              </w:rPr>
            </w:pPr>
            <w:r w:rsidRPr="000D31FD">
              <w:rPr>
                <w:rFonts w:ascii="Times New Roman" w:hAnsi="Times New Roman" w:cs="Times New Roman"/>
                <w:sz w:val="24"/>
                <w:szCs w:val="24"/>
                <w:lang w:val="en-US"/>
              </w:rPr>
              <w:fldChar w:fldCharType="begin" w:fldLock="1"/>
            </w:r>
            <w:r w:rsidR="00C76D48">
              <w:rPr>
                <w:rFonts w:ascii="Times New Roman" w:hAnsi="Times New Roman" w:cs="Times New Roman"/>
                <w:sz w:val="24"/>
                <w:szCs w:val="24"/>
                <w:lang w:val="en-US"/>
              </w:rPr>
              <w:instrText>ADDIN CSL_CITATION {"citationItems":[{"id":"ITEM-1","itemData":{"DOI":"10.1016/j.ijpharm.2015.10.034","ISSN":"18733476","PMID":"26505148","abstract":"Wiechers' programme \"Formulating for Efficacy\" initiated a new strategy to optimise the oil phase of topical formulations in order to achieve optimal transdermal drug delivery. This new approach uses the \"Delivery Gap Theory\" on any active pharmaceutical ingredients (APIs) to test if it could enhance transdermal drug delivery. The aim of the study was to formulate six different semi-solid formulations (three creams and three emulgels) with 2% pravastatin as the API in order to investigate the \"Delivery Gap Principle\", by determining which formulation would deliver pravastatin best to the target-site (system circulation). The three cream- and three emulgel formulations had different polarities, i.e. a formulation with polarity equal to that of the stratum corneum (optimised), a non-polar (lipophilic)- and a polar (hydrophilic)-formulation. Franz cell diffusion studies were executed over 12 h and the optimised emulgel (2.578 μg/cm2) had the highest median amount per area obtained. Tape stripping followed the diffusion studies and in the stratum corneum-epidermis, the hydrophilic emulgel (1.448 μg/ml) contained the highest median pravastatin concentration and the epidermis-dermis the optimised emulgel (0.849 μg/ml) depicted the highest pravastatin concentration. During this study, it was observed that when both emulgel and cream formulations were compared; the emulgels enhanced the delivery of pravastatin more than the creams.","author":[{"dropping-particle":"","family":"Burger","given":"Cornel","non-dropping-particle":"","parse-names":false,"suffix":""},{"dropping-particle":"","family":"Gerber","given":"Minja","non-dropping-particle":"","parse-names":false,"suffix":""},{"dropping-particle":"","family":"Preez","given":"Jan L.","non-dropping-particle":"Du","parse-names":false,"suffix":""},{"dropping-particle":"","family":"Plessis","given":"Jeanetta","non-dropping-particle":"Du","parse-names":false,"suffix":""}],"container-title":"International Journal of Pharmaceutics","id":"ITEM-1","issue":"2","issued":{"date-parts":[["2015"]]},"page":"518-525","title":"Optimised transdermal delivery of pravastatin","type":"article-journal","volume":"496"},"uris":["http://www.mendeley.com/documents/?uuid=e5cc200b-65e0-4594-b115-ebecdf8dfe29"]}],"mendeley":{"formattedCitation":"[11]","plainTextFormattedCitation":"[11]","previouslyFormattedCitation":"[11]"},"properties":{"noteIndex":0},"schema":"https://github.com/citation-style-language/schema/raw/master/csl-citation.json"}</w:instrText>
            </w:r>
            <w:r w:rsidRPr="000D31FD">
              <w:rPr>
                <w:rFonts w:ascii="Times New Roman" w:hAnsi="Times New Roman" w:cs="Times New Roman"/>
                <w:sz w:val="24"/>
                <w:szCs w:val="24"/>
                <w:lang w:val="en-US"/>
              </w:rPr>
              <w:fldChar w:fldCharType="separate"/>
            </w:r>
            <w:r w:rsidR="00C76D48" w:rsidRPr="00C76D48">
              <w:rPr>
                <w:rFonts w:ascii="Times New Roman" w:hAnsi="Times New Roman" w:cs="Times New Roman"/>
                <w:noProof/>
                <w:sz w:val="24"/>
                <w:szCs w:val="24"/>
                <w:lang w:val="en-US"/>
              </w:rPr>
              <w:t>[11]</w:t>
            </w:r>
            <w:r w:rsidRPr="000D31FD">
              <w:rPr>
                <w:rFonts w:ascii="Times New Roman" w:hAnsi="Times New Roman" w:cs="Times New Roman"/>
                <w:sz w:val="24"/>
                <w:szCs w:val="24"/>
                <w:lang w:val="en-US"/>
              </w:rPr>
              <w:fldChar w:fldCharType="end"/>
            </w:r>
          </w:p>
        </w:tc>
      </w:tr>
      <w:tr w:rsidR="00905481" w:rsidRPr="000D31FD" w14:paraId="5F82EB3C" w14:textId="77777777" w:rsidTr="001214A4">
        <w:trPr>
          <w:trHeight w:val="891"/>
        </w:trPr>
        <w:tc>
          <w:tcPr>
            <w:tcW w:w="9281" w:type="dxa"/>
            <w:gridSpan w:val="10"/>
            <w:tcBorders>
              <w:bottom w:val="single" w:sz="4" w:space="0" w:color="auto"/>
            </w:tcBorders>
            <w:shd w:val="clear" w:color="auto" w:fill="auto"/>
            <w:vAlign w:val="center"/>
          </w:tcPr>
          <w:p w14:paraId="1D65A54B" w14:textId="6E37ABB5" w:rsidR="00905481" w:rsidRPr="000D31FD" w:rsidRDefault="00905481" w:rsidP="00667EB7">
            <w:pPr>
              <w:jc w:val="both"/>
              <w:rPr>
                <w:rFonts w:ascii="Times New Roman" w:hAnsi="Times New Roman" w:cs="Times New Roman"/>
                <w:sz w:val="24"/>
                <w:szCs w:val="24"/>
                <w:vertAlign w:val="superscript"/>
                <w:lang w:val="en-US"/>
              </w:rPr>
            </w:pPr>
            <w:proofErr w:type="spellStart"/>
            <w:r w:rsidRPr="000D31FD">
              <w:rPr>
                <w:rFonts w:ascii="Times New Roman" w:hAnsi="Times New Roman" w:cs="Times New Roman"/>
                <w:sz w:val="24"/>
                <w:szCs w:val="24"/>
                <w:vertAlign w:val="superscript"/>
                <w:lang w:val="en-US"/>
              </w:rPr>
              <w:t>a</w:t>
            </w:r>
            <w:r w:rsidRPr="000D31FD">
              <w:rPr>
                <w:rFonts w:ascii="Times New Roman" w:hAnsi="Times New Roman" w:cs="Times New Roman"/>
                <w:sz w:val="24"/>
                <w:szCs w:val="24"/>
                <w:lang w:val="en-US"/>
              </w:rPr>
              <w:t>Comparable</w:t>
            </w:r>
            <w:proofErr w:type="spellEnd"/>
            <w:r w:rsidRPr="000D31FD">
              <w:rPr>
                <w:rFonts w:ascii="Times New Roman" w:hAnsi="Times New Roman" w:cs="Times New Roman"/>
                <w:sz w:val="24"/>
                <w:szCs w:val="24"/>
                <w:lang w:val="en-US"/>
              </w:rPr>
              <w:t xml:space="preserve"> to the values reported in literature </w:t>
            </w:r>
            <w:r w:rsidRPr="000D31FD">
              <w:rPr>
                <w:rFonts w:ascii="Times New Roman" w:hAnsi="Times New Roman" w:cs="Times New Roman"/>
                <w:sz w:val="24"/>
                <w:szCs w:val="24"/>
              </w:rPr>
              <w:fldChar w:fldCharType="begin" w:fldLock="1"/>
            </w:r>
            <w:r w:rsidR="00C76D48">
              <w:rPr>
                <w:rFonts w:ascii="Times New Roman" w:hAnsi="Times New Roman" w:cs="Times New Roman"/>
                <w:sz w:val="24"/>
                <w:szCs w:val="24"/>
                <w:lang w:val="en-US"/>
              </w:rPr>
              <w:instrText>ADDIN CSL_CITATION {"citationItems":[{"id":"ITEM-1","itemData":{"DOI":"10.1016/j.xphs.2017.04.061","ISSN":"15206017","PMID":"28479360","abstract":"Conjunctiva occupies most of the ocular surface area, and conjunctival permeability affects ocular and systemic drug absorption of topical ocular medications. Therefore, the aim of this study was to obtain a computational in silico model for structure-based prediction of conjunctival drug permeability. This was done by employing cassette dosing and quantitative structure-property relationship (QSPR) approach. Permeability studies were performed ex vivo across fresh porcine conjunctiva and simultaneous dosing of a cassette mixture composed of 32 clinically relevant drug molecules with wide chemical space. The apparent permeability values were obtained using drug concentrations that were quantified with liquid chromatography tandem-mass spectrometry. The experimental data were utilized for building a QSPR model for conjunctival permeability predictions. The conjunctival permeability values presented a 17-fold range (0.63-10.74 × 10−6 cm/s). The final QSPR had a Q2 value of 0.62 and predicted the external test set with a mean fold error of 1.34. The polar surface area, hydrogen bond donor, and halogen ratio were the most relevant descriptors for defining conjunctival permeability. This work presents for the first time a predictive QSPR model of conjunctival drug permeability and a comprehensive description on conjunctival isolation from the porcine eye. The model can be used for developing new ocular drugs.","author":[{"dropping-particle":"","family":"Ramsay","given":"Eva","non-dropping-particle":"","parse-names":false,"suffix":""},{"dropping-particle":"","family":"Ruponen","given":"Marika","non-dropping-particle":"","parse-names":false,"suffix":""},{"dropping-particle":"","family":"Picardat","given":"Théo","non-dropping-particle":"","parse-names":false,"suffix":""},{"dropping-particle":"","family":"Tengvall","given":"Unni","non-dropping-particle":"","parse-names":false,"suffix":""},{"dropping-particle":"","family":"Tuomainen","given":"Marjo","non-dropping-particle":"","parse-names":false,"suffix":""},{"dropping-particle":"","family":"Auriola","given":"Seppo","non-dropping-particle":"","parse-names":false,"suffix":""},{"dropping-particle":"","family":"Toropainen","given":"Elisa","non-dropping-particle":"","parse-names":false,"suffix":""},{"dropping-particle":"","family":"Urtti","given":"Arto","non-dropping-particle":"","parse-names":false,"suffix":""},{"dropping-particle":"","family":"Amo","given":"Eva M.","non-dropping-particle":"del","parse-names":false,"suffix":""}],"container-title":"Journal of Pharmaceutical Sciences","id":"ITEM-1","issue":"9","issued":{"date-parts":[["2017"]]},"page":"2463-2471","publisher":"Elsevier Inc.","title":"Impact of Chemical Structure on Conjunctival Drug Permeability: Adopting Porcine Conjunctiva and Cassette Dosing for Construction of In Silico Model","type":"article-journal","volume":"106"},"uris":["http://www.mendeley.com/documents/?uuid=a42606fd-4e60-4101-85ca-e4ea7c38806b"]}],"mendeley":{"formattedCitation":"[12]","plainTextFormattedCitation":"[12]","previouslyFormattedCitation":"[12]"},"properties":{"noteIndex":0},"schema":"https://github.com/citation-style-language/schema/raw/master/csl-citation.json"}</w:instrText>
            </w:r>
            <w:r w:rsidRPr="000D31FD">
              <w:rPr>
                <w:rFonts w:ascii="Times New Roman" w:hAnsi="Times New Roman" w:cs="Times New Roman"/>
                <w:sz w:val="24"/>
                <w:szCs w:val="24"/>
              </w:rPr>
              <w:fldChar w:fldCharType="separate"/>
            </w:r>
            <w:r w:rsidR="00C76D48" w:rsidRPr="00C76D48">
              <w:rPr>
                <w:rFonts w:ascii="Times New Roman" w:hAnsi="Times New Roman" w:cs="Times New Roman"/>
                <w:noProof/>
                <w:sz w:val="24"/>
                <w:szCs w:val="24"/>
                <w:lang w:val="en-US"/>
              </w:rPr>
              <w:t>[12]</w:t>
            </w:r>
            <w:r w:rsidRPr="000D31FD">
              <w:rPr>
                <w:rFonts w:ascii="Times New Roman" w:hAnsi="Times New Roman" w:cs="Times New Roman"/>
                <w:sz w:val="24"/>
                <w:szCs w:val="24"/>
              </w:rPr>
              <w:fldChar w:fldCharType="end"/>
            </w:r>
            <w:r w:rsidRPr="000D31FD">
              <w:rPr>
                <w:rFonts w:ascii="Times New Roman" w:hAnsi="Times New Roman" w:cs="Times New Roman"/>
                <w:sz w:val="24"/>
                <w:szCs w:val="24"/>
                <w:lang w:val="en-US"/>
              </w:rPr>
              <w:t xml:space="preserve"> and adapted to the logD</w:t>
            </w:r>
            <w:r w:rsidRPr="000D31FD">
              <w:rPr>
                <w:rFonts w:ascii="Times New Roman" w:hAnsi="Times New Roman" w:cs="Times New Roman"/>
                <w:sz w:val="24"/>
                <w:szCs w:val="24"/>
                <w:vertAlign w:val="subscript"/>
                <w:lang w:val="en-US"/>
              </w:rPr>
              <w:t xml:space="preserve">7.4 </w:t>
            </w:r>
            <w:r w:rsidRPr="000D31FD">
              <w:rPr>
                <w:rFonts w:ascii="Times New Roman" w:hAnsi="Times New Roman" w:cs="Times New Roman"/>
                <w:sz w:val="24"/>
                <w:szCs w:val="24"/>
                <w:lang w:val="en-US"/>
              </w:rPr>
              <w:t xml:space="preserve">of each drug; </w:t>
            </w:r>
            <w:proofErr w:type="spellStart"/>
            <w:r w:rsidRPr="000D31FD">
              <w:rPr>
                <w:rFonts w:ascii="Times New Roman" w:hAnsi="Times New Roman" w:cs="Times New Roman"/>
                <w:sz w:val="24"/>
                <w:szCs w:val="24"/>
                <w:vertAlign w:val="superscript"/>
                <w:lang w:val="en-US"/>
              </w:rPr>
              <w:t>b</w:t>
            </w:r>
            <w:r w:rsidRPr="000D31FD">
              <w:rPr>
                <w:rFonts w:ascii="Times New Roman" w:hAnsi="Times New Roman" w:cs="Times New Roman"/>
                <w:sz w:val="24"/>
                <w:szCs w:val="24"/>
                <w:lang w:val="en-US"/>
              </w:rPr>
              <w:t>Reported</w:t>
            </w:r>
            <w:proofErr w:type="spellEnd"/>
            <w:r w:rsidRPr="000D31FD">
              <w:rPr>
                <w:rFonts w:ascii="Times New Roman" w:hAnsi="Times New Roman" w:cs="Times New Roman"/>
                <w:sz w:val="24"/>
                <w:szCs w:val="24"/>
                <w:lang w:val="en-US"/>
              </w:rPr>
              <w:t xml:space="preserve"> in previous literature for similar drugs </w:t>
            </w:r>
            <w:r w:rsidRPr="000D31FD">
              <w:rPr>
                <w:rFonts w:ascii="Times New Roman" w:hAnsi="Times New Roman" w:cs="Times New Roman"/>
                <w:sz w:val="24"/>
                <w:szCs w:val="24"/>
              </w:rPr>
              <w:fldChar w:fldCharType="begin" w:fldLock="1"/>
            </w:r>
            <w:r w:rsidR="00C76D48">
              <w:rPr>
                <w:rFonts w:ascii="Times New Roman" w:hAnsi="Times New Roman" w:cs="Times New Roman"/>
                <w:sz w:val="24"/>
                <w:szCs w:val="24"/>
                <w:lang w:val="en-US"/>
              </w:rPr>
              <w:instrText>ADDIN CSL_CITATION {"citationItems":[{"id":"ITEM-1","itemData":{"DOI":"10.3390/pharmaceutics13050655","ISBN":"8227058922","ISSN":"19994923","abstract":"In this study, Retina-RPE-Choroid-Sclera (RCS) and RPE-Choroid-Sclera (CS) were prepared by scraping them off neural retina, and using the Ussing chamber we measured the average time– concentration values in the acceptor chamber across five isolated rabbit tissues for each drug molecule. We determined the outward direction permeability of the RCS and CS and calculated the neural retina permeability. The permeability coefficients of RCS and CS were as follows: ganciclovir, 13.78 ± 5.82 and 23.22 ± 9.74; brimonidine, 15.34 ± 7.64 and 31.56 ± 12.46; bevacizumab, 0.0136 ± 0.0059 and 0.0612 ± 0.0264 (×10−6 cm/s). The calculated permeability coefficients of the neural retina were as follows: ganciclovir, 33.89 ± 12.64; brimonidine, 29.83 ± 11.58; bevacizumab, 0.0205 ± 0.0074 (×10−6 cm/s). Between brimonidine and ganciclovir, lipophilic brimonidine presented better RCS and CS permeability, whereas ganciclovir showed better calculated neural retinal permeability. The large molecular weight drug bevacizumab demonstrated a much lower permeability than brimonidine and ganciclovir. In conclusion, the ophthalmic drug permeability of RCS and CS is affected by the molecular weight and lipophilicity, and influences the intravitreal half-life.","author":[{"dropping-particle":"","family":"Kim","given":"Hyeong Min","non-dropping-particle":"","parse-names":false,"suffix":""},{"dropping-particle":"","family":"Han","given":"Hyounkoo","non-dropping-particle":"","parse-names":false,"suffix":""},{"dropping-particle":"","family":"Hong","given":"Hye Kyoung","non-dropping-particle":"","parse-names":false,"suffix":""},{"dropping-particle":"","family":"Park","given":"Ji Hyun","non-dropping-particle":"","parse-names":false,"suffix":""},{"dropping-particle":"","family":"Park","given":"Kyu Hyung","non-dropping-particle":"","parse-names":false,"suffix":""},{"dropping-particle":"","family":"Kim","given":"Hyuncheol","non-dropping-particle":"","parse-names":false,"suffix":""},{"dropping-particle":"","family":"Woo","given":"Se Joon","non-dropping-particle":"","parse-names":false,"suffix":""}],"container-title":"Pharmaceutics","id":"ITEM-1","issue":"5","issued":{"date-parts":[["2021"]]},"page":"1-11","title":"Permeability of the retina and rpe-choroid-sclera to three ophthalmic drugs and the associated factors","type":"article-journal","volume":"13"},"uris":["http://www.mendeley.com/documents/?uuid=8d7fd449-1e6e-4b54-8d26-72622c1bfbf6"]}],"mendeley":{"formattedCitation":"[13]","plainTextFormattedCitation":"[13]","previouslyFormattedCitation":"[13]"},"properties":{"noteIndex":0},"schema":"https://github.com/citation-style-language/schema/raw/master/csl-citation.json"}</w:instrText>
            </w:r>
            <w:r w:rsidRPr="000D31FD">
              <w:rPr>
                <w:rFonts w:ascii="Times New Roman" w:hAnsi="Times New Roman" w:cs="Times New Roman"/>
                <w:sz w:val="24"/>
                <w:szCs w:val="24"/>
              </w:rPr>
              <w:fldChar w:fldCharType="separate"/>
            </w:r>
            <w:r w:rsidR="00C76D48" w:rsidRPr="00C76D48">
              <w:rPr>
                <w:rFonts w:ascii="Times New Roman" w:hAnsi="Times New Roman" w:cs="Times New Roman"/>
                <w:noProof/>
                <w:sz w:val="24"/>
                <w:szCs w:val="24"/>
                <w:lang w:val="en-US"/>
              </w:rPr>
              <w:t>[13]</w:t>
            </w:r>
            <w:r w:rsidRPr="000D31FD">
              <w:rPr>
                <w:rFonts w:ascii="Times New Roman" w:hAnsi="Times New Roman" w:cs="Times New Roman"/>
                <w:sz w:val="24"/>
                <w:szCs w:val="24"/>
              </w:rPr>
              <w:fldChar w:fldCharType="end"/>
            </w:r>
            <w:r w:rsidRPr="000D31FD">
              <w:rPr>
                <w:rFonts w:ascii="Times New Roman" w:hAnsi="Times New Roman" w:cs="Times New Roman"/>
                <w:sz w:val="24"/>
                <w:szCs w:val="24"/>
                <w:lang w:val="en-US"/>
              </w:rPr>
              <w:t xml:space="preserve">; </w:t>
            </w:r>
            <w:proofErr w:type="spellStart"/>
            <w:r w:rsidRPr="000D31FD">
              <w:rPr>
                <w:rFonts w:ascii="Times New Roman" w:hAnsi="Times New Roman" w:cs="Times New Roman"/>
                <w:sz w:val="24"/>
                <w:szCs w:val="24"/>
                <w:vertAlign w:val="superscript"/>
                <w:lang w:val="en-US"/>
              </w:rPr>
              <w:t>c</w:t>
            </w:r>
            <w:r w:rsidRPr="000D31FD">
              <w:rPr>
                <w:rFonts w:ascii="Times New Roman" w:hAnsi="Times New Roman" w:cs="Times New Roman"/>
                <w:sz w:val="24"/>
                <w:szCs w:val="24"/>
                <w:lang w:val="en-US"/>
              </w:rPr>
              <w:t>Considered</w:t>
            </w:r>
            <w:proofErr w:type="spellEnd"/>
            <w:r w:rsidRPr="000D31FD">
              <w:rPr>
                <w:rFonts w:ascii="Times New Roman" w:hAnsi="Times New Roman" w:cs="Times New Roman"/>
                <w:sz w:val="24"/>
                <w:szCs w:val="24"/>
                <w:lang w:val="en-US"/>
              </w:rPr>
              <w:t xml:space="preserve"> 30 % higher than </w:t>
            </w:r>
            <w:proofErr w:type="spellStart"/>
            <w:r w:rsidRPr="000D31FD">
              <w:rPr>
                <w:rFonts w:ascii="Times New Roman" w:hAnsi="Times New Roman" w:cs="Times New Roman"/>
                <w:sz w:val="24"/>
                <w:szCs w:val="24"/>
                <w:lang w:val="en-US"/>
              </w:rPr>
              <w:t>P</w:t>
            </w:r>
            <w:r w:rsidRPr="000D31FD">
              <w:rPr>
                <w:rFonts w:ascii="Times New Roman" w:hAnsi="Times New Roman" w:cs="Times New Roman"/>
                <w:sz w:val="24"/>
                <w:szCs w:val="24"/>
                <w:vertAlign w:val="subscript"/>
                <w:lang w:val="en-US"/>
              </w:rPr>
              <w:t>ScChRet</w:t>
            </w:r>
            <w:proofErr w:type="spellEnd"/>
            <w:r w:rsidRPr="000D31FD">
              <w:rPr>
                <w:rFonts w:ascii="Times New Roman" w:hAnsi="Times New Roman" w:cs="Times New Roman"/>
                <w:sz w:val="24"/>
                <w:szCs w:val="24"/>
                <w:lang w:val="en-US"/>
              </w:rPr>
              <w:t xml:space="preserve"> </w:t>
            </w:r>
            <w:r w:rsidRPr="000D31FD">
              <w:rPr>
                <w:rFonts w:ascii="Times New Roman" w:hAnsi="Times New Roman" w:cs="Times New Roman"/>
                <w:sz w:val="24"/>
                <w:szCs w:val="24"/>
              </w:rPr>
              <w:fldChar w:fldCharType="begin" w:fldLock="1"/>
            </w:r>
            <w:r w:rsidR="00C76D48">
              <w:rPr>
                <w:rFonts w:ascii="Times New Roman" w:hAnsi="Times New Roman" w:cs="Times New Roman"/>
                <w:sz w:val="24"/>
                <w:szCs w:val="24"/>
                <w:lang w:val="en-US"/>
              </w:rPr>
              <w:instrText>ADDIN CSL_CITATION {"citationItems":[{"id":"ITEM-1","itemData":{"DOI":"10.1021/acs.molpharmaceut.7b00164","ISSN":"15438392","PMID":"28631484","abstract":"Intravitreally (IVT) injected macromolecules for the treatment of age-related macular degeneration must permeate through the inner limiting membrane (ILM) into the retina and through the retinal pigment epithelium (RPE) to enter the choroid. A quantitative understanding of intraocular transport mechanisms, elimination pathways, and the effect of molecular size is currently incomplete. We present a semimechanistic, 3-compartment (retina, vitreous, and aqueous) pharmacokinetic (PK) model, expressed using linear ordinary differential equations (ODEs), to describe the molecular concentrations following a single IVT injection. The model was fit to experimental rabbit data, with Fab, Fc, IgG, and IgG null antibodies and antibody fragments, to estimate key ocular pharmacokinetic parameters. The model predicts an ocular half-life, t1/2, which is the same for all compartments and dependent on the hydrodynamic radius (Rh) of the respective molecules, consistent with observations from the experimental data. Estimates of the permeabilities of the RPE and ILM are derived for Rh values ranging from 2.5 to 4.9 nm, and are found to be in good agreement with ex-vivo measurements from bovine eyes. We show that the ratio of these permeabilities largely determines the ratio of the molecular concentrations in the retina and vitreal compartments and their dependence on Rh. The model further provides estimates for the ratio of fluxes corresponding to the elimination pathways from the eye, i.e., aqueous humor to retina/choroid, which increase from 5:1 to 7:1 as Rh decreases. Our semimechanistic model provides a quantitative framework for interpreting ocular PK and the effects of molecule size on rate-determining parameters. We have shown that intraocular permeabilities can be reasonably estimated from 3-compartment ocular PK data and can determine how these parameters influence the half-life, retinal permeation, and elimination of intravitreally injected molecules from the eye.","author":[{"dropping-particle":"","family":"Hutton-Smith","given":"Laurence A.","non-dropping-particle":"","parse-names":false,"suffix":""},{"dropping-particle":"","family":"Gaffney","given":"Eamonn A.","non-dropping-particle":"","parse-names":false,"suffix":""},{"dropping-particle":"","family":"Byrne","given":"Helen M.","non-dropping-particle":"","parse-names":false,"suffix":""},{"dropping-particle":"","family":"Maini","given":"Philip K.","non-dropping-particle":"","parse-names":false,"suffix":""},{"dropping-particle":"","family":"Gadkar","given":"Kapil","non-dropping-particle":"","parse-names":false,"suffix":""},{"dropping-particle":"","family":"Mazer","given":"Norman A.","non-dropping-particle":"","parse-names":false,"suffix":""}],"container-title":"Molecular Pharmaceutics","id":"ITEM-1","issue":"8","issued":{"date-parts":[["2017"]]},"page":"2690-2696","title":"Ocular Pharmacokinetics of Therapeutic Antibodies Given by Intravitreal Injection: Estimation of Retinal Permeabilities Using a 3-Compartment Semi-Mechanistic Model","type":"article-journal","volume":"14"},"uris":["http://www.mendeley.com/documents/?uuid=c441ab0e-8ba5-43c8-96a2-0df17036d1db"]}],"mendeley":{"formattedCitation":"[14]","plainTextFormattedCitation":"[14]","previouslyFormattedCitation":"[14]"},"properties":{"noteIndex":0},"schema":"https://github.com/citation-style-language/schema/raw/master/csl-citation.json"}</w:instrText>
            </w:r>
            <w:r w:rsidRPr="000D31FD">
              <w:rPr>
                <w:rFonts w:ascii="Times New Roman" w:hAnsi="Times New Roman" w:cs="Times New Roman"/>
                <w:sz w:val="24"/>
                <w:szCs w:val="24"/>
              </w:rPr>
              <w:fldChar w:fldCharType="separate"/>
            </w:r>
            <w:r w:rsidR="00C76D48" w:rsidRPr="00C76D48">
              <w:rPr>
                <w:rFonts w:ascii="Times New Roman" w:hAnsi="Times New Roman" w:cs="Times New Roman"/>
                <w:noProof/>
                <w:sz w:val="24"/>
                <w:szCs w:val="24"/>
                <w:lang w:val="en-US"/>
              </w:rPr>
              <w:t>[14]</w:t>
            </w:r>
            <w:r w:rsidRPr="000D31FD">
              <w:rPr>
                <w:rFonts w:ascii="Times New Roman" w:hAnsi="Times New Roman" w:cs="Times New Roman"/>
                <w:sz w:val="24"/>
                <w:szCs w:val="24"/>
              </w:rPr>
              <w:fldChar w:fldCharType="end"/>
            </w:r>
            <w:r w:rsidRPr="000D31FD">
              <w:rPr>
                <w:rFonts w:ascii="Times New Roman" w:hAnsi="Times New Roman" w:cs="Times New Roman"/>
                <w:sz w:val="24"/>
                <w:szCs w:val="24"/>
                <w:lang w:val="en-US"/>
              </w:rPr>
              <w:t xml:space="preserve">; </w:t>
            </w:r>
            <w:proofErr w:type="spellStart"/>
            <w:r w:rsidRPr="000D31FD">
              <w:rPr>
                <w:rFonts w:ascii="Times New Roman" w:hAnsi="Times New Roman" w:cs="Times New Roman"/>
                <w:sz w:val="24"/>
                <w:szCs w:val="24"/>
                <w:vertAlign w:val="superscript"/>
                <w:lang w:val="en-US"/>
              </w:rPr>
              <w:t>d</w:t>
            </w:r>
            <w:r w:rsidRPr="000D31FD">
              <w:rPr>
                <w:rFonts w:ascii="Times New Roman" w:hAnsi="Times New Roman" w:cs="Times New Roman"/>
                <w:sz w:val="24"/>
                <w:szCs w:val="24"/>
                <w:lang w:val="en-US"/>
              </w:rPr>
              <w:t>Comparable</w:t>
            </w:r>
            <w:proofErr w:type="spellEnd"/>
            <w:r w:rsidRPr="000D31FD">
              <w:rPr>
                <w:rFonts w:ascii="Times New Roman" w:hAnsi="Times New Roman" w:cs="Times New Roman"/>
                <w:sz w:val="24"/>
                <w:szCs w:val="24"/>
                <w:lang w:val="en-US"/>
              </w:rPr>
              <w:t xml:space="preserve"> to previously reported data </w:t>
            </w:r>
            <w:r w:rsidRPr="000D31FD">
              <w:rPr>
                <w:rFonts w:ascii="Times New Roman" w:hAnsi="Times New Roman" w:cs="Times New Roman"/>
                <w:sz w:val="24"/>
                <w:szCs w:val="24"/>
              </w:rPr>
              <w:fldChar w:fldCharType="begin" w:fldLock="1"/>
            </w:r>
            <w:r w:rsidR="00C76D48">
              <w:rPr>
                <w:rFonts w:ascii="Times New Roman" w:hAnsi="Times New Roman" w:cs="Times New Roman"/>
                <w:sz w:val="24"/>
                <w:szCs w:val="24"/>
                <w:lang w:val="en-US"/>
              </w:rPr>
              <w:instrText>ADDIN CSL_CITATION {"citationItems":[{"id":"ITEM-1","itemData":{"DOI":"10.1089/jop.2009.0132","ISSN":"10807683","PMID":"20415622","abstract":"Purpose. The purpose of this study was to evaluate partitioning into and transport across posterior segment tissues (sclera, retinal pigment epithelium (RPE)-choroid) of AL-4940, the active metabolite of angiostatic cortisene anecortave acetate (AL-3789). Methods. Transport of [14C]-AL-4940 was measured through RPE-choroid-sclera (RCS) and sclera, excised from Dutch Belted pigmented rabbits' eyes, in the directions of scleral to vitreal (S→V) and vitreal to scleral (V→S) for 3 h at 37°C using Ussing chambers. Tissue integrity was monitored by transepithelial electrical resistance (TEER), potential difference (PD), and biochemical assay (LDH). Partitioning in RPE-choroid and sclera was determined separately for both [14C]-AL- 4940 and [14C]-AL-3789. Mathematical analysis for bilaminate membranes used partitioning and transport data to derive diffusion coefficients for 2 tissue layers sclera and RPE-choroid. Results. Partitioning of drug in tissue was comparable for both [14C]-AL-4940 and [ 14C]-AL-3789. Partition coefficients of drug in tissue were 2.2 for sclera and about 4 for RPE-choroid. Permeability through sclera alone was about 3 × 10-5 cm/s and about 1 × 10-5 cm/s through the RCS tissue, irrespective of the direction of transport (S→V) or (V→S). Results from bioelectrical and biochemical evaluation of tissue with modified LDH assay provided evidence that the RCS tissue preparation remained viable during the period of transport study. Conclusions. The thin RPE-choroid layer contributes significantly to resistance to drug transport, and diffusivity in this layer is 10 times less than in sclera. This experimental scheme is proposed as an important component for the development of a general ocular physiologically based pharmacokinetic model. © Mary Ann Liebert, Inc. 2010.","author":[{"dropping-particle":"","family":"Missel","given":"Paul","non-dropping-particle":"","parse-names":false,"suffix":""},{"dropping-particle":"","family":"Chastain","given":"James","non-dropping-particle":"","parse-names":false,"suffix":""},{"dropping-particle":"","family":"Mitra","given":"Ashim","non-dropping-particle":"","parse-names":false,"suffix":""},{"dropping-particle":"","family":"Kompella","given":"Uday","non-dropping-particle":"","parse-names":false,"suffix":""},{"dropping-particle":"","family":"Kansara","given":"Viral","non-dropping-particle":"","parse-names":false,"suffix":""},{"dropping-particle":"","family":"Duvvuri","given":"Sridhar","non-dropping-particle":"","parse-names":false,"suffix":""},{"dropping-particle":"","family":"Amrite","given":"Aniruddha","non-dropping-particle":"","parse-names":false,"suffix":""},{"dropping-particle":"","family":"Cheruvu","given":"Narayan","non-dropping-particle":"","parse-names":false,"suffix":""}],"container-title":"Journal of Ocular Pharmacology and Therapeutics","id":"ITEM-1","issue":"2","issued":{"date-parts":[["2010"]]},"page":"137-145","title":"In vitro transport and partitioning of AL-4940, active metabolite of angiostatic agent anecortave acetate, in ocular tissues of the posterior segment","type":"article-journal","volume":"26"},"uris":["http://www.mendeley.com/documents/?uuid=170bf93a-5a8a-4899-8440-a09fb40473a9"]}],"mendeley":{"formattedCitation":"[15]","plainTextFormattedCitation":"[15]","previouslyFormattedCitation":"[15]"},"properties":{"noteIndex":0},"schema":"https://github.com/citation-style-language/schema/raw/master/csl-citation.json"}</w:instrText>
            </w:r>
            <w:r w:rsidRPr="000D31FD">
              <w:rPr>
                <w:rFonts w:ascii="Times New Roman" w:hAnsi="Times New Roman" w:cs="Times New Roman"/>
                <w:sz w:val="24"/>
                <w:szCs w:val="24"/>
              </w:rPr>
              <w:fldChar w:fldCharType="separate"/>
            </w:r>
            <w:r w:rsidR="00C76D48" w:rsidRPr="00C76D48">
              <w:rPr>
                <w:rFonts w:ascii="Times New Roman" w:hAnsi="Times New Roman" w:cs="Times New Roman"/>
                <w:noProof/>
                <w:sz w:val="24"/>
                <w:szCs w:val="24"/>
                <w:lang w:val="en-US"/>
              </w:rPr>
              <w:t>[15]</w:t>
            </w:r>
            <w:r w:rsidRPr="000D31FD">
              <w:rPr>
                <w:rFonts w:ascii="Times New Roman" w:hAnsi="Times New Roman" w:cs="Times New Roman"/>
                <w:sz w:val="24"/>
                <w:szCs w:val="24"/>
              </w:rPr>
              <w:fldChar w:fldCharType="end"/>
            </w:r>
            <w:r w:rsidRPr="000D31FD">
              <w:rPr>
                <w:rFonts w:ascii="Times New Roman" w:hAnsi="Times New Roman" w:cs="Times New Roman"/>
                <w:sz w:val="24"/>
                <w:szCs w:val="24"/>
                <w:lang w:val="en-US"/>
              </w:rPr>
              <w:t>, scaled according to the logD</w:t>
            </w:r>
            <w:r w:rsidRPr="000D31FD">
              <w:rPr>
                <w:rFonts w:ascii="Times New Roman" w:hAnsi="Times New Roman" w:cs="Times New Roman"/>
                <w:sz w:val="24"/>
                <w:szCs w:val="24"/>
                <w:vertAlign w:val="subscript"/>
                <w:lang w:val="en-US"/>
              </w:rPr>
              <w:t xml:space="preserve">7.4 </w:t>
            </w:r>
            <w:r w:rsidRPr="000D31FD">
              <w:rPr>
                <w:rFonts w:ascii="Times New Roman" w:hAnsi="Times New Roman" w:cs="Times New Roman"/>
                <w:sz w:val="24"/>
                <w:szCs w:val="24"/>
                <w:lang w:val="en-US"/>
              </w:rPr>
              <w:t>of each drug and fine-tuned during the model validation;</w:t>
            </w:r>
            <w:r w:rsidRPr="000D31FD">
              <w:rPr>
                <w:rFonts w:ascii="Times New Roman" w:hAnsi="Times New Roman" w:cs="Times New Roman"/>
                <w:b/>
                <w:bCs/>
                <w:sz w:val="24"/>
                <w:szCs w:val="24"/>
                <w:lang w:val="en-US"/>
              </w:rPr>
              <w:t xml:space="preserve"> </w:t>
            </w:r>
            <w:proofErr w:type="spellStart"/>
            <w:r w:rsidRPr="000D31FD">
              <w:rPr>
                <w:rFonts w:ascii="Times New Roman" w:hAnsi="Times New Roman" w:cs="Times New Roman"/>
                <w:sz w:val="24"/>
                <w:szCs w:val="24"/>
                <w:vertAlign w:val="superscript"/>
                <w:lang w:val="en-US"/>
              </w:rPr>
              <w:t>e</w:t>
            </w:r>
            <w:r w:rsidRPr="000D31FD">
              <w:rPr>
                <w:rFonts w:ascii="Times New Roman" w:hAnsi="Times New Roman" w:cs="Times New Roman"/>
                <w:sz w:val="24"/>
                <w:szCs w:val="24"/>
                <w:lang w:val="en-US"/>
              </w:rPr>
              <w:t>Calculated</w:t>
            </w:r>
            <w:proofErr w:type="spellEnd"/>
            <w:r w:rsidRPr="000D31FD">
              <w:rPr>
                <w:rFonts w:ascii="Times New Roman" w:hAnsi="Times New Roman" w:cs="Times New Roman"/>
                <w:sz w:val="24"/>
                <w:szCs w:val="24"/>
                <w:lang w:val="en-US"/>
              </w:rPr>
              <w:t xml:space="preserve"> as in Equation 14, except when indicated (*): as the concentration of ofloxacin </w:t>
            </w:r>
            <w:r w:rsidRPr="000D31FD">
              <w:rPr>
                <w:rFonts w:ascii="Times New Roman" w:hAnsi="Times New Roman" w:cs="Times New Roman"/>
                <w:sz w:val="24"/>
                <w:szCs w:val="24"/>
              </w:rPr>
              <w:fldChar w:fldCharType="begin" w:fldLock="1"/>
            </w:r>
            <w:r w:rsidR="00C76D48">
              <w:rPr>
                <w:rFonts w:ascii="Times New Roman" w:hAnsi="Times New Roman" w:cs="Times New Roman"/>
                <w:sz w:val="24"/>
                <w:szCs w:val="24"/>
                <w:lang w:val="en-US"/>
              </w:rPr>
              <w:instrText>ADDIN CSL_CITATION {"citationItems":[{"id":"ITEM-1","itemData":{"DOI":"10.3109/02713683.2015.1050738","ISSN":"14602202","abstract":"Abstract: Purpose: To investigate the efficacy of a topical hydrogel ring for drug delivery to the posterior segment of the rabbit eye. Materials and methods: Novel hydrogel corneal lenses (CL), scleral/corneal lenses (S/CL), and rings were prepared using poly(hydroxyethyl methacrylate). The devices were immersed in 0.3% ofloxacin ophthalmic solution (OOS) to homogeneously distribute the drug throughout the hydrogel. The medicated CL, S/CL, Ring 1 (standard ring), or Ring 2 (shape-optimized ring) was applied to the surface of the cornea, cornea/bulbar conjunctiva, or bulbar conjunctiva of albino rabbits, respectively. Medicated rings did not touch the corneal surface. In another group, one OOS drop was administered to the eye. After 0.25–8 hours, the hydrogel devices were removed and ocular tissues were harvested. High-performance liquid chromatography (HPLC) was used to measure the ofloxacin concentration in the devices and tissues. The drug concentrations in the posterior segment tissues were compared among ofloxacin delivery methods. Results: One hour after placement, eyes treated with Ring 1 or S/CL had markedly higher ofloxacin levels in the posterior segment tissues (conjunctiva, sclera, and retina/choroid) than eyes treated with topical OOS or a CL. Lower levels of ofloxacin were found in anterior segment tissues (cornea and aqueous humor) in eyes treated with Ring 1 compared to those treated with S/CL. Ring 2 most effectively delivered ofloxacin to the retina/choroid. The tissue ofloxacin concentration in the fellow eye was markedly lower than the eye treated with Ring 2. Conclusions: Our results suggest that hydrogel rings are effective in delivering topical ophthalmic drugs to the posterior segment. The drugs are most likely delivered via the transconjunctival/scleral route by lateral diffusion across the bulbar conjunctiva and through the sclera. Systemic drug delivery to the posterior segment is minimal.","author":[{"dropping-particle":"","family":"Shikamura","given":"Yuko","non-dropping-particle":"","parse-names":false,"suffix":""},{"dropping-particle":"","family":"Yamazaki","given":"Yoshiko","non-dropping-particle":"","parse-names":false,"suffix":""},{"dropping-particle":"","family":"Matsunaga","given":"Toru","non-dropping-particle":"","parse-names":false,"suffix":""},{"dropping-particle":"","family":"Sato","given":"Takao","non-dropping-particle":"","parse-names":false,"suffix":""},{"dropping-particle":"","family":"Ohtori","given":"Akira","non-dropping-particle":"","parse-names":false,"suffix":""},{"dropping-particle":"","family":"Tojo","given":"Kakuji","non-dropping-particle":"","parse-names":false,"suffix":""}],"container-title":"Current Eye Research","id":"ITEM-1","issue":"5","issued":{"date-parts":[["2016"]]},"page":"653-661","title":"Hydrogel Ring for Topical Drug Delivery to the Ocular Posterior Segment","type":"article-journal","volume":"41"},"uris":["http://www.mendeley.com/documents/?uuid=3dc941e6-c9d5-47a3-8e95-f571d57da0e8"]}],"mendeley":{"formattedCitation":"[8]","plainTextFormattedCitation":"[8]","previouslyFormattedCitation":"[8]"},"properties":{"noteIndex":0},"schema":"https://github.com/citation-style-language/schema/raw/master/csl-citation.json"}</w:instrText>
            </w:r>
            <w:r w:rsidRPr="000D31FD">
              <w:rPr>
                <w:rFonts w:ascii="Times New Roman" w:hAnsi="Times New Roman" w:cs="Times New Roman"/>
                <w:sz w:val="24"/>
                <w:szCs w:val="24"/>
              </w:rPr>
              <w:fldChar w:fldCharType="separate"/>
            </w:r>
            <w:r w:rsidR="00C76D48" w:rsidRPr="00C76D48">
              <w:rPr>
                <w:rFonts w:ascii="Times New Roman" w:hAnsi="Times New Roman" w:cs="Times New Roman"/>
                <w:noProof/>
                <w:sz w:val="24"/>
                <w:szCs w:val="24"/>
                <w:lang w:val="en-US"/>
              </w:rPr>
              <w:t>[8]</w:t>
            </w:r>
            <w:r w:rsidRPr="000D31FD">
              <w:rPr>
                <w:rFonts w:ascii="Times New Roman" w:hAnsi="Times New Roman" w:cs="Times New Roman"/>
                <w:sz w:val="24"/>
                <w:szCs w:val="24"/>
              </w:rPr>
              <w:fldChar w:fldCharType="end"/>
            </w:r>
            <w:r w:rsidRPr="000D31FD">
              <w:rPr>
                <w:rFonts w:ascii="Times New Roman" w:hAnsi="Times New Roman" w:cs="Times New Roman"/>
                <w:sz w:val="24"/>
                <w:szCs w:val="24"/>
                <w:lang w:val="en-US"/>
              </w:rPr>
              <w:t xml:space="preserve"> and pravastatin </w:t>
            </w:r>
            <w:r w:rsidRPr="000D31FD">
              <w:rPr>
                <w:rFonts w:ascii="Times New Roman" w:hAnsi="Times New Roman" w:cs="Times New Roman"/>
                <w:sz w:val="24"/>
                <w:szCs w:val="24"/>
              </w:rPr>
              <w:fldChar w:fldCharType="begin" w:fldLock="1"/>
            </w:r>
            <w:r w:rsidRPr="000D31FD">
              <w:rPr>
                <w:rFonts w:ascii="Times New Roman" w:hAnsi="Times New Roman" w:cs="Times New Roman"/>
                <w:sz w:val="24"/>
                <w:szCs w:val="24"/>
                <w:lang w:val="en-US"/>
              </w:rPr>
              <w:instrText>ADDIN CSL_CITATION {"citationItems":[{"id":"ITEM-1","itemData":{"DOI":"10.1016/j.jconrel.2022.06.001","ISSN":"01683659","author":[{"dropping-particle":"","family":"Pereira-da-Mota","given":"Ana F.","non-dropping-particle":"","parse-names":false,"suffix":""},{"dropping-particle":"","family":"Vivero-Lopez","given":"Maria","non-dropping-particle":"","parse-names":false,"suffix":""},{"dropping-particle":"","family":"Serramito","given":"Maria","non-dropping-particle":"","parse-names":false,"suffix":""},{"dropping-particle":"","family":"Diaz-Gomez","given":"Luis","non-dropping-particle":"","parse-names":false,"suffix":""},{"dropping-particle":"","family":"Serro","given":"Ana Paula","non-dropping-particle":"","parse-names":false,"suffix":""},{"dropping-particle":"","family":"Carracedo","given":"Gonzalo","non-dropping-particle":"","parse-names":false,"suffix":""},{"dropping-particle":"","family":"Huete-Toral","given":"Fernando","non-dropping-particle":"","parse-names":false,"suffix":""},{"dropping-particle":"","family":"Concheiro","given":"Angel","non-dropping-particle":"","parse-names":false,"suffix":""},{"dropping-particle":"","family":"Alvarez-Lorenzo","given":"Carmen","non-dropping-particle":"","parse-names":false,"suffix":""}],"container-title":"Journal of Controlled Release","id":"ITEM-1","issue":"June","issued":{"date-parts":[["2022"]]},"page":"431-443","publisher":"Elsevier B.V.","title":"Contact lenses for pravastatin delivery to eye segments: Design and in vitro-in vivo correlations","type":"article-journal","volume":"348"},"uris":["http://www.mendeley.com/documents/?uuid=f42b2472-9e39-4e7c-9f17-4c45ffc14f1a"]}],"mendeley":{"formattedCitation":"[10]","plainTextFormattedCitation":"[10]","previouslyFormattedCitation":"[10]"},"properties":{"noteIndex":0},"schema":"https://github.com/citation-style-language/schema/raw/master/csl-citation.json"}</w:instrText>
            </w:r>
            <w:r w:rsidRPr="000D31FD">
              <w:rPr>
                <w:rFonts w:ascii="Times New Roman" w:hAnsi="Times New Roman" w:cs="Times New Roman"/>
                <w:sz w:val="24"/>
                <w:szCs w:val="24"/>
              </w:rPr>
              <w:fldChar w:fldCharType="separate"/>
            </w:r>
            <w:r w:rsidRPr="000D31FD">
              <w:rPr>
                <w:rFonts w:ascii="Times New Roman" w:hAnsi="Times New Roman" w:cs="Times New Roman"/>
                <w:noProof/>
                <w:sz w:val="24"/>
                <w:szCs w:val="24"/>
                <w:lang w:val="en-US"/>
              </w:rPr>
              <w:t>[10]</w:t>
            </w:r>
            <w:r w:rsidRPr="000D31FD">
              <w:rPr>
                <w:rFonts w:ascii="Times New Roman" w:hAnsi="Times New Roman" w:cs="Times New Roman"/>
                <w:sz w:val="24"/>
                <w:szCs w:val="24"/>
              </w:rPr>
              <w:fldChar w:fldCharType="end"/>
            </w:r>
            <w:r w:rsidRPr="000D31FD">
              <w:rPr>
                <w:rFonts w:ascii="Times New Roman" w:hAnsi="Times New Roman" w:cs="Times New Roman"/>
                <w:sz w:val="24"/>
                <w:szCs w:val="24"/>
                <w:lang w:val="en-US"/>
              </w:rPr>
              <w:t xml:space="preserve"> was measured </w:t>
            </w:r>
            <w:r w:rsidRPr="000D31FD">
              <w:rPr>
                <w:rFonts w:ascii="Times New Roman" w:hAnsi="Times New Roman" w:cs="Times New Roman"/>
                <w:i/>
                <w:iCs/>
                <w:sz w:val="24"/>
                <w:szCs w:val="24"/>
                <w:lang w:val="en-US"/>
              </w:rPr>
              <w:t>in vivo</w:t>
            </w:r>
            <w:r w:rsidRPr="000D31FD">
              <w:rPr>
                <w:rFonts w:ascii="Times New Roman" w:hAnsi="Times New Roman" w:cs="Times New Roman"/>
                <w:sz w:val="24"/>
                <w:szCs w:val="24"/>
                <w:lang w:val="en-US"/>
              </w:rPr>
              <w:t xml:space="preserve"> in the aqueous humor at a single time point, F % was in these cases estimated based on the logD</w:t>
            </w:r>
            <w:r w:rsidRPr="000D31FD">
              <w:rPr>
                <w:rFonts w:ascii="Times New Roman" w:hAnsi="Times New Roman" w:cs="Times New Roman"/>
                <w:sz w:val="24"/>
                <w:szCs w:val="24"/>
                <w:vertAlign w:val="subscript"/>
                <w:lang w:val="en-US"/>
              </w:rPr>
              <w:t xml:space="preserve">7.4 </w:t>
            </w:r>
            <w:r w:rsidRPr="000D31FD">
              <w:rPr>
                <w:rFonts w:ascii="Times New Roman" w:hAnsi="Times New Roman" w:cs="Times New Roman"/>
                <w:sz w:val="24"/>
                <w:szCs w:val="24"/>
                <w:lang w:val="en-US"/>
              </w:rPr>
              <w:t>of each drug and fine-tuned during the model validation.</w:t>
            </w:r>
          </w:p>
        </w:tc>
      </w:tr>
    </w:tbl>
    <w:p w14:paraId="3C875774" w14:textId="77777777" w:rsidR="00905481" w:rsidRPr="000D31FD" w:rsidRDefault="00905481" w:rsidP="00905481">
      <w:pPr>
        <w:rPr>
          <w:rFonts w:ascii="Times New Roman" w:hAnsi="Times New Roman" w:cs="Times New Roman"/>
          <w:b/>
          <w:bCs/>
          <w:sz w:val="24"/>
          <w:szCs w:val="24"/>
          <w:lang w:val="en-GB"/>
        </w:rPr>
      </w:pPr>
    </w:p>
    <w:p w14:paraId="2F32E43E" w14:textId="77777777" w:rsidR="00905481" w:rsidRPr="000D31FD" w:rsidRDefault="00905481" w:rsidP="00905481">
      <w:pPr>
        <w:rPr>
          <w:rFonts w:ascii="Times New Roman" w:hAnsi="Times New Roman" w:cs="Times New Roman"/>
          <w:i/>
          <w:iCs/>
          <w:sz w:val="24"/>
          <w:szCs w:val="24"/>
        </w:rPr>
      </w:pPr>
    </w:p>
    <w:p w14:paraId="4E6AF5F7" w14:textId="77777777" w:rsidR="00905481" w:rsidRPr="000D31FD" w:rsidRDefault="00905481" w:rsidP="00905481">
      <w:pPr>
        <w:rPr>
          <w:rFonts w:ascii="Times New Roman" w:hAnsi="Times New Roman" w:cs="Times New Roman"/>
          <w:i/>
          <w:iCs/>
          <w:sz w:val="24"/>
          <w:szCs w:val="24"/>
        </w:rPr>
      </w:pPr>
    </w:p>
    <w:p w14:paraId="786ADD98" w14:textId="77777777" w:rsidR="00905481" w:rsidRPr="000D31FD" w:rsidRDefault="00905481" w:rsidP="00905481">
      <w:pPr>
        <w:rPr>
          <w:rFonts w:ascii="Times New Roman" w:hAnsi="Times New Roman" w:cs="Times New Roman"/>
          <w:b/>
          <w:bCs/>
          <w:sz w:val="24"/>
          <w:szCs w:val="24"/>
          <w:lang w:val="en-GB"/>
        </w:rPr>
      </w:pPr>
      <w:r w:rsidRPr="000D31FD">
        <w:rPr>
          <w:rFonts w:ascii="Times New Roman" w:hAnsi="Times New Roman" w:cs="Times New Roman"/>
          <w:b/>
          <w:bCs/>
          <w:noProof/>
          <w:sz w:val="24"/>
          <w:szCs w:val="24"/>
        </w:rPr>
        <w:lastRenderedPageBreak/>
        <w:drawing>
          <wp:anchor distT="0" distB="0" distL="114300" distR="114300" simplePos="0" relativeHeight="251658752" behindDoc="0" locked="0" layoutInCell="1" allowOverlap="1" wp14:anchorId="03162497" wp14:editId="038679DE">
            <wp:simplePos x="0" y="0"/>
            <wp:positionH relativeFrom="column">
              <wp:posOffset>-3810</wp:posOffset>
            </wp:positionH>
            <wp:positionV relativeFrom="paragraph">
              <wp:posOffset>0</wp:posOffset>
            </wp:positionV>
            <wp:extent cx="6187440" cy="3881755"/>
            <wp:effectExtent l="0" t="0" r="3810" b="4445"/>
            <wp:wrapTopAndBottom/>
            <wp:docPr id="1789180539" name="Immagine 1" descr="Immagine che contiene diagramma,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80539" name="Immagine 1" descr="Immagine che contiene diagramma, schizzo&#10;&#10;Descrizione generata automaticamente"/>
                    <pic:cNvPicPr/>
                  </pic:nvPicPr>
                  <pic:blipFill rotWithShape="1">
                    <a:blip r:embed="rId6" cstate="print">
                      <a:extLst>
                        <a:ext uri="{28A0092B-C50C-407E-A947-70E740481C1C}">
                          <a14:useLocalDpi xmlns:a14="http://schemas.microsoft.com/office/drawing/2010/main" val="0"/>
                        </a:ext>
                      </a:extLst>
                    </a:blip>
                    <a:srcRect l="6599" t="3542" r="16208" b="10348"/>
                    <a:stretch/>
                  </pic:blipFill>
                  <pic:spPr bwMode="auto">
                    <a:xfrm>
                      <a:off x="0" y="0"/>
                      <a:ext cx="6187440" cy="3881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C3FA65" w14:textId="77777777" w:rsidR="00905481" w:rsidRDefault="00905481" w:rsidP="00905481">
      <w:pPr>
        <w:spacing w:before="240"/>
        <w:jc w:val="center"/>
        <w:rPr>
          <w:rFonts w:ascii="Times New Roman" w:hAnsi="Times New Roman" w:cs="Times New Roman"/>
          <w:i/>
          <w:iCs/>
          <w:sz w:val="24"/>
          <w:szCs w:val="24"/>
        </w:rPr>
      </w:pPr>
      <w:r w:rsidRPr="00C76D48">
        <w:rPr>
          <w:rFonts w:ascii="Times New Roman" w:hAnsi="Times New Roman" w:cs="Times New Roman"/>
          <w:i/>
          <w:iCs/>
          <w:sz w:val="24"/>
          <w:szCs w:val="24"/>
        </w:rPr>
        <w:t>Supplementary Figure S2. Visualization of uncertainty in the predicted drug concentration in the ocular tissues with randomized input values (grey curves) in the ± 10 % range from the nominal values (black curves).</w:t>
      </w:r>
    </w:p>
    <w:p w14:paraId="639C1E11" w14:textId="77777777" w:rsidR="00C76D48" w:rsidRDefault="00C76D48" w:rsidP="00905481">
      <w:pPr>
        <w:spacing w:before="240"/>
        <w:jc w:val="center"/>
        <w:rPr>
          <w:rFonts w:ascii="Times New Roman" w:hAnsi="Times New Roman" w:cs="Times New Roman"/>
          <w:i/>
          <w:iCs/>
          <w:sz w:val="24"/>
          <w:szCs w:val="24"/>
        </w:rPr>
      </w:pPr>
    </w:p>
    <w:p w14:paraId="16294890" w14:textId="77777777" w:rsidR="00C76D48" w:rsidRDefault="00C76D48" w:rsidP="00905481">
      <w:pPr>
        <w:spacing w:before="240"/>
        <w:jc w:val="center"/>
        <w:rPr>
          <w:rFonts w:ascii="Times New Roman" w:hAnsi="Times New Roman" w:cs="Times New Roman"/>
          <w:i/>
          <w:iCs/>
          <w:sz w:val="24"/>
          <w:szCs w:val="24"/>
        </w:rPr>
      </w:pPr>
    </w:p>
    <w:p w14:paraId="24F6F2DA" w14:textId="77777777" w:rsidR="00C76D48" w:rsidRDefault="00C76D48" w:rsidP="00905481">
      <w:pPr>
        <w:spacing w:before="240"/>
        <w:jc w:val="center"/>
        <w:rPr>
          <w:rFonts w:ascii="Times New Roman" w:hAnsi="Times New Roman" w:cs="Times New Roman"/>
          <w:i/>
          <w:iCs/>
          <w:sz w:val="24"/>
          <w:szCs w:val="24"/>
        </w:rPr>
      </w:pPr>
    </w:p>
    <w:p w14:paraId="1CD2ECC3" w14:textId="77777777" w:rsidR="00C76D48" w:rsidRDefault="00C76D48" w:rsidP="00905481">
      <w:pPr>
        <w:spacing w:before="240"/>
        <w:jc w:val="center"/>
        <w:rPr>
          <w:rFonts w:ascii="Times New Roman" w:hAnsi="Times New Roman" w:cs="Times New Roman"/>
          <w:i/>
          <w:iCs/>
          <w:sz w:val="24"/>
          <w:szCs w:val="24"/>
        </w:rPr>
      </w:pPr>
    </w:p>
    <w:p w14:paraId="1F7B0560" w14:textId="77777777" w:rsidR="00C76D48" w:rsidRDefault="00C76D48" w:rsidP="00905481">
      <w:pPr>
        <w:spacing w:before="240"/>
        <w:jc w:val="center"/>
        <w:rPr>
          <w:rFonts w:ascii="Times New Roman" w:hAnsi="Times New Roman" w:cs="Times New Roman"/>
          <w:i/>
          <w:iCs/>
          <w:sz w:val="24"/>
          <w:szCs w:val="24"/>
        </w:rPr>
      </w:pPr>
    </w:p>
    <w:p w14:paraId="4373C035" w14:textId="77777777" w:rsidR="00C76D48" w:rsidRDefault="00C76D48" w:rsidP="00905481">
      <w:pPr>
        <w:spacing w:before="240"/>
        <w:jc w:val="center"/>
        <w:rPr>
          <w:rFonts w:ascii="Times New Roman" w:hAnsi="Times New Roman" w:cs="Times New Roman"/>
          <w:i/>
          <w:iCs/>
          <w:sz w:val="24"/>
          <w:szCs w:val="24"/>
        </w:rPr>
      </w:pPr>
    </w:p>
    <w:p w14:paraId="2F8D89FB" w14:textId="77777777" w:rsidR="00C76D48" w:rsidRDefault="00C76D48" w:rsidP="00905481">
      <w:pPr>
        <w:spacing w:before="240"/>
        <w:jc w:val="center"/>
        <w:rPr>
          <w:rFonts w:ascii="Times New Roman" w:hAnsi="Times New Roman" w:cs="Times New Roman"/>
          <w:i/>
          <w:iCs/>
          <w:sz w:val="24"/>
          <w:szCs w:val="24"/>
        </w:rPr>
      </w:pPr>
    </w:p>
    <w:p w14:paraId="05A8BFFA" w14:textId="77777777" w:rsidR="00C76D48" w:rsidRDefault="00C76D48" w:rsidP="00905481">
      <w:pPr>
        <w:spacing w:before="240"/>
        <w:jc w:val="center"/>
        <w:rPr>
          <w:rFonts w:ascii="Times New Roman" w:hAnsi="Times New Roman" w:cs="Times New Roman"/>
          <w:i/>
          <w:iCs/>
          <w:sz w:val="24"/>
          <w:szCs w:val="24"/>
        </w:rPr>
      </w:pPr>
    </w:p>
    <w:p w14:paraId="74B57DCC" w14:textId="77777777" w:rsidR="00C76D48" w:rsidRDefault="00C76D48" w:rsidP="00905481">
      <w:pPr>
        <w:spacing w:before="240"/>
        <w:jc w:val="center"/>
        <w:rPr>
          <w:rFonts w:ascii="Times New Roman" w:hAnsi="Times New Roman" w:cs="Times New Roman"/>
          <w:i/>
          <w:iCs/>
          <w:sz w:val="24"/>
          <w:szCs w:val="24"/>
        </w:rPr>
      </w:pPr>
    </w:p>
    <w:p w14:paraId="53AEC5D4" w14:textId="4FBA09B9" w:rsidR="00C76D48" w:rsidRPr="00C76D48" w:rsidRDefault="00C76D48" w:rsidP="00C76D48">
      <w:pPr>
        <w:spacing w:before="240"/>
        <w:rPr>
          <w:rFonts w:ascii="Times New Roman" w:hAnsi="Times New Roman" w:cs="Times New Roman"/>
          <w:b/>
          <w:bCs/>
          <w:sz w:val="32"/>
          <w:szCs w:val="32"/>
          <w:lang w:val="en-GB"/>
        </w:rPr>
      </w:pPr>
      <w:r w:rsidRPr="00C76D48">
        <w:rPr>
          <w:rFonts w:ascii="Times New Roman" w:hAnsi="Times New Roman" w:cs="Times New Roman"/>
          <w:sz w:val="32"/>
          <w:szCs w:val="32"/>
        </w:rPr>
        <w:lastRenderedPageBreak/>
        <w:t>References</w:t>
      </w:r>
    </w:p>
    <w:p w14:paraId="14D98AE6" w14:textId="23069BA9"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Pr>
          <w:lang w:val="en-GB"/>
        </w:rPr>
        <w:fldChar w:fldCharType="begin" w:fldLock="1"/>
      </w:r>
      <w:r>
        <w:rPr>
          <w:lang w:val="en-GB"/>
        </w:rPr>
        <w:instrText xml:space="preserve">ADDIN Mendeley Bibliography CSL_BIBLIOGRAPHY </w:instrText>
      </w:r>
      <w:r>
        <w:rPr>
          <w:lang w:val="en-GB"/>
        </w:rPr>
        <w:fldChar w:fldCharType="separate"/>
      </w:r>
      <w:r w:rsidRPr="00C76D48">
        <w:rPr>
          <w:rFonts w:ascii="Calibri" w:hAnsi="Calibri" w:cs="Calibri"/>
          <w:noProof/>
          <w:szCs w:val="24"/>
        </w:rPr>
        <w:t>[1]</w:t>
      </w:r>
      <w:r w:rsidRPr="00C76D48">
        <w:rPr>
          <w:rFonts w:ascii="Calibri" w:hAnsi="Calibri" w:cs="Calibri"/>
          <w:noProof/>
          <w:szCs w:val="24"/>
        </w:rPr>
        <w:tab/>
        <w:t>Ross AE, Bengani LC, Tulsan R, Maidana DE, Salvador-Culla B, Kobashi H, et al. Topical sustained drug delivery to the retina with a drug-eluting contact lens. Biomaterials 2019;217:119285. https://doi.org/10.1016/j.biomaterials.2019.119285.</w:t>
      </w:r>
    </w:p>
    <w:p w14:paraId="78B24409"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[2]</w:t>
      </w:r>
      <w:r w:rsidRPr="00C76D48">
        <w:rPr>
          <w:rFonts w:ascii="Calibri" w:hAnsi="Calibri" w:cs="Calibri"/>
          <w:noProof/>
          <w:szCs w:val="24"/>
        </w:rPr>
        <w:tab/>
        <w:t>Bengani LC, Kobashi H, Ross AE, Zhai H, Salvador-Culla B, Tulsan R, et al. Steroid-eluting contact lenses for corneal and intraocular inflammation. Acta Biomater 2020;116:149–61. https://doi.org/10.1016/j.actbio.2020.08.013.</w:t>
      </w:r>
    </w:p>
    <w:p w14:paraId="69E90D18"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[3]</w:t>
      </w:r>
      <w:r w:rsidRPr="00C76D48">
        <w:rPr>
          <w:rFonts w:ascii="Calibri" w:hAnsi="Calibri" w:cs="Calibri"/>
          <w:noProof/>
          <w:szCs w:val="24"/>
        </w:rPr>
        <w:tab/>
        <w:t>Naageshwaran V, Ranta VP, Toropainen E, Tuomainen M, Gum G, Xie E, et al. Topical pharmacokinetics of dexamethasone suspensions in the rabbit eye: Bioavailability comparison. Int J Pharm 2022;615:121515. https://doi.org/10.1016/j.ijpharm.2022.121515.</w:t>
      </w:r>
    </w:p>
    <w:p w14:paraId="2CA84D6D"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[4]</w:t>
      </w:r>
      <w:r w:rsidRPr="00C76D48">
        <w:rPr>
          <w:rFonts w:ascii="Calibri" w:hAnsi="Calibri" w:cs="Calibri"/>
          <w:noProof/>
          <w:szCs w:val="24"/>
        </w:rPr>
        <w:tab/>
        <w:t>Serramito M, Pereira-da-Mota AF, Carpena-Torres C, Huete-Toral F, Alvarez-Lorenzo C, Carracedo G. Melatonin-Eluting Contact Lenses Effect on Tear Volume: In Vitro and In Vivo Experiments. Pharmaceutics 2022;14:1019. https://doi.org/10.3390/pharmaceutics14051019.</w:t>
      </w:r>
    </w:p>
    <w:p w14:paraId="4FAF242A"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[5]</w:t>
      </w:r>
      <w:r w:rsidRPr="00C76D48">
        <w:rPr>
          <w:rFonts w:ascii="Calibri" w:hAnsi="Calibri" w:cs="Calibri"/>
          <w:noProof/>
          <w:szCs w:val="24"/>
        </w:rPr>
        <w:tab/>
        <w:t>Ferreira MA, Azevedo H, Mascarello A, Segretti ND, Russo E, Russo V, et al. Discovery of ACH-000143: A Novel Potent and Peripherally Preferred Melatonin Receptor Agonist that Reduces Liver Triglycerides and Steatosis in Diet-Induced Obese Rats. J Med Chem 2021;64:1904–29. https://doi.org/10.1021/acs.jmedchem.0c00627.</w:t>
      </w:r>
    </w:p>
    <w:p w14:paraId="0D0B49BC"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[6]</w:t>
      </w:r>
      <w:r w:rsidRPr="00C76D48">
        <w:rPr>
          <w:rFonts w:ascii="Calibri" w:hAnsi="Calibri" w:cs="Calibri"/>
          <w:noProof/>
          <w:szCs w:val="24"/>
        </w:rPr>
        <w:tab/>
        <w:t>Ciolino JB, Stefanescu CF, Ross AE, Salvador-Culla B, Cortez P, Ford EM, et al. In vivo performance of a drug-eluting contact lens to treat glaucoma for a month. Biomaterials 2014;35:432–9. https://doi.org/10.1016/j.biomaterials.2013.09.032.</w:t>
      </w:r>
    </w:p>
    <w:p w14:paraId="0518690C"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[7]</w:t>
      </w:r>
      <w:r w:rsidRPr="00C76D48">
        <w:rPr>
          <w:rFonts w:ascii="Calibri" w:hAnsi="Calibri" w:cs="Calibri"/>
          <w:noProof/>
          <w:szCs w:val="24"/>
        </w:rPr>
        <w:tab/>
        <w:t>Rodriguez-Aller M, Guinchard S, Guillarme D, Pupier M, Jeannerat D, Rivara-Minten E, et al. New prostaglandin analog formulation for glaucoma treatment containing cyclodextrins for improved stability, solubility and ocular tolerance. Eur J Pharm Biopharm 2015;95:203–14. https://doi.org/10.1016/j.ejpb.2015.04.032.</w:t>
      </w:r>
    </w:p>
    <w:p w14:paraId="1482AA3C"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[8]</w:t>
      </w:r>
      <w:r w:rsidRPr="00C76D48">
        <w:rPr>
          <w:rFonts w:ascii="Calibri" w:hAnsi="Calibri" w:cs="Calibri"/>
          <w:noProof/>
          <w:szCs w:val="24"/>
        </w:rPr>
        <w:tab/>
        <w:t>Shikamura Y, Yamazaki Y, Matsunaga T, Sato T, Ohtori A, Tojo K. Hydrogel Ring for Topical Drug Delivery to the Ocular Posterior Segment. Curr Eye Res 2016;41:653–61. https://doi.org/10.3109/02713683.2015.1050738.</w:t>
      </w:r>
    </w:p>
    <w:p w14:paraId="73C96E1A"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[9]</w:t>
      </w:r>
      <w:r w:rsidRPr="00C76D48">
        <w:rPr>
          <w:rFonts w:ascii="Calibri" w:hAnsi="Calibri" w:cs="Calibri"/>
          <w:noProof/>
          <w:szCs w:val="24"/>
        </w:rPr>
        <w:tab/>
        <w:t>Chiang P-C, Hu Y. Simultaneous Determination of LogD, LogP, and pKa of Drugs by Using a Reverse Phase HPLC Coupled with a 96-Well Plate Auto Injector. Comb Chem High Throughput Screen 2009;12:250–7. https://doi.org/10.2174/138620709787581693.</w:t>
      </w:r>
    </w:p>
    <w:p w14:paraId="1191BF07"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[10]</w:t>
      </w:r>
      <w:r w:rsidRPr="00C76D48">
        <w:rPr>
          <w:rFonts w:ascii="Calibri" w:hAnsi="Calibri" w:cs="Calibri"/>
          <w:noProof/>
          <w:szCs w:val="24"/>
        </w:rPr>
        <w:tab/>
        <w:t>Pereira-da-Mota AF, Vivero-Lopez M, Serramito M, Diaz-Gomez L, Serro AP, Carracedo G, et al. Contact lenses for pravastatin delivery to eye segments: Design and in vitro-in vivo correlations. J Control Release 2022;348:431–43. https://doi.org/10.1016/j.jconrel.2022.06.001.</w:t>
      </w:r>
    </w:p>
    <w:p w14:paraId="1F5A3275"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[11]</w:t>
      </w:r>
      <w:r w:rsidRPr="00C76D48">
        <w:rPr>
          <w:rFonts w:ascii="Calibri" w:hAnsi="Calibri" w:cs="Calibri"/>
          <w:noProof/>
          <w:szCs w:val="24"/>
        </w:rPr>
        <w:tab/>
        <w:t>Burger C, Gerber M, Du Preez JL, Du Plessis J. Optimised transdermal delivery of pravastatin. Int J Pharm 2015;496:518–25. https://doi.org/10.1016/j.ijpharm.2015.10.034.</w:t>
      </w:r>
    </w:p>
    <w:p w14:paraId="624E6DD8"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[12]</w:t>
      </w:r>
      <w:r w:rsidRPr="00C76D48">
        <w:rPr>
          <w:rFonts w:ascii="Calibri" w:hAnsi="Calibri" w:cs="Calibri"/>
          <w:noProof/>
          <w:szCs w:val="24"/>
        </w:rPr>
        <w:tab/>
        <w:t xml:space="preserve">Ramsay E, Ruponen M, Picardat T, Tengvall U, Tuomainen M, Auriola S, et al. Impact of Chemical Structure on Conjunctival Drug Permeability: Adopting Porcine Conjunctiva and Cassette Dosing for Construction of In Silico Model. J Pharm Sci 2017;106:2463–71. </w:t>
      </w:r>
      <w:r w:rsidRPr="00C76D48">
        <w:rPr>
          <w:rFonts w:ascii="Calibri" w:hAnsi="Calibri" w:cs="Calibri"/>
          <w:noProof/>
          <w:szCs w:val="24"/>
        </w:rPr>
        <w:lastRenderedPageBreak/>
        <w:t>https://doi.org/10.1016/j.xphs.2017.04.061.</w:t>
      </w:r>
    </w:p>
    <w:p w14:paraId="75D8F246"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[13]</w:t>
      </w:r>
      <w:r w:rsidRPr="00C76D48">
        <w:rPr>
          <w:rFonts w:ascii="Calibri" w:hAnsi="Calibri" w:cs="Calibri"/>
          <w:noProof/>
          <w:szCs w:val="24"/>
        </w:rPr>
        <w:tab/>
        <w:t>Kim HM, Han H, Hong HK, Park JH, Park KH, Kim H, et al. Permeability of the retina and rpe-choroid-sclera to three ophthalmic drugs and the associated factors. Pharmaceutics 2021;13:1–11. https://doi.org/10.3390/pharmaceutics13050655.</w:t>
      </w:r>
    </w:p>
    <w:p w14:paraId="1ED35C78"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szCs w:val="24"/>
        </w:rPr>
      </w:pPr>
      <w:r w:rsidRPr="00C76D48">
        <w:rPr>
          <w:rFonts w:ascii="Calibri" w:hAnsi="Calibri" w:cs="Calibri"/>
          <w:noProof/>
          <w:szCs w:val="24"/>
        </w:rPr>
        <w:t>[14]</w:t>
      </w:r>
      <w:r w:rsidRPr="00C76D48">
        <w:rPr>
          <w:rFonts w:ascii="Calibri" w:hAnsi="Calibri" w:cs="Calibri"/>
          <w:noProof/>
          <w:szCs w:val="24"/>
        </w:rPr>
        <w:tab/>
        <w:t>Hutton-Smith LA, Gaffney EA, Byrne HM, Maini PK, Gadkar K, Mazer NA. Ocular Pharmacokinetics of Therapeutic Antibodies Given by Intravitreal Injection: Estimation of Retinal Permeabilities Using a 3-Compartment Semi-Mechanistic Model. Mol Pharm 2017;14:2690–6. https://doi.org/10.1021/acs.molpharmaceut.7b00164.</w:t>
      </w:r>
    </w:p>
    <w:p w14:paraId="2D8F36F2" w14:textId="77777777" w:rsidR="00C76D48" w:rsidRPr="00C76D48" w:rsidRDefault="00C76D48" w:rsidP="00C76D48">
      <w:pPr>
        <w:widowControl w:val="0"/>
        <w:autoSpaceDE w:val="0"/>
        <w:autoSpaceDN w:val="0"/>
        <w:adjustRightInd w:val="0"/>
        <w:spacing w:line="240" w:lineRule="auto"/>
        <w:ind w:left="640" w:hanging="640"/>
        <w:rPr>
          <w:rFonts w:ascii="Calibri" w:hAnsi="Calibri" w:cs="Calibri"/>
          <w:noProof/>
        </w:rPr>
      </w:pPr>
      <w:r w:rsidRPr="00C76D48">
        <w:rPr>
          <w:rFonts w:ascii="Calibri" w:hAnsi="Calibri" w:cs="Calibri"/>
          <w:noProof/>
          <w:szCs w:val="24"/>
        </w:rPr>
        <w:t>[15]</w:t>
      </w:r>
      <w:r w:rsidRPr="00C76D48">
        <w:rPr>
          <w:rFonts w:ascii="Calibri" w:hAnsi="Calibri" w:cs="Calibri"/>
          <w:noProof/>
          <w:szCs w:val="24"/>
        </w:rPr>
        <w:tab/>
        <w:t>Missel P, Chastain J, Mitra A, Kompella U, Kansara V, Duvvuri S, et al. In vitro transport and partitioning of AL-4940, active metabolite of angiostatic agent anecortave acetate, in ocular tissues of the posterior segment. J Ocul Pharmacol Ther 2010;26:137–45. https://doi.org/10.1089/jop.2009.0132.</w:t>
      </w:r>
    </w:p>
    <w:p w14:paraId="1769B701" w14:textId="79D95E61" w:rsidR="00BD2969" w:rsidRPr="00C76D48" w:rsidRDefault="00C76D48">
      <w:pPr>
        <w:rPr>
          <w:lang w:val="en-GB"/>
        </w:rPr>
      </w:pPr>
      <w:r>
        <w:rPr>
          <w:lang w:val="en-GB"/>
        </w:rPr>
        <w:fldChar w:fldCharType="end"/>
      </w:r>
    </w:p>
    <w:sectPr w:rsidR="00BD2969" w:rsidRPr="00C76D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81"/>
    <w:rsid w:val="00000025"/>
    <w:rsid w:val="000034EF"/>
    <w:rsid w:val="00004085"/>
    <w:rsid w:val="00027872"/>
    <w:rsid w:val="000314C7"/>
    <w:rsid w:val="0003463E"/>
    <w:rsid w:val="00035CD5"/>
    <w:rsid w:val="000364F8"/>
    <w:rsid w:val="000460C6"/>
    <w:rsid w:val="00050FA1"/>
    <w:rsid w:val="00057ACA"/>
    <w:rsid w:val="00064349"/>
    <w:rsid w:val="0007051D"/>
    <w:rsid w:val="00070A19"/>
    <w:rsid w:val="00070DCB"/>
    <w:rsid w:val="00071FF6"/>
    <w:rsid w:val="000764DA"/>
    <w:rsid w:val="0007744B"/>
    <w:rsid w:val="000815A1"/>
    <w:rsid w:val="00095E4B"/>
    <w:rsid w:val="000A5DFF"/>
    <w:rsid w:val="000A79FE"/>
    <w:rsid w:val="000B393B"/>
    <w:rsid w:val="000C29B7"/>
    <w:rsid w:val="000D101A"/>
    <w:rsid w:val="000D3082"/>
    <w:rsid w:val="000D4C16"/>
    <w:rsid w:val="000D4CCD"/>
    <w:rsid w:val="000D690B"/>
    <w:rsid w:val="000E2071"/>
    <w:rsid w:val="000E4E0D"/>
    <w:rsid w:val="001056F5"/>
    <w:rsid w:val="00110AC3"/>
    <w:rsid w:val="001167A9"/>
    <w:rsid w:val="00120DCB"/>
    <w:rsid w:val="001214A4"/>
    <w:rsid w:val="00124F27"/>
    <w:rsid w:val="00127503"/>
    <w:rsid w:val="00133EBF"/>
    <w:rsid w:val="001345C0"/>
    <w:rsid w:val="00140EB5"/>
    <w:rsid w:val="001563B7"/>
    <w:rsid w:val="00160276"/>
    <w:rsid w:val="00167045"/>
    <w:rsid w:val="001846AA"/>
    <w:rsid w:val="00186A71"/>
    <w:rsid w:val="0018738D"/>
    <w:rsid w:val="001A5A85"/>
    <w:rsid w:val="001B2B49"/>
    <w:rsid w:val="001B3D5E"/>
    <w:rsid w:val="001B514E"/>
    <w:rsid w:val="001B74AC"/>
    <w:rsid w:val="001B77AE"/>
    <w:rsid w:val="001C436B"/>
    <w:rsid w:val="001C6784"/>
    <w:rsid w:val="001D1581"/>
    <w:rsid w:val="001D345B"/>
    <w:rsid w:val="001D6065"/>
    <w:rsid w:val="001E58DD"/>
    <w:rsid w:val="001E5CD7"/>
    <w:rsid w:val="001E7E5A"/>
    <w:rsid w:val="001F5819"/>
    <w:rsid w:val="002024EF"/>
    <w:rsid w:val="00206064"/>
    <w:rsid w:val="00213772"/>
    <w:rsid w:val="00215D00"/>
    <w:rsid w:val="00223BE2"/>
    <w:rsid w:val="00224C81"/>
    <w:rsid w:val="002305D1"/>
    <w:rsid w:val="00230D1D"/>
    <w:rsid w:val="0023101A"/>
    <w:rsid w:val="00233586"/>
    <w:rsid w:val="002350FC"/>
    <w:rsid w:val="00235705"/>
    <w:rsid w:val="002409D2"/>
    <w:rsid w:val="00247B73"/>
    <w:rsid w:val="002561A7"/>
    <w:rsid w:val="00264649"/>
    <w:rsid w:val="00264C9B"/>
    <w:rsid w:val="00271DC2"/>
    <w:rsid w:val="0027396E"/>
    <w:rsid w:val="00274D3F"/>
    <w:rsid w:val="0027529C"/>
    <w:rsid w:val="002849C0"/>
    <w:rsid w:val="00285936"/>
    <w:rsid w:val="00290665"/>
    <w:rsid w:val="002930AC"/>
    <w:rsid w:val="002948C2"/>
    <w:rsid w:val="0029516C"/>
    <w:rsid w:val="002A2EF3"/>
    <w:rsid w:val="002B3125"/>
    <w:rsid w:val="002B4477"/>
    <w:rsid w:val="002B7B8A"/>
    <w:rsid w:val="002B7CB9"/>
    <w:rsid w:val="002C1087"/>
    <w:rsid w:val="002C2DB6"/>
    <w:rsid w:val="002C5326"/>
    <w:rsid w:val="002C5FF1"/>
    <w:rsid w:val="002D27E1"/>
    <w:rsid w:val="002D4302"/>
    <w:rsid w:val="002D528A"/>
    <w:rsid w:val="002E09FC"/>
    <w:rsid w:val="002E31EB"/>
    <w:rsid w:val="002E4E73"/>
    <w:rsid w:val="002E5402"/>
    <w:rsid w:val="002F0ED5"/>
    <w:rsid w:val="002F3A42"/>
    <w:rsid w:val="002F4A45"/>
    <w:rsid w:val="002F5494"/>
    <w:rsid w:val="002F632A"/>
    <w:rsid w:val="00301AA4"/>
    <w:rsid w:val="003054E7"/>
    <w:rsid w:val="0030674D"/>
    <w:rsid w:val="00314CCD"/>
    <w:rsid w:val="0032630A"/>
    <w:rsid w:val="00333A99"/>
    <w:rsid w:val="00335506"/>
    <w:rsid w:val="003405F4"/>
    <w:rsid w:val="003415C9"/>
    <w:rsid w:val="003457E9"/>
    <w:rsid w:val="00353337"/>
    <w:rsid w:val="00353EC5"/>
    <w:rsid w:val="00366296"/>
    <w:rsid w:val="00366CA5"/>
    <w:rsid w:val="003767F3"/>
    <w:rsid w:val="00384A1C"/>
    <w:rsid w:val="00397F86"/>
    <w:rsid w:val="003A434A"/>
    <w:rsid w:val="003A5507"/>
    <w:rsid w:val="003A59A1"/>
    <w:rsid w:val="003A692A"/>
    <w:rsid w:val="003C2A09"/>
    <w:rsid w:val="003C4CA8"/>
    <w:rsid w:val="003C7FBD"/>
    <w:rsid w:val="003D3F9C"/>
    <w:rsid w:val="003D5C9C"/>
    <w:rsid w:val="003E024A"/>
    <w:rsid w:val="003E22F9"/>
    <w:rsid w:val="00400697"/>
    <w:rsid w:val="00404063"/>
    <w:rsid w:val="00405A4B"/>
    <w:rsid w:val="00407C25"/>
    <w:rsid w:val="004100CF"/>
    <w:rsid w:val="0041086C"/>
    <w:rsid w:val="004203A6"/>
    <w:rsid w:val="00426C92"/>
    <w:rsid w:val="004279D4"/>
    <w:rsid w:val="00430FF9"/>
    <w:rsid w:val="004472D7"/>
    <w:rsid w:val="004538B6"/>
    <w:rsid w:val="00465CD4"/>
    <w:rsid w:val="00472D07"/>
    <w:rsid w:val="004736CD"/>
    <w:rsid w:val="0048048F"/>
    <w:rsid w:val="00481E46"/>
    <w:rsid w:val="00482E5A"/>
    <w:rsid w:val="00486083"/>
    <w:rsid w:val="00494887"/>
    <w:rsid w:val="00496856"/>
    <w:rsid w:val="00497BD5"/>
    <w:rsid w:val="004B17D8"/>
    <w:rsid w:val="004C17AD"/>
    <w:rsid w:val="004D2832"/>
    <w:rsid w:val="004D500E"/>
    <w:rsid w:val="004E70BA"/>
    <w:rsid w:val="00505F1B"/>
    <w:rsid w:val="00516D88"/>
    <w:rsid w:val="005205F5"/>
    <w:rsid w:val="00531335"/>
    <w:rsid w:val="005313A4"/>
    <w:rsid w:val="0053645C"/>
    <w:rsid w:val="00536B7F"/>
    <w:rsid w:val="005501DB"/>
    <w:rsid w:val="0055432A"/>
    <w:rsid w:val="00560A21"/>
    <w:rsid w:val="00561CD6"/>
    <w:rsid w:val="005674AE"/>
    <w:rsid w:val="005751C0"/>
    <w:rsid w:val="00577541"/>
    <w:rsid w:val="00582DC8"/>
    <w:rsid w:val="0058574D"/>
    <w:rsid w:val="00593604"/>
    <w:rsid w:val="005A5D81"/>
    <w:rsid w:val="005B05A1"/>
    <w:rsid w:val="005B3207"/>
    <w:rsid w:val="005B4742"/>
    <w:rsid w:val="005B4DCA"/>
    <w:rsid w:val="005B7C74"/>
    <w:rsid w:val="005C40A7"/>
    <w:rsid w:val="005C7927"/>
    <w:rsid w:val="005D0A87"/>
    <w:rsid w:val="005D540A"/>
    <w:rsid w:val="005D6749"/>
    <w:rsid w:val="005E5127"/>
    <w:rsid w:val="005F0DFF"/>
    <w:rsid w:val="005F3EDD"/>
    <w:rsid w:val="006003DA"/>
    <w:rsid w:val="0060200F"/>
    <w:rsid w:val="00620271"/>
    <w:rsid w:val="00621AF0"/>
    <w:rsid w:val="0062331C"/>
    <w:rsid w:val="00625095"/>
    <w:rsid w:val="00626817"/>
    <w:rsid w:val="00627AFB"/>
    <w:rsid w:val="00627EDF"/>
    <w:rsid w:val="006301FD"/>
    <w:rsid w:val="00640EA9"/>
    <w:rsid w:val="006433F9"/>
    <w:rsid w:val="00663460"/>
    <w:rsid w:val="00671B47"/>
    <w:rsid w:val="00682EF2"/>
    <w:rsid w:val="00683A22"/>
    <w:rsid w:val="006841BD"/>
    <w:rsid w:val="00687467"/>
    <w:rsid w:val="006A0B20"/>
    <w:rsid w:val="006A342D"/>
    <w:rsid w:val="006B012D"/>
    <w:rsid w:val="006B52FA"/>
    <w:rsid w:val="006B6A3D"/>
    <w:rsid w:val="006C4B6F"/>
    <w:rsid w:val="006D0CBB"/>
    <w:rsid w:val="006D586C"/>
    <w:rsid w:val="006E040A"/>
    <w:rsid w:val="006F2FC6"/>
    <w:rsid w:val="006F4327"/>
    <w:rsid w:val="0070009C"/>
    <w:rsid w:val="00706246"/>
    <w:rsid w:val="00707AE9"/>
    <w:rsid w:val="00710E29"/>
    <w:rsid w:val="00712CF1"/>
    <w:rsid w:val="007138EB"/>
    <w:rsid w:val="00722A6F"/>
    <w:rsid w:val="00724E75"/>
    <w:rsid w:val="00732257"/>
    <w:rsid w:val="0073563B"/>
    <w:rsid w:val="00740196"/>
    <w:rsid w:val="00743445"/>
    <w:rsid w:val="00752123"/>
    <w:rsid w:val="007550C1"/>
    <w:rsid w:val="007617D6"/>
    <w:rsid w:val="00773407"/>
    <w:rsid w:val="0077697F"/>
    <w:rsid w:val="00780EE3"/>
    <w:rsid w:val="0079177C"/>
    <w:rsid w:val="00792910"/>
    <w:rsid w:val="00792A8F"/>
    <w:rsid w:val="007944A4"/>
    <w:rsid w:val="00795329"/>
    <w:rsid w:val="007B63DF"/>
    <w:rsid w:val="007D5CB4"/>
    <w:rsid w:val="007D7F77"/>
    <w:rsid w:val="007E312A"/>
    <w:rsid w:val="007E4E1B"/>
    <w:rsid w:val="007E7FAD"/>
    <w:rsid w:val="007F2D34"/>
    <w:rsid w:val="007F3985"/>
    <w:rsid w:val="007F6356"/>
    <w:rsid w:val="007F67E0"/>
    <w:rsid w:val="007F6912"/>
    <w:rsid w:val="0080075A"/>
    <w:rsid w:val="00800DEF"/>
    <w:rsid w:val="00801E94"/>
    <w:rsid w:val="008036EC"/>
    <w:rsid w:val="00803F2F"/>
    <w:rsid w:val="0080635D"/>
    <w:rsid w:val="00810D81"/>
    <w:rsid w:val="00827005"/>
    <w:rsid w:val="008439FA"/>
    <w:rsid w:val="00846477"/>
    <w:rsid w:val="008616C2"/>
    <w:rsid w:val="0086585E"/>
    <w:rsid w:val="00877ACD"/>
    <w:rsid w:val="00891728"/>
    <w:rsid w:val="0089245F"/>
    <w:rsid w:val="00892CF6"/>
    <w:rsid w:val="008959A5"/>
    <w:rsid w:val="008979BD"/>
    <w:rsid w:val="008A2BB1"/>
    <w:rsid w:val="008A464A"/>
    <w:rsid w:val="008A6D30"/>
    <w:rsid w:val="008C07FD"/>
    <w:rsid w:val="008C1004"/>
    <w:rsid w:val="008C2540"/>
    <w:rsid w:val="008C3FAD"/>
    <w:rsid w:val="008D20CD"/>
    <w:rsid w:val="008D2486"/>
    <w:rsid w:val="008D31E2"/>
    <w:rsid w:val="008D6CBB"/>
    <w:rsid w:val="008D736D"/>
    <w:rsid w:val="008E743E"/>
    <w:rsid w:val="008F2A71"/>
    <w:rsid w:val="00905481"/>
    <w:rsid w:val="00906B21"/>
    <w:rsid w:val="009155C5"/>
    <w:rsid w:val="009159B0"/>
    <w:rsid w:val="00917723"/>
    <w:rsid w:val="009217D0"/>
    <w:rsid w:val="00931AE2"/>
    <w:rsid w:val="00933BEB"/>
    <w:rsid w:val="00937CC0"/>
    <w:rsid w:val="00951304"/>
    <w:rsid w:val="0096314D"/>
    <w:rsid w:val="00963E4D"/>
    <w:rsid w:val="00970C6B"/>
    <w:rsid w:val="00984128"/>
    <w:rsid w:val="009850A2"/>
    <w:rsid w:val="00985F60"/>
    <w:rsid w:val="009862A1"/>
    <w:rsid w:val="009A14E9"/>
    <w:rsid w:val="009A257F"/>
    <w:rsid w:val="009C1E73"/>
    <w:rsid w:val="009C4826"/>
    <w:rsid w:val="009D040A"/>
    <w:rsid w:val="009D2BFE"/>
    <w:rsid w:val="009D5870"/>
    <w:rsid w:val="009E51DD"/>
    <w:rsid w:val="009F718E"/>
    <w:rsid w:val="00A01827"/>
    <w:rsid w:val="00A038A6"/>
    <w:rsid w:val="00A04857"/>
    <w:rsid w:val="00A103AE"/>
    <w:rsid w:val="00A1444A"/>
    <w:rsid w:val="00A17B28"/>
    <w:rsid w:val="00A211C7"/>
    <w:rsid w:val="00A21CEF"/>
    <w:rsid w:val="00A26C9D"/>
    <w:rsid w:val="00A33351"/>
    <w:rsid w:val="00A37F36"/>
    <w:rsid w:val="00A417D4"/>
    <w:rsid w:val="00A4285F"/>
    <w:rsid w:val="00A448FF"/>
    <w:rsid w:val="00A50D3D"/>
    <w:rsid w:val="00A52CDC"/>
    <w:rsid w:val="00A6159D"/>
    <w:rsid w:val="00A61DCB"/>
    <w:rsid w:val="00A62735"/>
    <w:rsid w:val="00A65EEC"/>
    <w:rsid w:val="00A75EC0"/>
    <w:rsid w:val="00A7663A"/>
    <w:rsid w:val="00A77501"/>
    <w:rsid w:val="00A85C86"/>
    <w:rsid w:val="00A86330"/>
    <w:rsid w:val="00A868CA"/>
    <w:rsid w:val="00A91E46"/>
    <w:rsid w:val="00AA0DB5"/>
    <w:rsid w:val="00AA205C"/>
    <w:rsid w:val="00AA3ADA"/>
    <w:rsid w:val="00AA62C5"/>
    <w:rsid w:val="00AB3485"/>
    <w:rsid w:val="00AB52D3"/>
    <w:rsid w:val="00AB5F3E"/>
    <w:rsid w:val="00AC0729"/>
    <w:rsid w:val="00AD33FC"/>
    <w:rsid w:val="00AD37BF"/>
    <w:rsid w:val="00AD5A30"/>
    <w:rsid w:val="00AD6B09"/>
    <w:rsid w:val="00AE2E89"/>
    <w:rsid w:val="00AE445D"/>
    <w:rsid w:val="00AE4C23"/>
    <w:rsid w:val="00AF0CC2"/>
    <w:rsid w:val="00AF1C45"/>
    <w:rsid w:val="00AF2CFC"/>
    <w:rsid w:val="00AF672E"/>
    <w:rsid w:val="00AF7F4F"/>
    <w:rsid w:val="00B00CFC"/>
    <w:rsid w:val="00B01A28"/>
    <w:rsid w:val="00B06B53"/>
    <w:rsid w:val="00B1034C"/>
    <w:rsid w:val="00B11BA9"/>
    <w:rsid w:val="00B15757"/>
    <w:rsid w:val="00B16D68"/>
    <w:rsid w:val="00B23AF5"/>
    <w:rsid w:val="00B24CCC"/>
    <w:rsid w:val="00B2579A"/>
    <w:rsid w:val="00B36F40"/>
    <w:rsid w:val="00B40FAC"/>
    <w:rsid w:val="00B4113A"/>
    <w:rsid w:val="00B4282E"/>
    <w:rsid w:val="00B44B0E"/>
    <w:rsid w:val="00B55B4C"/>
    <w:rsid w:val="00B56AE3"/>
    <w:rsid w:val="00B62A56"/>
    <w:rsid w:val="00B64B47"/>
    <w:rsid w:val="00B74BA4"/>
    <w:rsid w:val="00B86E8D"/>
    <w:rsid w:val="00B93E84"/>
    <w:rsid w:val="00B95828"/>
    <w:rsid w:val="00BA5943"/>
    <w:rsid w:val="00BB1371"/>
    <w:rsid w:val="00BB4475"/>
    <w:rsid w:val="00BC32C8"/>
    <w:rsid w:val="00BC5C83"/>
    <w:rsid w:val="00BD079F"/>
    <w:rsid w:val="00BD2969"/>
    <w:rsid w:val="00BD38B5"/>
    <w:rsid w:val="00BD3E93"/>
    <w:rsid w:val="00BD5A2B"/>
    <w:rsid w:val="00BE41B9"/>
    <w:rsid w:val="00BF579C"/>
    <w:rsid w:val="00C00616"/>
    <w:rsid w:val="00C02755"/>
    <w:rsid w:val="00C20CAD"/>
    <w:rsid w:val="00C23A0B"/>
    <w:rsid w:val="00C320E4"/>
    <w:rsid w:val="00C335BA"/>
    <w:rsid w:val="00C528E6"/>
    <w:rsid w:val="00C53EB0"/>
    <w:rsid w:val="00C54B53"/>
    <w:rsid w:val="00C565DB"/>
    <w:rsid w:val="00C56F1A"/>
    <w:rsid w:val="00C60877"/>
    <w:rsid w:val="00C60FD2"/>
    <w:rsid w:val="00C624B1"/>
    <w:rsid w:val="00C64B7E"/>
    <w:rsid w:val="00C71C16"/>
    <w:rsid w:val="00C7532F"/>
    <w:rsid w:val="00C75C16"/>
    <w:rsid w:val="00C76D48"/>
    <w:rsid w:val="00C77040"/>
    <w:rsid w:val="00C875A6"/>
    <w:rsid w:val="00C97A98"/>
    <w:rsid w:val="00CA03B5"/>
    <w:rsid w:val="00CA0D6B"/>
    <w:rsid w:val="00CA686E"/>
    <w:rsid w:val="00CB56F1"/>
    <w:rsid w:val="00CB69E3"/>
    <w:rsid w:val="00CC361E"/>
    <w:rsid w:val="00CC6548"/>
    <w:rsid w:val="00CD0DB3"/>
    <w:rsid w:val="00CD1054"/>
    <w:rsid w:val="00CD36EF"/>
    <w:rsid w:val="00CD7B88"/>
    <w:rsid w:val="00CE3454"/>
    <w:rsid w:val="00CF394F"/>
    <w:rsid w:val="00D0194D"/>
    <w:rsid w:val="00D04163"/>
    <w:rsid w:val="00D11D3C"/>
    <w:rsid w:val="00D1366C"/>
    <w:rsid w:val="00D1792E"/>
    <w:rsid w:val="00D21CD0"/>
    <w:rsid w:val="00D274A4"/>
    <w:rsid w:val="00D35733"/>
    <w:rsid w:val="00D407EC"/>
    <w:rsid w:val="00D443EF"/>
    <w:rsid w:val="00D50882"/>
    <w:rsid w:val="00D51529"/>
    <w:rsid w:val="00D516B1"/>
    <w:rsid w:val="00D51A5B"/>
    <w:rsid w:val="00D5345A"/>
    <w:rsid w:val="00D543B9"/>
    <w:rsid w:val="00D75BB9"/>
    <w:rsid w:val="00D76757"/>
    <w:rsid w:val="00D82994"/>
    <w:rsid w:val="00D86171"/>
    <w:rsid w:val="00D91928"/>
    <w:rsid w:val="00D95F0A"/>
    <w:rsid w:val="00D967F3"/>
    <w:rsid w:val="00DA50DC"/>
    <w:rsid w:val="00DA66C3"/>
    <w:rsid w:val="00DB095A"/>
    <w:rsid w:val="00DB678F"/>
    <w:rsid w:val="00DC0037"/>
    <w:rsid w:val="00DC148F"/>
    <w:rsid w:val="00DC45E6"/>
    <w:rsid w:val="00DC46BF"/>
    <w:rsid w:val="00DE1F36"/>
    <w:rsid w:val="00DE431D"/>
    <w:rsid w:val="00DE7F44"/>
    <w:rsid w:val="00DF034D"/>
    <w:rsid w:val="00DF03E4"/>
    <w:rsid w:val="00DF341D"/>
    <w:rsid w:val="00DF5730"/>
    <w:rsid w:val="00E058C9"/>
    <w:rsid w:val="00E11032"/>
    <w:rsid w:val="00E12C47"/>
    <w:rsid w:val="00E132E4"/>
    <w:rsid w:val="00E320FA"/>
    <w:rsid w:val="00E42AF7"/>
    <w:rsid w:val="00E4545E"/>
    <w:rsid w:val="00E46F26"/>
    <w:rsid w:val="00E53101"/>
    <w:rsid w:val="00E5718F"/>
    <w:rsid w:val="00E60985"/>
    <w:rsid w:val="00E80AB3"/>
    <w:rsid w:val="00E87E0B"/>
    <w:rsid w:val="00E9410F"/>
    <w:rsid w:val="00E961E9"/>
    <w:rsid w:val="00EA5004"/>
    <w:rsid w:val="00EB08A1"/>
    <w:rsid w:val="00EB314F"/>
    <w:rsid w:val="00EB40B9"/>
    <w:rsid w:val="00EC6525"/>
    <w:rsid w:val="00EC6E74"/>
    <w:rsid w:val="00EC6F89"/>
    <w:rsid w:val="00EC76F7"/>
    <w:rsid w:val="00EE09DC"/>
    <w:rsid w:val="00EE1659"/>
    <w:rsid w:val="00EE73BB"/>
    <w:rsid w:val="00F115BE"/>
    <w:rsid w:val="00F15D65"/>
    <w:rsid w:val="00F15DF0"/>
    <w:rsid w:val="00F35972"/>
    <w:rsid w:val="00F36A65"/>
    <w:rsid w:val="00F36E12"/>
    <w:rsid w:val="00F47160"/>
    <w:rsid w:val="00F517EB"/>
    <w:rsid w:val="00F54CEC"/>
    <w:rsid w:val="00F55B95"/>
    <w:rsid w:val="00F55CD4"/>
    <w:rsid w:val="00F56226"/>
    <w:rsid w:val="00F57D58"/>
    <w:rsid w:val="00F61418"/>
    <w:rsid w:val="00F62EB7"/>
    <w:rsid w:val="00F634E5"/>
    <w:rsid w:val="00F64A38"/>
    <w:rsid w:val="00F8038C"/>
    <w:rsid w:val="00F84E70"/>
    <w:rsid w:val="00F91570"/>
    <w:rsid w:val="00F93A67"/>
    <w:rsid w:val="00F958C4"/>
    <w:rsid w:val="00FA0EAD"/>
    <w:rsid w:val="00FA3BC2"/>
    <w:rsid w:val="00FA3FEC"/>
    <w:rsid w:val="00FA4435"/>
    <w:rsid w:val="00FA691C"/>
    <w:rsid w:val="00FA79E4"/>
    <w:rsid w:val="00FB7A93"/>
    <w:rsid w:val="00FB7E98"/>
    <w:rsid w:val="00FD31CF"/>
    <w:rsid w:val="00FE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1A06"/>
  <w15:docId w15:val="{DC45543B-B43D-4E8E-B44A-ADBF43F3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05481"/>
    <w:pPr>
      <w:spacing w:after="160" w:line="259" w:lineRule="auto"/>
      <w:ind w:left="720"/>
      <w:contextualSpacing/>
    </w:pPr>
    <w:rPr>
      <w:lang w:val="it-IT"/>
    </w:rPr>
  </w:style>
  <w:style w:type="paragraph" w:styleId="Didascalia">
    <w:name w:val="caption"/>
    <w:basedOn w:val="Normale"/>
    <w:next w:val="Normale"/>
    <w:uiPriority w:val="35"/>
    <w:unhideWhenUsed/>
    <w:qFormat/>
    <w:rsid w:val="00905481"/>
    <w:pPr>
      <w:spacing w:line="240" w:lineRule="auto"/>
    </w:pPr>
    <w:rPr>
      <w:i/>
      <w:iCs/>
      <w:color w:val="1F497D" w:themeColor="text2"/>
      <w:sz w:val="18"/>
      <w:szCs w:val="18"/>
      <w:lang w:val="it-IT"/>
    </w:rPr>
  </w:style>
  <w:style w:type="table" w:styleId="Grigliatabella">
    <w:name w:val="Table Grid"/>
    <w:basedOn w:val="Tabellanormale"/>
    <w:uiPriority w:val="39"/>
    <w:rsid w:val="0090548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64DFD-E0E8-4726-9077-6DD9B962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8703</Words>
  <Characters>49609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E747989</dc:creator>
  <cp:lastModifiedBy>Nadia Toffoletto</cp:lastModifiedBy>
  <cp:revision>3</cp:revision>
  <dcterms:created xsi:type="dcterms:W3CDTF">2023-07-14T15:52:00Z</dcterms:created>
  <dcterms:modified xsi:type="dcterms:W3CDTF">2023-07-14T15:54:00Z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http://www.zotero.org/styles/elsevier-vancouver</vt:lpwstr>
  </property>
  <property fmtid="{D5CDD505-2E9C-101B-9397-08002B2CF9AE}" pid="4" name="Mendeley Unique User Id_1">
    <vt:lpwstr>22ba184c-d3e3-361c-ba4d-0b35f384288f</vt:lpwstr>
  </property>
</Properties>
</file>