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65329" w14:textId="77777777" w:rsidR="007A712C" w:rsidRPr="00701614" w:rsidRDefault="007A712C" w:rsidP="00701614">
      <w:pPr>
        <w:pStyle w:val="NoSpacing"/>
        <w:spacing w:line="276" w:lineRule="auto"/>
        <w:jc w:val="both"/>
        <w:rPr>
          <w:rFonts w:ascii="Calibri" w:hAnsi="Calibri" w:cs="Calibri"/>
          <w:b/>
          <w:bCs/>
          <w:sz w:val="32"/>
          <w:szCs w:val="32"/>
          <w:lang w:val="en-US"/>
        </w:rPr>
      </w:pPr>
      <w:r w:rsidRPr="00701614">
        <w:rPr>
          <w:rFonts w:ascii="Calibri" w:hAnsi="Calibri" w:cs="Calibri"/>
          <w:b/>
          <w:bCs/>
          <w:sz w:val="32"/>
          <w:szCs w:val="32"/>
          <w:lang w:val="en-US"/>
        </w:rPr>
        <w:t xml:space="preserve">Prediction of the extent of blood-brain barrier transport using machine learning and integration into the LeiCNS-PK3.0 model. </w:t>
      </w:r>
    </w:p>
    <w:p w14:paraId="5B811373" w14:textId="77777777" w:rsidR="007A712C" w:rsidRPr="00701614" w:rsidRDefault="007A712C" w:rsidP="00701614">
      <w:pPr>
        <w:pStyle w:val="NoSpacing"/>
        <w:spacing w:line="276" w:lineRule="auto"/>
        <w:jc w:val="both"/>
        <w:rPr>
          <w:rFonts w:ascii="Calibri" w:hAnsi="Calibri" w:cs="Calibri"/>
          <w:lang w:val="en-US"/>
        </w:rPr>
      </w:pPr>
    </w:p>
    <w:p w14:paraId="01D40E87" w14:textId="56C23286" w:rsidR="007A712C" w:rsidRPr="00701614" w:rsidRDefault="007A712C" w:rsidP="00701614">
      <w:pPr>
        <w:pStyle w:val="NoSpacing"/>
        <w:spacing w:line="276" w:lineRule="auto"/>
        <w:jc w:val="both"/>
        <w:rPr>
          <w:rFonts w:ascii="Calibri" w:hAnsi="Calibri" w:cs="Calibri"/>
        </w:rPr>
      </w:pPr>
      <w:r w:rsidRPr="00701614">
        <w:rPr>
          <w:rFonts w:ascii="Calibri" w:hAnsi="Calibri" w:cs="Calibri"/>
        </w:rPr>
        <w:t>Berfin Gülave, Helle W. van den Maagdenberg</w:t>
      </w:r>
      <w:r w:rsidR="00A000D2" w:rsidRPr="00701614">
        <w:rPr>
          <w:rFonts w:ascii="Calibri" w:hAnsi="Calibri" w:cs="Calibri"/>
        </w:rPr>
        <w:t>*</w:t>
      </w:r>
      <w:r w:rsidRPr="00701614">
        <w:rPr>
          <w:rFonts w:ascii="Calibri" w:hAnsi="Calibri" w:cs="Calibri"/>
        </w:rPr>
        <w:t>, Luke van Boven</w:t>
      </w:r>
      <w:r w:rsidR="00A000D2" w:rsidRPr="00701614">
        <w:rPr>
          <w:rFonts w:ascii="Calibri" w:hAnsi="Calibri" w:cs="Calibri"/>
        </w:rPr>
        <w:t>*</w:t>
      </w:r>
      <w:r w:rsidRPr="00701614">
        <w:rPr>
          <w:rFonts w:ascii="Calibri" w:hAnsi="Calibri" w:cs="Calibri"/>
        </w:rPr>
        <w:t>, Gerard J.P. van Westen, Elizabeth C.M. de Lange, J.G. Coen van Hasselt</w:t>
      </w:r>
    </w:p>
    <w:p w14:paraId="47D6F776" w14:textId="77777777" w:rsidR="007A712C" w:rsidRPr="00701614" w:rsidRDefault="007A712C" w:rsidP="00701614">
      <w:pPr>
        <w:pStyle w:val="NoSpacing"/>
        <w:spacing w:line="276" w:lineRule="auto"/>
        <w:jc w:val="both"/>
        <w:rPr>
          <w:rFonts w:ascii="Calibri" w:hAnsi="Calibri" w:cs="Calibri"/>
          <w:sz w:val="28"/>
          <w:szCs w:val="28"/>
        </w:rPr>
      </w:pPr>
    </w:p>
    <w:p w14:paraId="4279A37A" w14:textId="33A792C3" w:rsidR="00267D4B" w:rsidRPr="001E3981" w:rsidRDefault="00A000D2" w:rsidP="00701614">
      <w:pPr>
        <w:pStyle w:val="NoSpacing"/>
        <w:spacing w:line="276" w:lineRule="auto"/>
        <w:jc w:val="both"/>
        <w:rPr>
          <w:lang w:val="en-US"/>
        </w:rPr>
        <w:sectPr w:rsidR="00267D4B" w:rsidRPr="001E3981">
          <w:pgSz w:w="11906" w:h="16838"/>
          <w:pgMar w:top="1417" w:right="1417" w:bottom="1417" w:left="1417" w:header="708" w:footer="708" w:gutter="0"/>
          <w:cols w:space="708"/>
          <w:docGrid w:linePitch="360"/>
        </w:sectPr>
      </w:pPr>
      <w:r w:rsidRPr="00701614">
        <w:rPr>
          <w:rFonts w:ascii="Calibri" w:hAnsi="Calibri" w:cs="Calibri"/>
          <w:sz w:val="20"/>
          <w:szCs w:val="20"/>
          <w:lang w:val="en-US"/>
        </w:rPr>
        <w:t>*</w:t>
      </w:r>
      <w:r w:rsidRPr="00701614">
        <w:rPr>
          <w:rFonts w:ascii="Calibri" w:hAnsi="Calibri" w:cs="Calibri"/>
          <w:szCs w:val="20"/>
          <w:lang w:val="en-US"/>
        </w:rPr>
        <w:t>These authors contributed equally to the work</w:t>
      </w:r>
      <w:r w:rsidRPr="001E3981">
        <w:rPr>
          <w:lang w:val="en-US"/>
        </w:rPr>
        <w:t xml:space="preserve"> </w:t>
      </w:r>
      <w:r w:rsidR="00E85898" w:rsidRPr="001E3981">
        <w:rPr>
          <w:lang w:val="en-US"/>
        </w:rPr>
        <w:br w:type="page"/>
      </w:r>
    </w:p>
    <w:p w14:paraId="50A89E10" w14:textId="2B866F4F" w:rsidR="00FB520A" w:rsidRPr="00FB520A" w:rsidRDefault="00FB520A" w:rsidP="00FB520A">
      <w:pPr>
        <w:pStyle w:val="NoSpacing"/>
        <w:keepNext/>
        <w:spacing w:line="276" w:lineRule="auto"/>
        <w:jc w:val="both"/>
      </w:pPr>
      <w:r w:rsidRPr="00FB520A">
        <w:rPr>
          <w:noProof/>
        </w:rPr>
        <w:lastRenderedPageBreak/>
        <w:drawing>
          <wp:inline distT="0" distB="0" distL="0" distR="0" wp14:anchorId="60B31139" wp14:editId="70AF3DDC">
            <wp:extent cx="5760720" cy="4608830"/>
            <wp:effectExtent l="0" t="0" r="0" b="1270"/>
            <wp:docPr id="215519027" name="Picture 2" descr="A diagram of a number of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19027" name="Picture 2" descr="A diagram of a number of dot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608830"/>
                    </a:xfrm>
                    <a:prstGeom prst="rect">
                      <a:avLst/>
                    </a:prstGeom>
                    <a:noFill/>
                    <a:ln>
                      <a:noFill/>
                    </a:ln>
                  </pic:spPr>
                </pic:pic>
              </a:graphicData>
            </a:graphic>
          </wp:inline>
        </w:drawing>
      </w:r>
    </w:p>
    <w:p w14:paraId="4195BD6E" w14:textId="192982B8" w:rsidR="001A4C52" w:rsidRDefault="001A4C52" w:rsidP="001A4C52">
      <w:pPr>
        <w:pStyle w:val="NoSpacing"/>
        <w:keepNext/>
        <w:spacing w:line="276" w:lineRule="auto"/>
        <w:jc w:val="both"/>
      </w:pPr>
    </w:p>
    <w:p w14:paraId="72FF3481" w14:textId="03919364" w:rsidR="001A4C52" w:rsidRPr="009B40F1" w:rsidRDefault="001A4C52" w:rsidP="001A4C52">
      <w:pPr>
        <w:pStyle w:val="Caption"/>
        <w:jc w:val="both"/>
        <w:rPr>
          <w:color w:val="0070C0"/>
          <w:sz w:val="16"/>
          <w:szCs w:val="16"/>
          <w:lang w:val="en-US"/>
        </w:rPr>
      </w:pPr>
      <w:r w:rsidRPr="009B40F1">
        <w:rPr>
          <w:b/>
          <w:bCs/>
          <w:color w:val="0070C0"/>
          <w:sz w:val="16"/>
          <w:szCs w:val="16"/>
          <w:lang w:val="en-US"/>
        </w:rPr>
        <w:t xml:space="preserve">Supplementary figure </w:t>
      </w:r>
      <w:r w:rsidRPr="009B40F1">
        <w:rPr>
          <w:b/>
          <w:bCs/>
          <w:color w:val="0070C0"/>
          <w:sz w:val="16"/>
          <w:szCs w:val="16"/>
        </w:rPr>
        <w:fldChar w:fldCharType="begin"/>
      </w:r>
      <w:r w:rsidRPr="009B40F1">
        <w:rPr>
          <w:b/>
          <w:bCs/>
          <w:color w:val="0070C0"/>
          <w:sz w:val="16"/>
          <w:szCs w:val="16"/>
          <w:lang w:val="en-US"/>
        </w:rPr>
        <w:instrText xml:space="preserve"> SEQ Figure \* ARABIC </w:instrText>
      </w:r>
      <w:r w:rsidRPr="009B40F1">
        <w:rPr>
          <w:b/>
          <w:bCs/>
          <w:color w:val="0070C0"/>
          <w:sz w:val="16"/>
          <w:szCs w:val="16"/>
        </w:rPr>
        <w:fldChar w:fldCharType="separate"/>
      </w:r>
      <w:r w:rsidRPr="009B40F1">
        <w:rPr>
          <w:b/>
          <w:bCs/>
          <w:noProof/>
          <w:color w:val="0070C0"/>
          <w:sz w:val="16"/>
          <w:szCs w:val="16"/>
          <w:lang w:val="en-US"/>
        </w:rPr>
        <w:t>1</w:t>
      </w:r>
      <w:r w:rsidRPr="009B40F1">
        <w:rPr>
          <w:b/>
          <w:bCs/>
          <w:color w:val="0070C0"/>
          <w:sz w:val="16"/>
          <w:szCs w:val="16"/>
        </w:rPr>
        <w:fldChar w:fldCharType="end"/>
      </w:r>
      <w:r w:rsidRPr="009B40F1">
        <w:rPr>
          <w:b/>
          <w:bCs/>
          <w:color w:val="0070C0"/>
          <w:sz w:val="16"/>
          <w:szCs w:val="16"/>
          <w:lang w:val="en-US"/>
        </w:rPr>
        <w:t xml:space="preserve"> LogK</w:t>
      </w:r>
      <w:r w:rsidRPr="009B40F1">
        <w:rPr>
          <w:b/>
          <w:bCs/>
          <w:color w:val="0070C0"/>
          <w:sz w:val="16"/>
          <w:szCs w:val="16"/>
          <w:vertAlign w:val="subscript"/>
          <w:lang w:val="en-US"/>
        </w:rPr>
        <w:t>p,uu,BBB</w:t>
      </w:r>
      <w:r w:rsidRPr="009B40F1">
        <w:rPr>
          <w:b/>
          <w:bCs/>
          <w:color w:val="0070C0"/>
          <w:sz w:val="16"/>
          <w:szCs w:val="16"/>
          <w:lang w:val="en-US"/>
        </w:rPr>
        <w:t xml:space="preserve"> residuals versus the Tanimoto distance plot. </w:t>
      </w:r>
      <w:r w:rsidRPr="009B40F1">
        <w:rPr>
          <w:color w:val="0070C0"/>
          <w:sz w:val="16"/>
          <w:szCs w:val="16"/>
          <w:lang w:val="en-US"/>
        </w:rPr>
        <w:t>The residuals represent the absolute difference between the predicted and observed logK</w:t>
      </w:r>
      <w:r w:rsidRPr="009B40F1">
        <w:rPr>
          <w:color w:val="0070C0"/>
          <w:sz w:val="16"/>
          <w:szCs w:val="16"/>
          <w:vertAlign w:val="subscript"/>
          <w:lang w:val="en-US"/>
        </w:rPr>
        <w:t>p,uu,BBB</w:t>
      </w:r>
      <w:r w:rsidRPr="009B40F1">
        <w:rPr>
          <w:color w:val="0070C0"/>
          <w:sz w:val="16"/>
          <w:szCs w:val="16"/>
          <w:lang w:val="en-US"/>
        </w:rPr>
        <w:t xml:space="preserve"> values. The Tanimoto difference is calculated as 1 – Tanimoto similarity which is based </w:t>
      </w:r>
      <w:proofErr w:type="spellStart"/>
      <w:r w:rsidR="009B40F1" w:rsidRPr="009B40F1">
        <w:rPr>
          <w:color w:val="0070C0"/>
          <w:sz w:val="16"/>
          <w:szCs w:val="16"/>
          <w:lang w:val="en-US"/>
        </w:rPr>
        <w:t>RDKit</w:t>
      </w:r>
      <w:proofErr w:type="spellEnd"/>
      <w:r w:rsidR="009B40F1" w:rsidRPr="009B40F1">
        <w:rPr>
          <w:color w:val="0070C0"/>
          <w:sz w:val="16"/>
          <w:szCs w:val="16"/>
          <w:lang w:val="en-US"/>
        </w:rPr>
        <w:t xml:space="preserve"> </w:t>
      </w:r>
      <w:r w:rsidR="00FB520A" w:rsidRPr="009B40F1">
        <w:rPr>
          <w:color w:val="0070C0"/>
          <w:sz w:val="16"/>
          <w:szCs w:val="16"/>
          <w:lang w:val="en-US"/>
        </w:rPr>
        <w:t xml:space="preserve">topological </w:t>
      </w:r>
      <w:r w:rsidRPr="009B40F1">
        <w:rPr>
          <w:color w:val="0070C0"/>
          <w:sz w:val="16"/>
          <w:szCs w:val="16"/>
          <w:lang w:val="en-US"/>
        </w:rPr>
        <w:t>fingerprints as similarity of test set on training set.</w:t>
      </w:r>
      <w:r w:rsidR="00444AAA" w:rsidRPr="009B40F1">
        <w:rPr>
          <w:color w:val="0070C0"/>
          <w:sz w:val="16"/>
          <w:szCs w:val="16"/>
          <w:lang w:val="en-US"/>
        </w:rPr>
        <w:t xml:space="preserve"> The labeled compounds are the with the Mahalanobis distance identified outliers</w:t>
      </w:r>
      <w:r w:rsidR="00D419D0" w:rsidRPr="009B40F1">
        <w:rPr>
          <w:color w:val="0070C0"/>
          <w:sz w:val="16"/>
          <w:szCs w:val="16"/>
          <w:lang w:val="en-US"/>
        </w:rPr>
        <w:t>.</w:t>
      </w:r>
    </w:p>
    <w:p w14:paraId="1F459E0E" w14:textId="77777777" w:rsidR="001A4C52" w:rsidRDefault="001A4C52">
      <w:pPr>
        <w:spacing w:after="160" w:line="259" w:lineRule="auto"/>
        <w:rPr>
          <w:rFonts w:ascii="Calibri" w:hAnsi="Calibri" w:cs="Calibri"/>
          <w:b/>
          <w:bCs/>
          <w:i/>
          <w:iCs/>
          <w:sz w:val="18"/>
          <w:szCs w:val="18"/>
          <w:lang w:val="en-US"/>
        </w:rPr>
      </w:pPr>
      <w:r>
        <w:rPr>
          <w:rFonts w:ascii="Calibri" w:hAnsi="Calibri" w:cs="Calibri"/>
          <w:b/>
          <w:bCs/>
          <w:lang w:val="en-US"/>
        </w:rPr>
        <w:br w:type="page"/>
      </w:r>
    </w:p>
    <w:p w14:paraId="0B46DD77" w14:textId="56DE7464" w:rsidR="00A97EA2" w:rsidRPr="009B40F1" w:rsidRDefault="00A97EA2" w:rsidP="00FD47FE">
      <w:pPr>
        <w:pStyle w:val="Caption"/>
        <w:jc w:val="both"/>
        <w:rPr>
          <w:rFonts w:ascii="Calibri" w:hAnsi="Calibri" w:cs="Calibri"/>
          <w:b/>
          <w:bCs/>
          <w:color w:val="0070C0"/>
          <w:lang w:val="en-US"/>
        </w:rPr>
      </w:pPr>
      <w:r w:rsidRPr="009B40F1">
        <w:rPr>
          <w:rFonts w:ascii="Calibri" w:hAnsi="Calibri" w:cs="Calibri"/>
          <w:b/>
          <w:bCs/>
          <w:color w:val="0070C0"/>
          <w:lang w:val="en-US"/>
        </w:rPr>
        <w:lastRenderedPageBreak/>
        <w:t xml:space="preserve">Supplementary Table </w:t>
      </w:r>
      <w:r w:rsidR="00FB520A" w:rsidRPr="009B40F1">
        <w:rPr>
          <w:rFonts w:ascii="Calibri" w:hAnsi="Calibri" w:cs="Calibri"/>
          <w:b/>
          <w:bCs/>
          <w:color w:val="0070C0"/>
          <w:lang w:val="en-US"/>
        </w:rPr>
        <w:t>1</w:t>
      </w:r>
      <w:r w:rsidRPr="009B40F1">
        <w:rPr>
          <w:rFonts w:ascii="Calibri" w:hAnsi="Calibri" w:cs="Calibri"/>
          <w:b/>
          <w:bCs/>
          <w:color w:val="0070C0"/>
          <w:lang w:val="en-US"/>
        </w:rPr>
        <w:t>. The list of descriptors used for the various machine learning algorithms obtained from Molecular Operating Environment (MOE) with their short description and class</w:t>
      </w:r>
      <w:r w:rsidR="00AA6702" w:rsidRPr="009B40F1">
        <w:rPr>
          <w:rFonts w:ascii="Calibri" w:hAnsi="Calibri" w:cs="Calibri"/>
          <w:b/>
          <w:bCs/>
          <w:color w:val="0070C0"/>
          <w:lang w:val="en-US"/>
        </w:rPr>
        <w:t xml:space="preserve"> together with the Boruta feature selection (BFS) decision.</w:t>
      </w:r>
    </w:p>
    <w:tbl>
      <w:tblPr>
        <w:tblStyle w:val="TableGridLight"/>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630"/>
        <w:gridCol w:w="6295"/>
        <w:gridCol w:w="586"/>
      </w:tblGrid>
      <w:tr w:rsidR="00535EEF" w:rsidRPr="001E3981" w14:paraId="0A683550" w14:textId="00CCDA98" w:rsidTr="00FA5B17">
        <w:trPr>
          <w:trHeight w:val="288"/>
        </w:trPr>
        <w:tc>
          <w:tcPr>
            <w:tcW w:w="1580" w:type="dxa"/>
            <w:tcBorders>
              <w:bottom w:val="single" w:sz="18" w:space="0" w:color="auto"/>
            </w:tcBorders>
            <w:noWrap/>
            <w:hideMark/>
          </w:tcPr>
          <w:p w14:paraId="6D83F083" w14:textId="77777777" w:rsidR="00535EEF" w:rsidRPr="001E3981" w:rsidRDefault="00535EEF">
            <w:pPr>
              <w:rPr>
                <w:rFonts w:ascii="Calibri" w:hAnsi="Calibri" w:cs="Calibri"/>
                <w:b/>
                <w:bCs/>
                <w:color w:val="000000"/>
                <w:sz w:val="20"/>
                <w:szCs w:val="20"/>
                <w:lang w:val="en-US"/>
              </w:rPr>
            </w:pPr>
            <w:r w:rsidRPr="001E3981">
              <w:rPr>
                <w:rFonts w:ascii="Calibri" w:hAnsi="Calibri" w:cs="Calibri"/>
                <w:b/>
                <w:bCs/>
                <w:color w:val="000000"/>
                <w:sz w:val="20"/>
                <w:szCs w:val="20"/>
                <w:lang w:val="en-US"/>
              </w:rPr>
              <w:t>Physicochemical properties</w:t>
            </w:r>
          </w:p>
        </w:tc>
        <w:tc>
          <w:tcPr>
            <w:tcW w:w="630" w:type="dxa"/>
            <w:tcBorders>
              <w:bottom w:val="single" w:sz="18" w:space="0" w:color="auto"/>
            </w:tcBorders>
            <w:noWrap/>
            <w:hideMark/>
          </w:tcPr>
          <w:p w14:paraId="79AECD25" w14:textId="77777777" w:rsidR="00535EEF" w:rsidRPr="001E3981" w:rsidRDefault="00535EEF">
            <w:pPr>
              <w:rPr>
                <w:rFonts w:ascii="Calibri" w:hAnsi="Calibri" w:cs="Calibri"/>
                <w:b/>
                <w:bCs/>
                <w:color w:val="000000"/>
                <w:sz w:val="20"/>
                <w:szCs w:val="20"/>
                <w:lang w:val="en-US"/>
              </w:rPr>
            </w:pPr>
            <w:r w:rsidRPr="001E3981">
              <w:rPr>
                <w:rFonts w:ascii="Calibri" w:hAnsi="Calibri" w:cs="Calibri"/>
                <w:b/>
                <w:bCs/>
                <w:color w:val="000000"/>
                <w:sz w:val="20"/>
                <w:szCs w:val="20"/>
                <w:lang w:val="en-US"/>
              </w:rPr>
              <w:t>Class</w:t>
            </w:r>
          </w:p>
        </w:tc>
        <w:tc>
          <w:tcPr>
            <w:tcW w:w="6295" w:type="dxa"/>
            <w:tcBorders>
              <w:bottom w:val="single" w:sz="18" w:space="0" w:color="auto"/>
            </w:tcBorders>
            <w:noWrap/>
            <w:hideMark/>
          </w:tcPr>
          <w:p w14:paraId="4200F283" w14:textId="77777777" w:rsidR="00535EEF" w:rsidRPr="001E3981" w:rsidRDefault="00535EEF">
            <w:pPr>
              <w:rPr>
                <w:rFonts w:ascii="Calibri" w:hAnsi="Calibri" w:cs="Calibri"/>
                <w:b/>
                <w:bCs/>
                <w:color w:val="000000"/>
                <w:sz w:val="20"/>
                <w:szCs w:val="20"/>
                <w:lang w:val="en-US"/>
              </w:rPr>
            </w:pPr>
            <w:r w:rsidRPr="001E3981">
              <w:rPr>
                <w:rFonts w:ascii="Calibri" w:hAnsi="Calibri" w:cs="Calibri"/>
                <w:b/>
                <w:bCs/>
                <w:color w:val="000000"/>
                <w:sz w:val="20"/>
                <w:szCs w:val="20"/>
                <w:lang w:val="en-US"/>
              </w:rPr>
              <w:t>Description</w:t>
            </w:r>
          </w:p>
        </w:tc>
        <w:tc>
          <w:tcPr>
            <w:tcW w:w="586" w:type="dxa"/>
            <w:tcBorders>
              <w:bottom w:val="single" w:sz="18" w:space="0" w:color="auto"/>
            </w:tcBorders>
          </w:tcPr>
          <w:p w14:paraId="3470B112" w14:textId="4A34E299" w:rsidR="00535EEF" w:rsidRPr="001E3981" w:rsidRDefault="00535EEF">
            <w:pPr>
              <w:rPr>
                <w:rFonts w:ascii="Calibri" w:hAnsi="Calibri" w:cs="Calibri"/>
                <w:b/>
                <w:bCs/>
                <w:color w:val="000000"/>
                <w:sz w:val="20"/>
                <w:szCs w:val="20"/>
                <w:lang w:val="en-US"/>
              </w:rPr>
            </w:pPr>
            <w:r>
              <w:rPr>
                <w:rFonts w:ascii="Calibri" w:hAnsi="Calibri" w:cs="Calibri"/>
                <w:b/>
                <w:bCs/>
                <w:color w:val="000000"/>
                <w:sz w:val="20"/>
                <w:szCs w:val="20"/>
                <w:lang w:val="en-US"/>
              </w:rPr>
              <w:t>B</w:t>
            </w:r>
            <w:r w:rsidR="00FD47FE">
              <w:rPr>
                <w:rFonts w:ascii="Calibri" w:hAnsi="Calibri" w:cs="Calibri"/>
                <w:b/>
                <w:bCs/>
                <w:color w:val="000000"/>
                <w:sz w:val="20"/>
                <w:szCs w:val="20"/>
                <w:lang w:val="en-US"/>
              </w:rPr>
              <w:t>FS</w:t>
            </w:r>
          </w:p>
        </w:tc>
      </w:tr>
      <w:tr w:rsidR="00535EEF" w:rsidRPr="005001B1" w14:paraId="7DAC05E5" w14:textId="5ADC9196" w:rsidTr="00FA5B17">
        <w:trPr>
          <w:trHeight w:val="288"/>
        </w:trPr>
        <w:tc>
          <w:tcPr>
            <w:tcW w:w="1580" w:type="dxa"/>
            <w:noWrap/>
            <w:hideMark/>
          </w:tcPr>
          <w:p w14:paraId="72DE466F" w14:textId="77777777" w:rsidR="00535EEF" w:rsidRPr="0040537D" w:rsidRDefault="00535EEF">
            <w:pPr>
              <w:rPr>
                <w:rFonts w:ascii="Calibri" w:hAnsi="Calibri" w:cs="Calibri"/>
                <w:color w:val="000000"/>
                <w:sz w:val="20"/>
                <w:szCs w:val="20"/>
                <w:lang w:val="en-US"/>
              </w:rPr>
            </w:pPr>
            <w:proofErr w:type="spellStart"/>
            <w:r w:rsidRPr="0040537D">
              <w:rPr>
                <w:rFonts w:ascii="Calibri" w:hAnsi="Calibri" w:cs="Calibri"/>
                <w:color w:val="000000"/>
                <w:sz w:val="20"/>
                <w:szCs w:val="20"/>
                <w:lang w:val="en-US"/>
              </w:rPr>
              <w:t>a_nN</w:t>
            </w:r>
            <w:proofErr w:type="spellEnd"/>
          </w:p>
        </w:tc>
        <w:tc>
          <w:tcPr>
            <w:tcW w:w="630" w:type="dxa"/>
            <w:noWrap/>
            <w:hideMark/>
          </w:tcPr>
          <w:p w14:paraId="54411300" w14:textId="77777777" w:rsidR="00535EEF" w:rsidRPr="001E3981" w:rsidRDefault="00535EEF">
            <w:pPr>
              <w:rPr>
                <w:rFonts w:ascii="Calibri" w:hAnsi="Calibri" w:cs="Calibri"/>
                <w:color w:val="000000"/>
                <w:sz w:val="20"/>
                <w:szCs w:val="20"/>
                <w:lang w:val="en-US"/>
              </w:rPr>
            </w:pPr>
            <w:r w:rsidRPr="001E3981">
              <w:rPr>
                <w:rFonts w:ascii="Calibri" w:hAnsi="Calibri" w:cs="Calibri"/>
                <w:color w:val="000000"/>
                <w:sz w:val="20"/>
                <w:szCs w:val="20"/>
                <w:lang w:val="en-US"/>
              </w:rPr>
              <w:t>2D</w:t>
            </w:r>
          </w:p>
        </w:tc>
        <w:tc>
          <w:tcPr>
            <w:tcW w:w="6295" w:type="dxa"/>
            <w:noWrap/>
            <w:hideMark/>
          </w:tcPr>
          <w:p w14:paraId="5F82B872" w14:textId="213E378D" w:rsidR="00535EEF" w:rsidRPr="001E3981" w:rsidRDefault="00535EEF">
            <w:pPr>
              <w:rPr>
                <w:rFonts w:ascii="Calibri" w:hAnsi="Calibri" w:cs="Calibri"/>
                <w:color w:val="000000"/>
                <w:sz w:val="20"/>
                <w:szCs w:val="20"/>
                <w:lang w:val="en-US"/>
              </w:rPr>
            </w:pPr>
            <w:r w:rsidRPr="001E3981">
              <w:rPr>
                <w:rFonts w:ascii="Calibri" w:hAnsi="Calibri" w:cs="Calibri"/>
                <w:color w:val="000000"/>
                <w:sz w:val="20"/>
                <w:szCs w:val="20"/>
                <w:lang w:val="en-US"/>
              </w:rPr>
              <w:t>Number of nitrogen atoms</w:t>
            </w:r>
            <w:r w:rsidR="005701B1">
              <w:rPr>
                <w:rFonts w:ascii="Calibri" w:hAnsi="Calibri" w:cs="Calibri"/>
                <w:color w:val="000000"/>
                <w:sz w:val="20"/>
                <w:szCs w:val="20"/>
                <w:lang w:val="en-US"/>
              </w:rPr>
              <w:t xml:space="preserve">, characterizing molecular </w:t>
            </w:r>
            <w:r w:rsidR="005A0B5A">
              <w:rPr>
                <w:rFonts w:ascii="Calibri" w:hAnsi="Calibri" w:cs="Calibri"/>
                <w:color w:val="000000"/>
                <w:sz w:val="20"/>
                <w:szCs w:val="20"/>
                <w:lang w:val="en-US"/>
              </w:rPr>
              <w:t>composition</w:t>
            </w:r>
          </w:p>
        </w:tc>
        <w:tc>
          <w:tcPr>
            <w:tcW w:w="586" w:type="dxa"/>
          </w:tcPr>
          <w:p w14:paraId="18A8D29B" w14:textId="12C914C0" w:rsidR="00535EEF" w:rsidRPr="0040537D" w:rsidRDefault="00535EEF">
            <w:pPr>
              <w:rPr>
                <w:rFonts w:ascii="Calibri" w:hAnsi="Calibri" w:cs="Calibri"/>
                <w:color w:val="000000"/>
                <w:sz w:val="20"/>
                <w:szCs w:val="20"/>
                <w:lang w:val="en-US"/>
              </w:rPr>
            </w:pPr>
            <w:r w:rsidRPr="0040537D">
              <w:rPr>
                <w:rFonts w:ascii="Calibri" w:hAnsi="Calibri" w:cs="Calibri"/>
                <w:color w:val="000000"/>
                <w:sz w:val="20"/>
                <w:szCs w:val="20"/>
                <w:lang w:val="en-US"/>
              </w:rPr>
              <w:t>C</w:t>
            </w:r>
          </w:p>
        </w:tc>
      </w:tr>
      <w:tr w:rsidR="00535EEF" w:rsidRPr="001E3981" w14:paraId="66C7DD84" w14:textId="779BCE77" w:rsidTr="00FB520A">
        <w:trPr>
          <w:trHeight w:val="288"/>
        </w:trPr>
        <w:tc>
          <w:tcPr>
            <w:tcW w:w="1580" w:type="dxa"/>
            <w:noWrap/>
          </w:tcPr>
          <w:p w14:paraId="0767FD78" w14:textId="7F04D1EB" w:rsidR="00535EEF" w:rsidRPr="0040537D" w:rsidRDefault="00FB520A">
            <w:pPr>
              <w:rPr>
                <w:rFonts w:ascii="Calibri" w:hAnsi="Calibri" w:cs="Calibri"/>
                <w:color w:val="000000"/>
                <w:sz w:val="20"/>
                <w:szCs w:val="20"/>
                <w:lang w:val="en-US"/>
              </w:rPr>
            </w:pPr>
            <w:proofErr w:type="spellStart"/>
            <w:r w:rsidRPr="0040537D">
              <w:rPr>
                <w:rFonts w:ascii="Calibri" w:hAnsi="Calibri" w:cs="Calibri"/>
                <w:color w:val="000000"/>
                <w:sz w:val="20"/>
                <w:szCs w:val="20"/>
                <w:lang w:val="en-US"/>
              </w:rPr>
              <w:t>h_pstates</w:t>
            </w:r>
            <w:proofErr w:type="spellEnd"/>
          </w:p>
        </w:tc>
        <w:tc>
          <w:tcPr>
            <w:tcW w:w="630" w:type="dxa"/>
            <w:noWrap/>
          </w:tcPr>
          <w:p w14:paraId="3B73A99A" w14:textId="431DCC45" w:rsidR="00535EEF" w:rsidRPr="001E3981" w:rsidRDefault="0040537D">
            <w:pPr>
              <w:rPr>
                <w:rFonts w:ascii="Calibri" w:hAnsi="Calibri" w:cs="Calibri"/>
                <w:color w:val="000000"/>
                <w:sz w:val="20"/>
                <w:szCs w:val="20"/>
                <w:lang w:val="en-US"/>
              </w:rPr>
            </w:pPr>
            <w:r>
              <w:rPr>
                <w:rFonts w:ascii="Calibri" w:hAnsi="Calibri" w:cs="Calibri"/>
                <w:color w:val="000000"/>
                <w:sz w:val="20"/>
                <w:szCs w:val="20"/>
                <w:lang w:val="en-US"/>
              </w:rPr>
              <w:t>2D</w:t>
            </w:r>
          </w:p>
        </w:tc>
        <w:tc>
          <w:tcPr>
            <w:tcW w:w="6295" w:type="dxa"/>
            <w:noWrap/>
          </w:tcPr>
          <w:p w14:paraId="5F3E5DF2" w14:textId="573913B1" w:rsidR="00535EEF" w:rsidRPr="001E3981" w:rsidRDefault="0040537D">
            <w:pPr>
              <w:rPr>
                <w:rFonts w:ascii="Calibri" w:hAnsi="Calibri" w:cs="Calibri"/>
                <w:color w:val="000000"/>
                <w:sz w:val="20"/>
                <w:szCs w:val="20"/>
                <w:lang w:val="en-US"/>
              </w:rPr>
            </w:pPr>
            <w:r>
              <w:rPr>
                <w:rFonts w:ascii="Calibri" w:hAnsi="Calibri" w:cs="Calibri"/>
                <w:color w:val="000000"/>
                <w:sz w:val="20"/>
                <w:szCs w:val="20"/>
                <w:lang w:val="en-US"/>
              </w:rPr>
              <w:t>Entropic state count at pH 7</w:t>
            </w:r>
            <w:r w:rsidR="003D3F92">
              <w:rPr>
                <w:rFonts w:ascii="Calibri" w:hAnsi="Calibri" w:cs="Calibri"/>
                <w:color w:val="000000"/>
                <w:sz w:val="20"/>
                <w:szCs w:val="20"/>
                <w:lang w:val="en-US"/>
              </w:rPr>
              <w:t>, representing the protonation state of the compound</w:t>
            </w:r>
          </w:p>
        </w:tc>
        <w:tc>
          <w:tcPr>
            <w:tcW w:w="586" w:type="dxa"/>
          </w:tcPr>
          <w:p w14:paraId="24F19166" w14:textId="01AC8C08" w:rsidR="00535EEF" w:rsidRPr="0040537D" w:rsidRDefault="00FB520A">
            <w:pPr>
              <w:rPr>
                <w:rFonts w:ascii="Calibri" w:hAnsi="Calibri" w:cs="Calibri"/>
                <w:color w:val="000000"/>
                <w:sz w:val="20"/>
                <w:szCs w:val="20"/>
                <w:lang w:val="en-US"/>
              </w:rPr>
            </w:pPr>
            <w:r w:rsidRPr="0040537D">
              <w:rPr>
                <w:rFonts w:ascii="Calibri" w:hAnsi="Calibri" w:cs="Calibri"/>
                <w:color w:val="000000"/>
                <w:sz w:val="20"/>
                <w:szCs w:val="20"/>
                <w:lang w:val="en-US"/>
              </w:rPr>
              <w:t>C</w:t>
            </w:r>
          </w:p>
        </w:tc>
      </w:tr>
      <w:tr w:rsidR="00535EEF" w:rsidRPr="001E3981" w14:paraId="4A910609" w14:textId="65659A9F" w:rsidTr="00FB520A">
        <w:trPr>
          <w:trHeight w:val="288"/>
        </w:trPr>
        <w:tc>
          <w:tcPr>
            <w:tcW w:w="1580" w:type="dxa"/>
            <w:noWrap/>
          </w:tcPr>
          <w:p w14:paraId="6A819396" w14:textId="5980AD5A" w:rsidR="00535EEF" w:rsidRPr="0040537D" w:rsidRDefault="00FB520A">
            <w:pPr>
              <w:rPr>
                <w:rFonts w:ascii="Calibri" w:hAnsi="Calibri" w:cs="Calibri"/>
                <w:color w:val="000000"/>
                <w:sz w:val="20"/>
                <w:szCs w:val="20"/>
                <w:lang w:val="en-US"/>
              </w:rPr>
            </w:pPr>
            <w:proofErr w:type="spellStart"/>
            <w:r w:rsidRPr="0040537D">
              <w:rPr>
                <w:rFonts w:ascii="Calibri" w:hAnsi="Calibri" w:cs="Calibri"/>
                <w:color w:val="000000"/>
                <w:sz w:val="20"/>
                <w:szCs w:val="20"/>
                <w:lang w:val="en-US"/>
              </w:rPr>
              <w:t>lip_don</w:t>
            </w:r>
            <w:proofErr w:type="spellEnd"/>
          </w:p>
        </w:tc>
        <w:tc>
          <w:tcPr>
            <w:tcW w:w="630" w:type="dxa"/>
            <w:noWrap/>
          </w:tcPr>
          <w:p w14:paraId="0807BEA2" w14:textId="486CE116" w:rsidR="00535EEF" w:rsidRPr="001E3981" w:rsidRDefault="0040537D">
            <w:pPr>
              <w:rPr>
                <w:rFonts w:ascii="Calibri" w:hAnsi="Calibri" w:cs="Calibri"/>
                <w:color w:val="000000"/>
                <w:sz w:val="20"/>
                <w:szCs w:val="20"/>
                <w:lang w:val="en-US"/>
              </w:rPr>
            </w:pPr>
            <w:r>
              <w:rPr>
                <w:rFonts w:ascii="Calibri" w:hAnsi="Calibri" w:cs="Calibri"/>
                <w:color w:val="000000"/>
                <w:sz w:val="20"/>
                <w:szCs w:val="20"/>
                <w:lang w:val="en-US"/>
              </w:rPr>
              <w:t>2D</w:t>
            </w:r>
          </w:p>
        </w:tc>
        <w:tc>
          <w:tcPr>
            <w:tcW w:w="6295" w:type="dxa"/>
            <w:noWrap/>
          </w:tcPr>
          <w:p w14:paraId="2C290353" w14:textId="2C7D25B0" w:rsidR="00535EEF" w:rsidRPr="005701B1" w:rsidRDefault="00B8795F">
            <w:pPr>
              <w:rPr>
                <w:rFonts w:ascii="Calibri" w:hAnsi="Calibri" w:cs="Calibri"/>
                <w:color w:val="000000"/>
                <w:sz w:val="20"/>
                <w:szCs w:val="20"/>
                <w:lang w:val="en-US"/>
              </w:rPr>
            </w:pPr>
            <w:r>
              <w:rPr>
                <w:rFonts w:ascii="Calibri" w:hAnsi="Calibri" w:cs="Calibri"/>
                <w:color w:val="000000"/>
                <w:sz w:val="20"/>
                <w:szCs w:val="20"/>
                <w:lang w:val="en-US"/>
              </w:rPr>
              <w:t xml:space="preserve">The count of hydrogen bond donors based on </w:t>
            </w:r>
            <w:r w:rsidRPr="00B8795F">
              <w:rPr>
                <w:rFonts w:ascii="Calibri" w:hAnsi="Calibri" w:cs="Calibri"/>
                <w:color w:val="000000"/>
                <w:sz w:val="20"/>
                <w:szCs w:val="20"/>
                <w:lang w:val="en-US"/>
              </w:rPr>
              <w:t>Lipinski's Rule of Five</w:t>
            </w:r>
          </w:p>
        </w:tc>
        <w:tc>
          <w:tcPr>
            <w:tcW w:w="586" w:type="dxa"/>
          </w:tcPr>
          <w:p w14:paraId="56284186" w14:textId="4916517A" w:rsidR="00535EEF" w:rsidRPr="0040537D" w:rsidRDefault="00FB520A">
            <w:pPr>
              <w:rPr>
                <w:rFonts w:ascii="Calibri" w:hAnsi="Calibri" w:cs="Calibri"/>
                <w:color w:val="000000"/>
                <w:sz w:val="20"/>
                <w:szCs w:val="20"/>
                <w:lang w:val="en-US"/>
              </w:rPr>
            </w:pPr>
            <w:r w:rsidRPr="0040537D">
              <w:rPr>
                <w:rFonts w:ascii="Calibri" w:hAnsi="Calibri" w:cs="Calibri"/>
                <w:color w:val="000000"/>
                <w:sz w:val="20"/>
                <w:szCs w:val="20"/>
                <w:lang w:val="en-US"/>
              </w:rPr>
              <w:t>T</w:t>
            </w:r>
          </w:p>
        </w:tc>
      </w:tr>
      <w:tr w:rsidR="00535EEF" w:rsidRPr="001E3981" w14:paraId="534D71AE" w14:textId="43256513" w:rsidTr="00FA5B17">
        <w:trPr>
          <w:trHeight w:val="288"/>
        </w:trPr>
        <w:tc>
          <w:tcPr>
            <w:tcW w:w="1580" w:type="dxa"/>
            <w:noWrap/>
            <w:hideMark/>
          </w:tcPr>
          <w:p w14:paraId="2218E202" w14:textId="77777777" w:rsidR="00535EEF" w:rsidRPr="0040537D" w:rsidRDefault="00535EEF">
            <w:pPr>
              <w:rPr>
                <w:rFonts w:ascii="Calibri" w:hAnsi="Calibri" w:cs="Calibri"/>
                <w:color w:val="000000"/>
                <w:sz w:val="20"/>
                <w:szCs w:val="20"/>
                <w:lang w:val="en-US"/>
              </w:rPr>
            </w:pPr>
            <w:proofErr w:type="spellStart"/>
            <w:r w:rsidRPr="0040537D">
              <w:rPr>
                <w:rFonts w:ascii="Calibri" w:hAnsi="Calibri" w:cs="Calibri"/>
                <w:color w:val="000000"/>
                <w:sz w:val="20"/>
                <w:szCs w:val="20"/>
                <w:lang w:val="en-US"/>
              </w:rPr>
              <w:t>opr_leadlike</w:t>
            </w:r>
            <w:proofErr w:type="spellEnd"/>
          </w:p>
        </w:tc>
        <w:tc>
          <w:tcPr>
            <w:tcW w:w="630" w:type="dxa"/>
            <w:noWrap/>
            <w:hideMark/>
          </w:tcPr>
          <w:p w14:paraId="2FA33B79" w14:textId="77777777" w:rsidR="00535EEF" w:rsidRPr="001E3981" w:rsidRDefault="00535EEF">
            <w:pPr>
              <w:rPr>
                <w:rFonts w:ascii="Calibri" w:hAnsi="Calibri" w:cs="Calibri"/>
                <w:color w:val="000000"/>
                <w:sz w:val="20"/>
                <w:szCs w:val="20"/>
                <w:lang w:val="en-US"/>
              </w:rPr>
            </w:pPr>
            <w:r w:rsidRPr="001E3981">
              <w:rPr>
                <w:rFonts w:ascii="Calibri" w:hAnsi="Calibri" w:cs="Calibri"/>
                <w:color w:val="000000"/>
                <w:sz w:val="20"/>
                <w:szCs w:val="20"/>
                <w:lang w:val="en-US"/>
              </w:rPr>
              <w:t>2D</w:t>
            </w:r>
          </w:p>
        </w:tc>
        <w:tc>
          <w:tcPr>
            <w:tcW w:w="6295" w:type="dxa"/>
            <w:noWrap/>
            <w:hideMark/>
          </w:tcPr>
          <w:p w14:paraId="242D5525" w14:textId="39ACB671" w:rsidR="00535EEF" w:rsidRPr="001E3981" w:rsidRDefault="00C02193">
            <w:pPr>
              <w:rPr>
                <w:rFonts w:ascii="Calibri" w:hAnsi="Calibri" w:cs="Calibri"/>
                <w:color w:val="000000"/>
                <w:sz w:val="20"/>
                <w:szCs w:val="20"/>
                <w:lang w:val="en-US"/>
              </w:rPr>
            </w:pPr>
            <w:r>
              <w:rPr>
                <w:rFonts w:ascii="Calibri" w:hAnsi="Calibri" w:cs="Calibri"/>
                <w:color w:val="000000"/>
                <w:sz w:val="20"/>
                <w:szCs w:val="20"/>
                <w:lang w:val="en-US"/>
              </w:rPr>
              <w:t xml:space="preserve">Binary descriptor indicating whether it follows (less than 2 violations) the </w:t>
            </w:r>
            <w:r w:rsidR="00535EEF" w:rsidRPr="001E3981">
              <w:rPr>
                <w:rFonts w:ascii="Calibri" w:hAnsi="Calibri" w:cs="Calibri"/>
                <w:color w:val="000000"/>
                <w:sz w:val="20"/>
                <w:szCs w:val="20"/>
                <w:lang w:val="en-US"/>
              </w:rPr>
              <w:t>Oprea Lead</w:t>
            </w:r>
            <w:r>
              <w:rPr>
                <w:rFonts w:ascii="Calibri" w:hAnsi="Calibri" w:cs="Calibri"/>
                <w:color w:val="000000"/>
                <w:sz w:val="20"/>
                <w:szCs w:val="20"/>
                <w:lang w:val="en-US"/>
              </w:rPr>
              <w:t>-</w:t>
            </w:r>
            <w:r w:rsidR="00535EEF" w:rsidRPr="001E3981">
              <w:rPr>
                <w:rFonts w:ascii="Calibri" w:hAnsi="Calibri" w:cs="Calibri"/>
                <w:color w:val="000000"/>
                <w:sz w:val="20"/>
                <w:szCs w:val="20"/>
                <w:lang w:val="en-US"/>
              </w:rPr>
              <w:t>like Test</w:t>
            </w:r>
          </w:p>
        </w:tc>
        <w:tc>
          <w:tcPr>
            <w:tcW w:w="586" w:type="dxa"/>
          </w:tcPr>
          <w:p w14:paraId="35D38C54" w14:textId="6164CD6E" w:rsidR="00535EEF" w:rsidRPr="0040537D" w:rsidRDefault="00535EEF">
            <w:pPr>
              <w:rPr>
                <w:rFonts w:ascii="Calibri" w:hAnsi="Calibri" w:cs="Calibri"/>
                <w:color w:val="000000"/>
                <w:sz w:val="20"/>
                <w:szCs w:val="20"/>
                <w:lang w:val="en-US"/>
              </w:rPr>
            </w:pPr>
            <w:r w:rsidRPr="0040537D">
              <w:rPr>
                <w:rFonts w:ascii="Calibri" w:hAnsi="Calibri" w:cs="Calibri"/>
                <w:color w:val="000000"/>
                <w:sz w:val="20"/>
                <w:szCs w:val="20"/>
                <w:lang w:val="en-US"/>
              </w:rPr>
              <w:t>T</w:t>
            </w:r>
          </w:p>
        </w:tc>
      </w:tr>
      <w:tr w:rsidR="00535EEF" w:rsidRPr="001E3981" w14:paraId="2422399F" w14:textId="608A41BF" w:rsidTr="00FA5B17">
        <w:trPr>
          <w:trHeight w:val="288"/>
        </w:trPr>
        <w:tc>
          <w:tcPr>
            <w:tcW w:w="1580" w:type="dxa"/>
            <w:noWrap/>
            <w:hideMark/>
          </w:tcPr>
          <w:p w14:paraId="727AB847" w14:textId="77777777" w:rsidR="00535EEF" w:rsidRPr="0040537D" w:rsidRDefault="00535EEF">
            <w:pPr>
              <w:rPr>
                <w:rFonts w:ascii="Calibri" w:hAnsi="Calibri" w:cs="Calibri"/>
                <w:color w:val="000000"/>
                <w:sz w:val="20"/>
                <w:szCs w:val="20"/>
                <w:lang w:val="en-US"/>
              </w:rPr>
            </w:pPr>
            <w:r w:rsidRPr="0040537D">
              <w:rPr>
                <w:rFonts w:ascii="Calibri" w:hAnsi="Calibri" w:cs="Calibri"/>
                <w:color w:val="000000"/>
                <w:sz w:val="20"/>
                <w:szCs w:val="20"/>
                <w:lang w:val="en-US"/>
              </w:rPr>
              <w:t>PEOE_RPC+</w:t>
            </w:r>
          </w:p>
        </w:tc>
        <w:tc>
          <w:tcPr>
            <w:tcW w:w="630" w:type="dxa"/>
            <w:noWrap/>
            <w:hideMark/>
          </w:tcPr>
          <w:p w14:paraId="68FC5D6C" w14:textId="77777777" w:rsidR="00535EEF" w:rsidRPr="001E3981" w:rsidRDefault="00535EEF">
            <w:pPr>
              <w:rPr>
                <w:rFonts w:ascii="Calibri" w:hAnsi="Calibri" w:cs="Calibri"/>
                <w:color w:val="000000"/>
                <w:sz w:val="20"/>
                <w:szCs w:val="20"/>
                <w:lang w:val="en-US"/>
              </w:rPr>
            </w:pPr>
            <w:r w:rsidRPr="001E3981">
              <w:rPr>
                <w:rFonts w:ascii="Calibri" w:hAnsi="Calibri" w:cs="Calibri"/>
                <w:color w:val="000000"/>
                <w:sz w:val="20"/>
                <w:szCs w:val="20"/>
                <w:lang w:val="en-US"/>
              </w:rPr>
              <w:t>2D</w:t>
            </w:r>
          </w:p>
        </w:tc>
        <w:tc>
          <w:tcPr>
            <w:tcW w:w="6295" w:type="dxa"/>
            <w:noWrap/>
            <w:hideMark/>
          </w:tcPr>
          <w:p w14:paraId="3498EC26" w14:textId="7BE691DD" w:rsidR="00535EEF" w:rsidRPr="00C02193" w:rsidRDefault="00535EEF">
            <w:pPr>
              <w:rPr>
                <w:rFonts w:ascii="Calibri" w:hAnsi="Calibri" w:cs="Calibri"/>
                <w:color w:val="000000"/>
                <w:sz w:val="20"/>
                <w:szCs w:val="20"/>
                <w:lang w:val="en-US"/>
              </w:rPr>
            </w:pPr>
            <w:r w:rsidRPr="00C02193">
              <w:rPr>
                <w:rFonts w:ascii="Calibri" w:hAnsi="Calibri" w:cs="Calibri"/>
                <w:color w:val="000000"/>
                <w:sz w:val="20"/>
                <w:szCs w:val="20"/>
                <w:lang w:val="en-US"/>
              </w:rPr>
              <w:t>Relative positive partial charge</w:t>
            </w:r>
            <w:r w:rsidR="00C02193" w:rsidRPr="00C02193">
              <w:rPr>
                <w:rFonts w:ascii="Calibri" w:hAnsi="Calibri" w:cs="Calibri"/>
                <w:color w:val="000000"/>
                <w:sz w:val="20"/>
                <w:szCs w:val="20"/>
                <w:lang w:val="en-US"/>
              </w:rPr>
              <w:t xml:space="preserve"> derived fr</w:t>
            </w:r>
            <w:r w:rsidR="00C02193">
              <w:rPr>
                <w:rFonts w:ascii="Calibri" w:hAnsi="Calibri" w:cs="Calibri"/>
                <w:color w:val="000000"/>
                <w:sz w:val="20"/>
                <w:szCs w:val="20"/>
                <w:lang w:val="en-US"/>
              </w:rPr>
              <w:t>om PEOE method (</w:t>
            </w:r>
            <w:r w:rsidR="00C02193" w:rsidRPr="00C02193">
              <w:rPr>
                <w:rFonts w:ascii="Calibri" w:hAnsi="Calibri" w:cs="Calibri"/>
                <w:color w:val="000000"/>
                <w:sz w:val="20"/>
                <w:szCs w:val="20"/>
                <w:lang w:val="en-US"/>
              </w:rPr>
              <w:t>charge is transferred between bonded atoms until equilibrium</w:t>
            </w:r>
            <w:r w:rsidR="00C02193">
              <w:rPr>
                <w:rFonts w:ascii="Calibri" w:hAnsi="Calibri" w:cs="Calibri"/>
                <w:color w:val="000000"/>
                <w:sz w:val="20"/>
                <w:szCs w:val="20"/>
                <w:lang w:val="en-US"/>
              </w:rPr>
              <w:t>)</w:t>
            </w:r>
          </w:p>
        </w:tc>
        <w:tc>
          <w:tcPr>
            <w:tcW w:w="586" w:type="dxa"/>
          </w:tcPr>
          <w:p w14:paraId="7D5715A5" w14:textId="6845CC46" w:rsidR="00535EEF" w:rsidRPr="0040537D" w:rsidRDefault="00535EEF">
            <w:pPr>
              <w:rPr>
                <w:rFonts w:ascii="Calibri" w:hAnsi="Calibri" w:cs="Calibri"/>
                <w:color w:val="000000"/>
                <w:sz w:val="20"/>
                <w:szCs w:val="20"/>
                <w:lang w:val="en-US"/>
              </w:rPr>
            </w:pPr>
            <w:r w:rsidRPr="0040537D">
              <w:rPr>
                <w:rFonts w:ascii="Calibri" w:hAnsi="Calibri" w:cs="Calibri"/>
                <w:color w:val="000000"/>
                <w:sz w:val="20"/>
                <w:szCs w:val="20"/>
                <w:lang w:val="en-US"/>
              </w:rPr>
              <w:t>C</w:t>
            </w:r>
          </w:p>
        </w:tc>
      </w:tr>
      <w:tr w:rsidR="00FD47FE" w:rsidRPr="001E3981" w14:paraId="02A5932F" w14:textId="77777777" w:rsidTr="00FA5B17">
        <w:trPr>
          <w:trHeight w:val="288"/>
        </w:trPr>
        <w:tc>
          <w:tcPr>
            <w:tcW w:w="1580" w:type="dxa"/>
            <w:noWrap/>
          </w:tcPr>
          <w:p w14:paraId="1E40F4CD" w14:textId="1699ED3F" w:rsidR="00FD47FE" w:rsidRPr="0040537D" w:rsidRDefault="00FD47FE" w:rsidP="00FD47FE">
            <w:pPr>
              <w:rPr>
                <w:rFonts w:ascii="Calibri" w:hAnsi="Calibri" w:cs="Calibri"/>
                <w:color w:val="000000"/>
                <w:sz w:val="20"/>
                <w:szCs w:val="20"/>
                <w:lang w:val="en-US"/>
              </w:rPr>
            </w:pPr>
            <w:r w:rsidRPr="0040537D">
              <w:rPr>
                <w:rFonts w:ascii="Calibri" w:hAnsi="Calibri" w:cs="Calibri"/>
                <w:color w:val="000000"/>
                <w:sz w:val="20"/>
                <w:szCs w:val="20"/>
                <w:lang w:val="en-US"/>
              </w:rPr>
              <w:t>PEOE_VSA+6</w:t>
            </w:r>
          </w:p>
        </w:tc>
        <w:tc>
          <w:tcPr>
            <w:tcW w:w="630" w:type="dxa"/>
            <w:noWrap/>
          </w:tcPr>
          <w:p w14:paraId="3CFC1BB6" w14:textId="2A2F3E0A" w:rsidR="00FD47FE" w:rsidRPr="001E3981" w:rsidRDefault="00FD47FE" w:rsidP="00FD47FE">
            <w:pPr>
              <w:rPr>
                <w:rFonts w:ascii="Calibri" w:hAnsi="Calibri" w:cs="Calibri"/>
                <w:color w:val="000000"/>
                <w:sz w:val="20"/>
                <w:szCs w:val="20"/>
                <w:lang w:val="en-US"/>
              </w:rPr>
            </w:pPr>
            <w:r w:rsidRPr="001E3981">
              <w:rPr>
                <w:rFonts w:ascii="Calibri" w:hAnsi="Calibri" w:cs="Calibri"/>
                <w:color w:val="000000"/>
                <w:sz w:val="20"/>
                <w:szCs w:val="20"/>
                <w:lang w:val="en-US"/>
              </w:rPr>
              <w:t>2D</w:t>
            </w:r>
          </w:p>
        </w:tc>
        <w:tc>
          <w:tcPr>
            <w:tcW w:w="6295" w:type="dxa"/>
            <w:noWrap/>
          </w:tcPr>
          <w:p w14:paraId="2EBFFAA5" w14:textId="3B42666F" w:rsidR="00FD47FE" w:rsidRPr="00D14339" w:rsidRDefault="00D14339" w:rsidP="00FD47FE">
            <w:pPr>
              <w:rPr>
                <w:rFonts w:ascii="Calibri" w:hAnsi="Calibri" w:cs="Calibri"/>
                <w:color w:val="000000"/>
                <w:sz w:val="20"/>
                <w:szCs w:val="20"/>
                <w:lang w:val="en-US"/>
              </w:rPr>
            </w:pPr>
            <w:r w:rsidRPr="00D14339">
              <w:rPr>
                <w:rFonts w:ascii="Calibri" w:hAnsi="Calibri" w:cs="Calibri"/>
                <w:color w:val="000000"/>
                <w:sz w:val="20"/>
                <w:szCs w:val="20"/>
                <w:lang w:val="en-US"/>
              </w:rPr>
              <w:t>Sum of van der Waals surface areas of atoms with a partial charge between 0.30 and 0.35, providing further detail on surface charge distribution.</w:t>
            </w:r>
          </w:p>
        </w:tc>
        <w:tc>
          <w:tcPr>
            <w:tcW w:w="586" w:type="dxa"/>
          </w:tcPr>
          <w:p w14:paraId="15FF6A81" w14:textId="5C2EB0AE" w:rsidR="00FD47FE" w:rsidRPr="0040537D" w:rsidRDefault="00FB520A" w:rsidP="00FD47FE">
            <w:pPr>
              <w:rPr>
                <w:rFonts w:ascii="Calibri" w:hAnsi="Calibri" w:cs="Calibri"/>
                <w:color w:val="000000"/>
                <w:sz w:val="20"/>
                <w:szCs w:val="20"/>
                <w:lang w:val="en-US"/>
              </w:rPr>
            </w:pPr>
            <w:r w:rsidRPr="0040537D">
              <w:rPr>
                <w:rFonts w:ascii="Calibri" w:hAnsi="Calibri" w:cs="Calibri"/>
                <w:color w:val="000000"/>
                <w:sz w:val="20"/>
                <w:szCs w:val="20"/>
                <w:lang w:val="en-US"/>
              </w:rPr>
              <w:t>T</w:t>
            </w:r>
          </w:p>
        </w:tc>
      </w:tr>
      <w:tr w:rsidR="00FD47FE" w:rsidRPr="001E3981" w14:paraId="7EF903B6" w14:textId="77777777" w:rsidTr="00FA5B17">
        <w:trPr>
          <w:trHeight w:val="288"/>
        </w:trPr>
        <w:tc>
          <w:tcPr>
            <w:tcW w:w="1580" w:type="dxa"/>
            <w:noWrap/>
          </w:tcPr>
          <w:p w14:paraId="51ABFB37" w14:textId="280EAC15" w:rsidR="00FD47FE" w:rsidRPr="0040537D" w:rsidRDefault="00FD47FE" w:rsidP="00FD47FE">
            <w:pPr>
              <w:rPr>
                <w:rFonts w:ascii="Calibri" w:hAnsi="Calibri" w:cs="Calibri"/>
                <w:color w:val="000000"/>
                <w:sz w:val="20"/>
                <w:szCs w:val="20"/>
                <w:lang w:val="en-US"/>
              </w:rPr>
            </w:pPr>
            <w:r w:rsidRPr="0040537D">
              <w:rPr>
                <w:rFonts w:ascii="Calibri" w:hAnsi="Calibri" w:cs="Calibri"/>
                <w:color w:val="000000"/>
                <w:sz w:val="20"/>
                <w:szCs w:val="20"/>
                <w:lang w:val="en-US"/>
              </w:rPr>
              <w:t>Q_VSA_FPNEG</w:t>
            </w:r>
          </w:p>
        </w:tc>
        <w:tc>
          <w:tcPr>
            <w:tcW w:w="630" w:type="dxa"/>
            <w:noWrap/>
          </w:tcPr>
          <w:p w14:paraId="4DD15AC0" w14:textId="55EC6DE8" w:rsidR="00FD47FE" w:rsidRPr="001E3981" w:rsidRDefault="00FD47FE" w:rsidP="00FD47FE">
            <w:pPr>
              <w:rPr>
                <w:rFonts w:ascii="Calibri" w:hAnsi="Calibri" w:cs="Calibri"/>
                <w:color w:val="000000"/>
                <w:sz w:val="20"/>
                <w:szCs w:val="20"/>
                <w:lang w:val="en-US"/>
              </w:rPr>
            </w:pPr>
            <w:r w:rsidRPr="001E3981">
              <w:rPr>
                <w:rFonts w:ascii="Calibri" w:hAnsi="Calibri" w:cs="Calibri"/>
                <w:color w:val="000000"/>
                <w:sz w:val="20"/>
                <w:szCs w:val="20"/>
                <w:lang w:val="en-US"/>
              </w:rPr>
              <w:t>2D</w:t>
            </w:r>
          </w:p>
        </w:tc>
        <w:tc>
          <w:tcPr>
            <w:tcW w:w="6295" w:type="dxa"/>
            <w:noWrap/>
          </w:tcPr>
          <w:p w14:paraId="7393558F" w14:textId="359C0C5B" w:rsidR="00FD47FE" w:rsidRPr="00D14339" w:rsidRDefault="00D14339" w:rsidP="00FD47FE">
            <w:pPr>
              <w:rPr>
                <w:rFonts w:ascii="Calibri" w:hAnsi="Calibri" w:cs="Calibri"/>
                <w:color w:val="000000"/>
                <w:sz w:val="20"/>
                <w:szCs w:val="20"/>
                <w:lang w:val="en-US"/>
              </w:rPr>
            </w:pPr>
            <w:r w:rsidRPr="00D14339">
              <w:rPr>
                <w:rFonts w:ascii="Calibri" w:hAnsi="Calibri" w:cs="Calibri"/>
                <w:color w:val="000000"/>
                <w:sz w:val="20"/>
                <w:szCs w:val="20"/>
                <w:lang w:val="en-US"/>
              </w:rPr>
              <w:t xml:space="preserve">Fractional negative </w:t>
            </w:r>
            <w:r>
              <w:rPr>
                <w:rFonts w:ascii="Calibri" w:hAnsi="Calibri" w:cs="Calibri"/>
                <w:color w:val="000000"/>
                <w:sz w:val="20"/>
                <w:szCs w:val="20"/>
                <w:lang w:val="en-US"/>
              </w:rPr>
              <w:t xml:space="preserve">polar </w:t>
            </w:r>
            <w:r w:rsidRPr="00D14339">
              <w:rPr>
                <w:rFonts w:ascii="Calibri" w:hAnsi="Calibri" w:cs="Calibri"/>
                <w:color w:val="000000"/>
                <w:sz w:val="20"/>
                <w:szCs w:val="20"/>
                <w:lang w:val="en-US"/>
              </w:rPr>
              <w:t>van der Waals surface area, showing the extent of the surface that is negatively charged.</w:t>
            </w:r>
          </w:p>
        </w:tc>
        <w:tc>
          <w:tcPr>
            <w:tcW w:w="586" w:type="dxa"/>
          </w:tcPr>
          <w:p w14:paraId="764638AC" w14:textId="626837E1" w:rsidR="00FD47FE" w:rsidRPr="0040537D" w:rsidRDefault="00FD47FE" w:rsidP="00FD47FE">
            <w:pPr>
              <w:rPr>
                <w:rFonts w:ascii="Calibri" w:hAnsi="Calibri" w:cs="Calibri"/>
                <w:color w:val="000000"/>
                <w:sz w:val="20"/>
                <w:szCs w:val="20"/>
                <w:lang w:val="en-US"/>
              </w:rPr>
            </w:pPr>
            <w:r w:rsidRPr="0040537D">
              <w:rPr>
                <w:rFonts w:ascii="Calibri" w:hAnsi="Calibri" w:cs="Calibri"/>
                <w:color w:val="000000"/>
                <w:sz w:val="20"/>
                <w:szCs w:val="20"/>
                <w:lang w:val="en-US"/>
              </w:rPr>
              <w:t>C</w:t>
            </w:r>
          </w:p>
        </w:tc>
      </w:tr>
      <w:tr w:rsidR="00FD47FE" w:rsidRPr="001E3981" w14:paraId="2245AF33" w14:textId="77777777" w:rsidTr="00FA5B17">
        <w:trPr>
          <w:trHeight w:val="288"/>
        </w:trPr>
        <w:tc>
          <w:tcPr>
            <w:tcW w:w="1580" w:type="dxa"/>
            <w:noWrap/>
          </w:tcPr>
          <w:p w14:paraId="3210463E" w14:textId="5334B03E" w:rsidR="00FD47FE" w:rsidRPr="0040537D" w:rsidRDefault="00FD47FE" w:rsidP="00FD47FE">
            <w:pPr>
              <w:rPr>
                <w:rFonts w:ascii="Calibri" w:hAnsi="Calibri" w:cs="Calibri"/>
                <w:color w:val="000000"/>
                <w:sz w:val="20"/>
                <w:szCs w:val="20"/>
                <w:lang w:val="en-US"/>
              </w:rPr>
            </w:pPr>
            <w:r w:rsidRPr="0040537D">
              <w:rPr>
                <w:rFonts w:ascii="Calibri" w:hAnsi="Calibri" w:cs="Calibri"/>
                <w:color w:val="000000"/>
                <w:sz w:val="20"/>
                <w:szCs w:val="20"/>
                <w:lang w:val="en-US"/>
              </w:rPr>
              <w:t>RPC-</w:t>
            </w:r>
          </w:p>
        </w:tc>
        <w:tc>
          <w:tcPr>
            <w:tcW w:w="630" w:type="dxa"/>
            <w:noWrap/>
          </w:tcPr>
          <w:p w14:paraId="35638C5F" w14:textId="275A1DE1" w:rsidR="00FD47FE" w:rsidRPr="001E3981" w:rsidRDefault="00FD47FE" w:rsidP="00FD47FE">
            <w:pPr>
              <w:rPr>
                <w:rFonts w:ascii="Calibri" w:hAnsi="Calibri" w:cs="Calibri"/>
                <w:color w:val="000000"/>
                <w:sz w:val="20"/>
                <w:szCs w:val="20"/>
                <w:lang w:val="en-US"/>
              </w:rPr>
            </w:pPr>
            <w:r w:rsidRPr="001E3981">
              <w:rPr>
                <w:rFonts w:ascii="Calibri" w:hAnsi="Calibri" w:cs="Calibri"/>
                <w:color w:val="000000"/>
                <w:sz w:val="20"/>
                <w:szCs w:val="20"/>
                <w:lang w:val="en-US"/>
              </w:rPr>
              <w:t>2D</w:t>
            </w:r>
          </w:p>
        </w:tc>
        <w:tc>
          <w:tcPr>
            <w:tcW w:w="6295" w:type="dxa"/>
            <w:noWrap/>
          </w:tcPr>
          <w:p w14:paraId="470CD5CE" w14:textId="47528EE4" w:rsidR="00FD47FE" w:rsidRPr="00D14339" w:rsidRDefault="00FD47FE" w:rsidP="00FD47FE">
            <w:pPr>
              <w:rPr>
                <w:rFonts w:ascii="Calibri" w:hAnsi="Calibri" w:cs="Calibri"/>
                <w:color w:val="000000"/>
                <w:sz w:val="20"/>
                <w:szCs w:val="20"/>
                <w:lang w:val="en-US"/>
              </w:rPr>
            </w:pPr>
            <w:r w:rsidRPr="001E3981">
              <w:rPr>
                <w:rFonts w:ascii="Calibri" w:hAnsi="Calibri" w:cs="Calibri"/>
                <w:color w:val="000000"/>
                <w:sz w:val="20"/>
                <w:szCs w:val="20"/>
                <w:lang w:val="en-US"/>
              </w:rPr>
              <w:t>Relative negative partial charge</w:t>
            </w:r>
            <w:r w:rsidR="00D14339">
              <w:rPr>
                <w:rFonts w:ascii="Calibri" w:hAnsi="Calibri" w:cs="Calibri"/>
                <w:color w:val="000000"/>
                <w:sz w:val="20"/>
                <w:szCs w:val="20"/>
                <w:lang w:val="en-US"/>
              </w:rPr>
              <w:t xml:space="preserve">, </w:t>
            </w:r>
            <w:r w:rsidR="00D14339" w:rsidRPr="00D14339">
              <w:rPr>
                <w:rFonts w:ascii="Calibri" w:hAnsi="Calibri" w:cs="Calibri"/>
                <w:color w:val="000000"/>
                <w:sz w:val="20"/>
                <w:szCs w:val="20"/>
                <w:lang w:val="en-US"/>
              </w:rPr>
              <w:t>indicative of electron-rich regions.</w:t>
            </w:r>
          </w:p>
        </w:tc>
        <w:tc>
          <w:tcPr>
            <w:tcW w:w="586" w:type="dxa"/>
          </w:tcPr>
          <w:p w14:paraId="527309A4" w14:textId="73E8BB01" w:rsidR="00FD47FE" w:rsidRPr="0040537D" w:rsidRDefault="00FD47FE" w:rsidP="00FD47FE">
            <w:pPr>
              <w:rPr>
                <w:rFonts w:ascii="Calibri" w:hAnsi="Calibri" w:cs="Calibri"/>
                <w:color w:val="000000"/>
                <w:sz w:val="20"/>
                <w:szCs w:val="20"/>
                <w:lang w:val="en-US"/>
              </w:rPr>
            </w:pPr>
            <w:r w:rsidRPr="0040537D">
              <w:rPr>
                <w:rFonts w:ascii="Calibri" w:hAnsi="Calibri" w:cs="Calibri"/>
                <w:color w:val="000000"/>
                <w:sz w:val="20"/>
                <w:szCs w:val="20"/>
                <w:lang w:val="en-US"/>
              </w:rPr>
              <w:t>C</w:t>
            </w:r>
          </w:p>
        </w:tc>
      </w:tr>
      <w:tr w:rsidR="00FD47FE" w:rsidRPr="001E3981" w14:paraId="0D757917" w14:textId="77777777" w:rsidTr="00FA5B17">
        <w:trPr>
          <w:trHeight w:val="288"/>
        </w:trPr>
        <w:tc>
          <w:tcPr>
            <w:tcW w:w="1580" w:type="dxa"/>
            <w:noWrap/>
          </w:tcPr>
          <w:p w14:paraId="665EEA1A" w14:textId="20628F97" w:rsidR="00FD47FE" w:rsidRPr="0040537D" w:rsidRDefault="00FB520A" w:rsidP="00FD47FE">
            <w:pPr>
              <w:rPr>
                <w:rFonts w:ascii="Calibri" w:hAnsi="Calibri" w:cs="Calibri"/>
                <w:color w:val="000000"/>
                <w:sz w:val="20"/>
                <w:szCs w:val="20"/>
                <w:lang w:val="en-US"/>
              </w:rPr>
            </w:pPr>
            <w:r w:rsidRPr="0040537D">
              <w:rPr>
                <w:rFonts w:ascii="Calibri" w:hAnsi="Calibri" w:cs="Calibri"/>
                <w:color w:val="000000"/>
                <w:sz w:val="20"/>
                <w:szCs w:val="20"/>
                <w:lang w:val="en-US"/>
              </w:rPr>
              <w:t>SlogP_VSA1</w:t>
            </w:r>
          </w:p>
        </w:tc>
        <w:tc>
          <w:tcPr>
            <w:tcW w:w="630" w:type="dxa"/>
            <w:noWrap/>
          </w:tcPr>
          <w:p w14:paraId="6247D896" w14:textId="1CD4A55B" w:rsidR="00FD47FE" w:rsidRPr="001E3981" w:rsidRDefault="003D3F92" w:rsidP="00FD47FE">
            <w:pPr>
              <w:rPr>
                <w:rFonts w:ascii="Calibri" w:hAnsi="Calibri" w:cs="Calibri"/>
                <w:color w:val="000000"/>
                <w:sz w:val="20"/>
                <w:szCs w:val="20"/>
                <w:lang w:val="en-US"/>
              </w:rPr>
            </w:pPr>
            <w:r>
              <w:rPr>
                <w:rFonts w:ascii="Calibri" w:hAnsi="Calibri" w:cs="Calibri"/>
                <w:color w:val="000000"/>
                <w:sz w:val="20"/>
                <w:szCs w:val="20"/>
                <w:lang w:val="en-US"/>
              </w:rPr>
              <w:t>2D</w:t>
            </w:r>
          </w:p>
        </w:tc>
        <w:tc>
          <w:tcPr>
            <w:tcW w:w="6295" w:type="dxa"/>
            <w:noWrap/>
          </w:tcPr>
          <w:p w14:paraId="794CD6F8" w14:textId="4C42A1D5" w:rsidR="00FD47FE" w:rsidRPr="00B8795F" w:rsidRDefault="00884373" w:rsidP="00FD47FE">
            <w:pPr>
              <w:rPr>
                <w:rFonts w:ascii="Calibri" w:hAnsi="Calibri" w:cs="Calibri"/>
                <w:color w:val="000000"/>
                <w:sz w:val="20"/>
                <w:szCs w:val="20"/>
                <w:lang w:val="en-US"/>
              </w:rPr>
            </w:pPr>
            <w:r>
              <w:rPr>
                <w:rFonts w:ascii="Calibri" w:hAnsi="Calibri" w:cs="Calibri"/>
                <w:color w:val="000000"/>
                <w:sz w:val="20"/>
                <w:szCs w:val="20"/>
                <w:lang w:val="en-US"/>
              </w:rPr>
              <w:t xml:space="preserve">Surface area descriptor associated with </w:t>
            </w:r>
            <w:r w:rsidRPr="00884373">
              <w:rPr>
                <w:rFonts w:ascii="Calibri" w:hAnsi="Calibri" w:cs="Calibri"/>
                <w:color w:val="000000"/>
                <w:sz w:val="20"/>
                <w:szCs w:val="20"/>
                <w:lang w:val="en-US"/>
              </w:rPr>
              <w:t>Log of the octanol/water partition coefficient wi</w:t>
            </w:r>
            <w:r>
              <w:rPr>
                <w:rFonts w:ascii="Calibri" w:hAnsi="Calibri" w:cs="Calibri"/>
                <w:color w:val="000000"/>
                <w:sz w:val="20"/>
                <w:szCs w:val="20"/>
                <w:lang w:val="en-US"/>
              </w:rPr>
              <w:t xml:space="preserve">thin a range of </w:t>
            </w:r>
            <w:r w:rsidR="006F4531">
              <w:rPr>
                <w:rFonts w:ascii="Calibri" w:hAnsi="Calibri" w:cs="Calibri"/>
                <w:color w:val="000000"/>
                <w:sz w:val="20"/>
                <w:szCs w:val="20"/>
                <w:lang w:val="en-US"/>
              </w:rPr>
              <w:t>-0.4,-0.2</w:t>
            </w:r>
            <w:r w:rsidR="00B8795F">
              <w:rPr>
                <w:rFonts w:ascii="Calibri" w:hAnsi="Calibri" w:cs="Calibri"/>
                <w:color w:val="000000"/>
                <w:sz w:val="20"/>
                <w:szCs w:val="20"/>
                <w:lang w:val="en-US"/>
              </w:rPr>
              <w:t xml:space="preserve">, indication </w:t>
            </w:r>
            <w:r w:rsidR="00B8795F" w:rsidRPr="00B8795F">
              <w:rPr>
                <w:rFonts w:ascii="Calibri" w:hAnsi="Calibri" w:cs="Calibri"/>
                <w:color w:val="000000"/>
                <w:sz w:val="20"/>
                <w:szCs w:val="20"/>
                <w:lang w:val="en-US"/>
              </w:rPr>
              <w:t>contribution of specific molecular regions to hydrophobicity.</w:t>
            </w:r>
          </w:p>
        </w:tc>
        <w:tc>
          <w:tcPr>
            <w:tcW w:w="586" w:type="dxa"/>
          </w:tcPr>
          <w:p w14:paraId="13DFD831" w14:textId="14526429" w:rsidR="00FD47FE" w:rsidRPr="0040537D" w:rsidRDefault="0040537D" w:rsidP="00FD47FE">
            <w:pPr>
              <w:rPr>
                <w:rFonts w:ascii="Calibri" w:hAnsi="Calibri" w:cs="Calibri"/>
                <w:color w:val="000000"/>
                <w:sz w:val="20"/>
                <w:szCs w:val="20"/>
                <w:lang w:val="en-US"/>
              </w:rPr>
            </w:pPr>
            <w:r w:rsidRPr="0040537D">
              <w:rPr>
                <w:rFonts w:ascii="Calibri" w:hAnsi="Calibri" w:cs="Calibri"/>
                <w:color w:val="000000"/>
                <w:sz w:val="20"/>
                <w:szCs w:val="20"/>
                <w:lang w:val="en-US"/>
              </w:rPr>
              <w:t>C</w:t>
            </w:r>
          </w:p>
        </w:tc>
      </w:tr>
      <w:tr w:rsidR="00FD47FE" w:rsidRPr="001E3981" w14:paraId="58C38059" w14:textId="77777777" w:rsidTr="00FA5B17">
        <w:trPr>
          <w:trHeight w:val="288"/>
        </w:trPr>
        <w:tc>
          <w:tcPr>
            <w:tcW w:w="1580" w:type="dxa"/>
            <w:noWrap/>
          </w:tcPr>
          <w:p w14:paraId="6EB31E0D" w14:textId="5D8FC68C" w:rsidR="00FD47FE" w:rsidRPr="0040537D" w:rsidRDefault="00FB520A" w:rsidP="00FD47FE">
            <w:pPr>
              <w:rPr>
                <w:rFonts w:ascii="Calibri" w:hAnsi="Calibri" w:cs="Calibri"/>
                <w:color w:val="000000"/>
                <w:sz w:val="20"/>
                <w:szCs w:val="20"/>
                <w:lang w:val="en-US"/>
              </w:rPr>
            </w:pPr>
            <w:r w:rsidRPr="0040537D">
              <w:rPr>
                <w:rFonts w:ascii="Calibri" w:hAnsi="Calibri" w:cs="Calibri"/>
                <w:color w:val="000000"/>
                <w:sz w:val="20"/>
                <w:szCs w:val="20"/>
                <w:lang w:val="en-US"/>
              </w:rPr>
              <w:t>SMR_VSA1</w:t>
            </w:r>
          </w:p>
        </w:tc>
        <w:tc>
          <w:tcPr>
            <w:tcW w:w="630" w:type="dxa"/>
            <w:noWrap/>
          </w:tcPr>
          <w:p w14:paraId="6894C97D" w14:textId="1B847EAE" w:rsidR="00FD47FE" w:rsidRPr="001E3981" w:rsidRDefault="003D3F92" w:rsidP="00FD47FE">
            <w:pPr>
              <w:rPr>
                <w:rFonts w:ascii="Calibri" w:hAnsi="Calibri" w:cs="Calibri"/>
                <w:color w:val="000000"/>
                <w:sz w:val="20"/>
                <w:szCs w:val="20"/>
                <w:lang w:val="en-US"/>
              </w:rPr>
            </w:pPr>
            <w:r>
              <w:rPr>
                <w:rFonts w:ascii="Calibri" w:hAnsi="Calibri" w:cs="Calibri"/>
                <w:color w:val="000000"/>
                <w:sz w:val="20"/>
                <w:szCs w:val="20"/>
                <w:lang w:val="en-US"/>
              </w:rPr>
              <w:t>2D</w:t>
            </w:r>
          </w:p>
        </w:tc>
        <w:tc>
          <w:tcPr>
            <w:tcW w:w="6295" w:type="dxa"/>
            <w:noWrap/>
          </w:tcPr>
          <w:p w14:paraId="2F02A87D" w14:textId="0EE937B1" w:rsidR="00FD47FE" w:rsidRPr="00616441" w:rsidRDefault="00884373" w:rsidP="00FD47FE">
            <w:pPr>
              <w:rPr>
                <w:rFonts w:ascii="Calibri" w:hAnsi="Calibri" w:cs="Calibri"/>
                <w:color w:val="000000"/>
                <w:sz w:val="20"/>
                <w:szCs w:val="20"/>
                <w:lang w:val="en-US"/>
              </w:rPr>
            </w:pPr>
            <w:r w:rsidRPr="00616441">
              <w:rPr>
                <w:rFonts w:ascii="Calibri" w:hAnsi="Calibri" w:cs="Calibri"/>
                <w:color w:val="000000"/>
                <w:sz w:val="20"/>
                <w:szCs w:val="20"/>
                <w:lang w:val="en-US"/>
              </w:rPr>
              <w:t>Sum of van der Waals surface areas for atoms with a molar refractivity in a range</w:t>
            </w:r>
            <w:r>
              <w:rPr>
                <w:rFonts w:ascii="Calibri" w:hAnsi="Calibri" w:cs="Calibri"/>
                <w:color w:val="000000"/>
                <w:sz w:val="20"/>
                <w:szCs w:val="20"/>
                <w:lang w:val="en-US"/>
              </w:rPr>
              <w:t xml:space="preserve"> of </w:t>
            </w:r>
            <w:r w:rsidRPr="00616441">
              <w:rPr>
                <w:rFonts w:ascii="Calibri" w:hAnsi="Calibri" w:cs="Calibri"/>
                <w:color w:val="000000"/>
                <w:sz w:val="20"/>
                <w:szCs w:val="20"/>
                <w:lang w:val="en-US"/>
              </w:rPr>
              <w:t>0.</w:t>
            </w:r>
            <w:r w:rsidR="006F4531">
              <w:rPr>
                <w:rFonts w:ascii="Calibri" w:hAnsi="Calibri" w:cs="Calibri"/>
                <w:color w:val="000000"/>
                <w:sz w:val="20"/>
                <w:szCs w:val="20"/>
                <w:lang w:val="en-US"/>
              </w:rPr>
              <w:t>11</w:t>
            </w:r>
            <w:r>
              <w:rPr>
                <w:rFonts w:ascii="Calibri" w:hAnsi="Calibri" w:cs="Calibri"/>
                <w:color w:val="000000"/>
                <w:sz w:val="20"/>
                <w:szCs w:val="20"/>
                <w:lang w:val="en-US"/>
              </w:rPr>
              <w:t>-</w:t>
            </w:r>
            <w:r w:rsidRPr="00616441">
              <w:rPr>
                <w:rFonts w:ascii="Calibri" w:hAnsi="Calibri" w:cs="Calibri"/>
                <w:color w:val="000000"/>
                <w:sz w:val="20"/>
                <w:szCs w:val="20"/>
                <w:lang w:val="en-US"/>
              </w:rPr>
              <w:t>0.</w:t>
            </w:r>
            <w:r w:rsidR="006F4531">
              <w:rPr>
                <w:rFonts w:ascii="Calibri" w:hAnsi="Calibri" w:cs="Calibri"/>
                <w:color w:val="000000"/>
                <w:sz w:val="20"/>
                <w:szCs w:val="20"/>
                <w:lang w:val="en-US"/>
              </w:rPr>
              <w:t>26</w:t>
            </w:r>
            <w:r w:rsidRPr="00616441">
              <w:rPr>
                <w:rFonts w:ascii="Calibri" w:hAnsi="Calibri" w:cs="Calibri"/>
                <w:color w:val="000000"/>
                <w:sz w:val="20"/>
                <w:szCs w:val="20"/>
                <w:lang w:val="en-US"/>
              </w:rPr>
              <w:t>, giving insight into molecular polarizability.</w:t>
            </w:r>
          </w:p>
        </w:tc>
        <w:tc>
          <w:tcPr>
            <w:tcW w:w="586" w:type="dxa"/>
          </w:tcPr>
          <w:p w14:paraId="1406825A" w14:textId="09F9BE50" w:rsidR="00FD47FE" w:rsidRPr="0040537D" w:rsidRDefault="0040537D" w:rsidP="00FD47FE">
            <w:pPr>
              <w:rPr>
                <w:rFonts w:ascii="Calibri" w:hAnsi="Calibri" w:cs="Calibri"/>
                <w:color w:val="000000"/>
                <w:sz w:val="20"/>
                <w:szCs w:val="20"/>
                <w:lang w:val="en-US"/>
              </w:rPr>
            </w:pPr>
            <w:r w:rsidRPr="0040537D">
              <w:rPr>
                <w:rFonts w:ascii="Calibri" w:hAnsi="Calibri" w:cs="Calibri"/>
                <w:color w:val="000000"/>
                <w:sz w:val="20"/>
                <w:szCs w:val="20"/>
                <w:lang w:val="en-US"/>
              </w:rPr>
              <w:t>T</w:t>
            </w:r>
          </w:p>
        </w:tc>
      </w:tr>
      <w:tr w:rsidR="00FD47FE" w:rsidRPr="001E3981" w14:paraId="1862EC0C" w14:textId="77777777" w:rsidTr="00FA5B17">
        <w:trPr>
          <w:trHeight w:val="288"/>
        </w:trPr>
        <w:tc>
          <w:tcPr>
            <w:tcW w:w="1580" w:type="dxa"/>
            <w:noWrap/>
          </w:tcPr>
          <w:p w14:paraId="5F1FC560" w14:textId="0B3DA5FF" w:rsidR="00FD47FE" w:rsidRPr="0040537D" w:rsidRDefault="00FB520A" w:rsidP="00FD47FE">
            <w:pPr>
              <w:rPr>
                <w:rFonts w:ascii="Calibri" w:hAnsi="Calibri" w:cs="Calibri"/>
                <w:color w:val="000000"/>
                <w:sz w:val="20"/>
                <w:szCs w:val="20"/>
                <w:lang w:val="en-US"/>
              </w:rPr>
            </w:pPr>
            <w:proofErr w:type="spellStart"/>
            <w:r w:rsidRPr="0040537D">
              <w:rPr>
                <w:rFonts w:ascii="Calibri" w:hAnsi="Calibri" w:cs="Calibri"/>
                <w:color w:val="000000"/>
                <w:sz w:val="20"/>
                <w:szCs w:val="20"/>
                <w:lang w:val="en-US"/>
              </w:rPr>
              <w:t>vsa_acid</w:t>
            </w:r>
            <w:proofErr w:type="spellEnd"/>
          </w:p>
        </w:tc>
        <w:tc>
          <w:tcPr>
            <w:tcW w:w="630" w:type="dxa"/>
            <w:noWrap/>
          </w:tcPr>
          <w:p w14:paraId="60E3D50E" w14:textId="2B40247C" w:rsidR="00FD47FE" w:rsidRPr="001E3981" w:rsidRDefault="003D3F92" w:rsidP="00FD47FE">
            <w:pPr>
              <w:rPr>
                <w:rFonts w:ascii="Calibri" w:hAnsi="Calibri" w:cs="Calibri"/>
                <w:color w:val="000000"/>
                <w:sz w:val="20"/>
                <w:szCs w:val="20"/>
                <w:lang w:val="en-US"/>
              </w:rPr>
            </w:pPr>
            <w:r>
              <w:rPr>
                <w:rFonts w:ascii="Calibri" w:hAnsi="Calibri" w:cs="Calibri"/>
                <w:color w:val="000000"/>
                <w:sz w:val="20"/>
                <w:szCs w:val="20"/>
                <w:lang w:val="en-US"/>
              </w:rPr>
              <w:t>2D</w:t>
            </w:r>
          </w:p>
        </w:tc>
        <w:tc>
          <w:tcPr>
            <w:tcW w:w="6295" w:type="dxa"/>
            <w:noWrap/>
          </w:tcPr>
          <w:p w14:paraId="1F716A7B" w14:textId="710ED427" w:rsidR="00FD47FE" w:rsidRPr="00616441" w:rsidRDefault="006F4531" w:rsidP="00FD47FE">
            <w:pPr>
              <w:rPr>
                <w:rFonts w:ascii="Calibri" w:hAnsi="Calibri" w:cs="Calibri"/>
                <w:color w:val="000000"/>
                <w:sz w:val="20"/>
                <w:szCs w:val="20"/>
                <w:lang w:val="en-US"/>
              </w:rPr>
            </w:pPr>
            <w:r>
              <w:rPr>
                <w:rFonts w:ascii="Calibri" w:hAnsi="Calibri" w:cs="Calibri"/>
                <w:color w:val="000000"/>
                <w:sz w:val="20"/>
                <w:szCs w:val="20"/>
                <w:lang w:val="en-US"/>
              </w:rPr>
              <w:t xml:space="preserve">Approximation of </w:t>
            </w:r>
            <w:r w:rsidRPr="006F4531">
              <w:rPr>
                <w:rFonts w:ascii="Calibri" w:hAnsi="Calibri" w:cs="Calibri"/>
                <w:color w:val="000000"/>
                <w:sz w:val="20"/>
                <w:szCs w:val="20"/>
                <w:lang w:val="en-US"/>
              </w:rPr>
              <w:t>Van der Waals surface area of acidic regions in the molecule, indicating areas capable of donating protons under physiological conditions</w:t>
            </w:r>
            <w:r>
              <w:rPr>
                <w:rFonts w:ascii="Calibri" w:hAnsi="Calibri" w:cs="Calibri"/>
                <w:color w:val="000000"/>
                <w:sz w:val="20"/>
                <w:szCs w:val="20"/>
                <w:lang w:val="en-US"/>
              </w:rPr>
              <w:t>.</w:t>
            </w:r>
          </w:p>
        </w:tc>
        <w:tc>
          <w:tcPr>
            <w:tcW w:w="586" w:type="dxa"/>
          </w:tcPr>
          <w:p w14:paraId="5D0EB5D7" w14:textId="4D06AF0C" w:rsidR="00FD47FE" w:rsidRPr="0040537D" w:rsidRDefault="0040537D" w:rsidP="00FD47FE">
            <w:pPr>
              <w:rPr>
                <w:rFonts w:ascii="Calibri" w:hAnsi="Calibri" w:cs="Calibri"/>
                <w:color w:val="000000"/>
                <w:sz w:val="20"/>
                <w:szCs w:val="20"/>
                <w:lang w:val="en-US"/>
              </w:rPr>
            </w:pPr>
            <w:r w:rsidRPr="0040537D">
              <w:rPr>
                <w:rFonts w:ascii="Calibri" w:hAnsi="Calibri" w:cs="Calibri"/>
                <w:color w:val="000000"/>
                <w:sz w:val="20"/>
                <w:szCs w:val="20"/>
                <w:lang w:val="en-US"/>
              </w:rPr>
              <w:t>C</w:t>
            </w:r>
          </w:p>
        </w:tc>
      </w:tr>
      <w:tr w:rsidR="00FD47FE" w:rsidRPr="001E3981" w14:paraId="5B71E84E" w14:textId="77777777" w:rsidTr="00FA5B17">
        <w:trPr>
          <w:trHeight w:val="288"/>
        </w:trPr>
        <w:tc>
          <w:tcPr>
            <w:tcW w:w="1580" w:type="dxa"/>
            <w:noWrap/>
          </w:tcPr>
          <w:p w14:paraId="141084B4" w14:textId="757AAD07" w:rsidR="00FD47FE" w:rsidRPr="0040537D" w:rsidRDefault="00FD47FE" w:rsidP="00FD47FE">
            <w:pPr>
              <w:rPr>
                <w:rFonts w:ascii="Calibri" w:hAnsi="Calibri" w:cs="Calibri"/>
                <w:color w:val="000000"/>
                <w:sz w:val="20"/>
                <w:szCs w:val="20"/>
                <w:lang w:val="en-US"/>
              </w:rPr>
            </w:pPr>
            <w:proofErr w:type="spellStart"/>
            <w:r w:rsidRPr="0040537D">
              <w:rPr>
                <w:rFonts w:ascii="Calibri" w:hAnsi="Calibri" w:cs="Calibri"/>
                <w:color w:val="000000"/>
                <w:sz w:val="20"/>
                <w:szCs w:val="20"/>
                <w:lang w:val="en-US"/>
              </w:rPr>
              <w:t>vsurf_CP</w:t>
            </w:r>
            <w:proofErr w:type="spellEnd"/>
          </w:p>
        </w:tc>
        <w:tc>
          <w:tcPr>
            <w:tcW w:w="630" w:type="dxa"/>
            <w:noWrap/>
          </w:tcPr>
          <w:p w14:paraId="58BFB5B2" w14:textId="6F58EF2D" w:rsidR="00FD47FE" w:rsidRPr="001E3981" w:rsidRDefault="00FD47FE" w:rsidP="00FD47FE">
            <w:pPr>
              <w:rPr>
                <w:rFonts w:ascii="Calibri" w:hAnsi="Calibri" w:cs="Calibri"/>
                <w:color w:val="000000"/>
                <w:sz w:val="20"/>
                <w:szCs w:val="20"/>
                <w:lang w:val="en-US"/>
              </w:rPr>
            </w:pPr>
            <w:r w:rsidRPr="001E3981">
              <w:rPr>
                <w:rFonts w:ascii="Calibri" w:hAnsi="Calibri" w:cs="Calibri"/>
                <w:color w:val="000000"/>
                <w:sz w:val="20"/>
                <w:szCs w:val="20"/>
                <w:lang w:val="en-US"/>
              </w:rPr>
              <w:t>3D</w:t>
            </w:r>
          </w:p>
        </w:tc>
        <w:tc>
          <w:tcPr>
            <w:tcW w:w="6295" w:type="dxa"/>
            <w:noWrap/>
          </w:tcPr>
          <w:p w14:paraId="4DAA525E" w14:textId="615B89AA" w:rsidR="00FD47FE" w:rsidRPr="00483337" w:rsidRDefault="00616441" w:rsidP="00FD47FE">
            <w:pPr>
              <w:rPr>
                <w:rFonts w:ascii="Calibri" w:hAnsi="Calibri" w:cs="Calibri"/>
                <w:color w:val="000000"/>
                <w:sz w:val="20"/>
                <w:szCs w:val="20"/>
                <w:lang w:val="en-US"/>
              </w:rPr>
            </w:pPr>
            <w:proofErr w:type="spellStart"/>
            <w:r>
              <w:rPr>
                <w:rFonts w:ascii="Calibri" w:hAnsi="Calibri" w:cs="Calibri"/>
                <w:color w:val="000000"/>
                <w:sz w:val="20"/>
                <w:szCs w:val="20"/>
                <w:lang w:val="en-US"/>
              </w:rPr>
              <w:t>VolSurf</w:t>
            </w:r>
            <w:proofErr w:type="spellEnd"/>
            <w:r>
              <w:rPr>
                <w:rFonts w:ascii="Calibri" w:hAnsi="Calibri" w:cs="Calibri"/>
                <w:color w:val="000000"/>
                <w:sz w:val="20"/>
                <w:szCs w:val="20"/>
                <w:lang w:val="en-US"/>
              </w:rPr>
              <w:t xml:space="preserve"> </w:t>
            </w:r>
            <w:r w:rsidR="00FD47FE" w:rsidRPr="001E3981">
              <w:rPr>
                <w:rFonts w:ascii="Calibri" w:hAnsi="Calibri" w:cs="Calibri"/>
                <w:color w:val="000000"/>
                <w:sz w:val="20"/>
                <w:szCs w:val="20"/>
                <w:lang w:val="en-US"/>
              </w:rPr>
              <w:t>Critical packing parameter</w:t>
            </w:r>
            <w:r>
              <w:rPr>
                <w:rFonts w:ascii="Calibri" w:hAnsi="Calibri" w:cs="Calibri"/>
                <w:color w:val="000000"/>
                <w:sz w:val="20"/>
                <w:szCs w:val="20"/>
                <w:lang w:val="en-US"/>
              </w:rPr>
              <w:t xml:space="preserve">, </w:t>
            </w:r>
            <w:r w:rsidR="00483337" w:rsidRPr="00483337">
              <w:rPr>
                <w:rFonts w:ascii="Calibri" w:hAnsi="Calibri" w:cs="Calibri"/>
                <w:color w:val="000000"/>
                <w:sz w:val="20"/>
                <w:szCs w:val="20"/>
                <w:lang w:val="en-US"/>
              </w:rPr>
              <w:t>indicating molecular compactness and packing density.</w:t>
            </w:r>
          </w:p>
        </w:tc>
        <w:tc>
          <w:tcPr>
            <w:tcW w:w="586" w:type="dxa"/>
          </w:tcPr>
          <w:p w14:paraId="1A26BEC9" w14:textId="7BF14BC9" w:rsidR="00FD47FE" w:rsidRPr="0040537D" w:rsidRDefault="00FD47FE" w:rsidP="00FD47FE">
            <w:pPr>
              <w:rPr>
                <w:rFonts w:ascii="Calibri" w:hAnsi="Calibri" w:cs="Calibri"/>
                <w:color w:val="000000"/>
                <w:sz w:val="20"/>
                <w:szCs w:val="20"/>
                <w:lang w:val="en-US"/>
              </w:rPr>
            </w:pPr>
            <w:r w:rsidRPr="0040537D">
              <w:rPr>
                <w:rFonts w:ascii="Calibri" w:hAnsi="Calibri" w:cs="Calibri"/>
                <w:color w:val="000000"/>
                <w:sz w:val="20"/>
                <w:szCs w:val="20"/>
                <w:lang w:val="en-US"/>
              </w:rPr>
              <w:t>C</w:t>
            </w:r>
          </w:p>
        </w:tc>
      </w:tr>
      <w:tr w:rsidR="00FD47FE" w:rsidRPr="001E3981" w14:paraId="3259CBD7" w14:textId="77777777" w:rsidTr="00FA5B17">
        <w:trPr>
          <w:trHeight w:val="288"/>
        </w:trPr>
        <w:tc>
          <w:tcPr>
            <w:tcW w:w="1580" w:type="dxa"/>
            <w:noWrap/>
          </w:tcPr>
          <w:p w14:paraId="3BE9D685" w14:textId="1E3A08F6" w:rsidR="00FD47FE" w:rsidRPr="0040537D" w:rsidRDefault="00FB520A" w:rsidP="00FD47FE">
            <w:pPr>
              <w:rPr>
                <w:rFonts w:ascii="Calibri" w:hAnsi="Calibri" w:cs="Calibri"/>
                <w:color w:val="000000"/>
                <w:sz w:val="20"/>
                <w:szCs w:val="20"/>
                <w:lang w:val="en-US"/>
              </w:rPr>
            </w:pPr>
            <w:r w:rsidRPr="0040537D">
              <w:rPr>
                <w:rFonts w:ascii="Calibri" w:hAnsi="Calibri" w:cs="Calibri"/>
                <w:color w:val="000000"/>
                <w:sz w:val="20"/>
                <w:szCs w:val="20"/>
                <w:lang w:val="en-US"/>
              </w:rPr>
              <w:t>vsurf_HB1</w:t>
            </w:r>
          </w:p>
        </w:tc>
        <w:tc>
          <w:tcPr>
            <w:tcW w:w="630" w:type="dxa"/>
            <w:noWrap/>
          </w:tcPr>
          <w:p w14:paraId="14D79286" w14:textId="3AE6520A" w:rsidR="00FD47FE" w:rsidRPr="001E3981" w:rsidRDefault="003D3F92" w:rsidP="00FD47FE">
            <w:pPr>
              <w:rPr>
                <w:rFonts w:ascii="Calibri" w:hAnsi="Calibri" w:cs="Calibri"/>
                <w:color w:val="000000"/>
                <w:sz w:val="20"/>
                <w:szCs w:val="20"/>
                <w:lang w:val="en-US"/>
              </w:rPr>
            </w:pPr>
            <w:r>
              <w:rPr>
                <w:rFonts w:ascii="Calibri" w:hAnsi="Calibri" w:cs="Calibri"/>
                <w:color w:val="000000"/>
                <w:sz w:val="20"/>
                <w:szCs w:val="20"/>
                <w:lang w:val="en-US"/>
              </w:rPr>
              <w:t>3D</w:t>
            </w:r>
          </w:p>
        </w:tc>
        <w:tc>
          <w:tcPr>
            <w:tcW w:w="6295" w:type="dxa"/>
            <w:noWrap/>
          </w:tcPr>
          <w:p w14:paraId="2D1CC8DE" w14:textId="70653D62" w:rsidR="00FD47FE" w:rsidRPr="006F4531" w:rsidRDefault="006F4531" w:rsidP="00FD47FE">
            <w:pPr>
              <w:rPr>
                <w:rFonts w:ascii="Calibri" w:hAnsi="Calibri" w:cs="Calibri"/>
                <w:color w:val="000000"/>
                <w:sz w:val="20"/>
                <w:szCs w:val="20"/>
                <w:lang w:val="en-US"/>
              </w:rPr>
            </w:pPr>
            <w:r>
              <w:rPr>
                <w:rFonts w:ascii="Calibri" w:hAnsi="Calibri" w:cs="Calibri"/>
                <w:color w:val="000000"/>
                <w:sz w:val="20"/>
                <w:szCs w:val="20"/>
                <w:lang w:val="en-US"/>
              </w:rPr>
              <w:t xml:space="preserve">Hydrogen bond donor capacity </w:t>
            </w:r>
            <w:r w:rsidRPr="006F4531">
              <w:rPr>
                <w:rFonts w:ascii="Calibri" w:hAnsi="Calibri" w:cs="Calibri"/>
                <w:color w:val="000000"/>
                <w:sz w:val="20"/>
                <w:szCs w:val="20"/>
                <w:lang w:val="en-US"/>
              </w:rPr>
              <w:t xml:space="preserve">derived from the </w:t>
            </w:r>
            <w:proofErr w:type="spellStart"/>
            <w:r w:rsidRPr="006F4531">
              <w:rPr>
                <w:rFonts w:ascii="Calibri" w:hAnsi="Calibri" w:cs="Calibri"/>
                <w:color w:val="000000"/>
                <w:sz w:val="20"/>
                <w:szCs w:val="20"/>
                <w:lang w:val="en-US"/>
              </w:rPr>
              <w:t>VolSurf</w:t>
            </w:r>
            <w:proofErr w:type="spellEnd"/>
            <w:r w:rsidRPr="006F4531">
              <w:rPr>
                <w:rFonts w:ascii="Calibri" w:hAnsi="Calibri" w:cs="Calibri"/>
                <w:color w:val="000000"/>
                <w:sz w:val="20"/>
                <w:szCs w:val="20"/>
                <w:lang w:val="en-US"/>
              </w:rPr>
              <w:t xml:space="preserve"> methodology</w:t>
            </w:r>
            <w:r>
              <w:rPr>
                <w:rFonts w:ascii="Calibri" w:hAnsi="Calibri" w:cs="Calibri"/>
                <w:color w:val="000000"/>
                <w:sz w:val="20"/>
                <w:szCs w:val="20"/>
                <w:lang w:val="en-US"/>
              </w:rPr>
              <w:t>, quantifying the hydrophobicity of a molecule.</w:t>
            </w:r>
          </w:p>
        </w:tc>
        <w:tc>
          <w:tcPr>
            <w:tcW w:w="586" w:type="dxa"/>
          </w:tcPr>
          <w:p w14:paraId="4452AA3D" w14:textId="14762ABD" w:rsidR="00FD47FE" w:rsidRPr="0040537D" w:rsidRDefault="0040537D" w:rsidP="00FD47FE">
            <w:pPr>
              <w:rPr>
                <w:rFonts w:ascii="Calibri" w:hAnsi="Calibri" w:cs="Calibri"/>
                <w:color w:val="000000"/>
                <w:sz w:val="20"/>
                <w:szCs w:val="20"/>
                <w:lang w:val="en-US"/>
              </w:rPr>
            </w:pPr>
            <w:r w:rsidRPr="0040537D">
              <w:rPr>
                <w:rFonts w:ascii="Calibri" w:hAnsi="Calibri" w:cs="Calibri"/>
                <w:color w:val="000000"/>
                <w:sz w:val="20"/>
                <w:szCs w:val="20"/>
                <w:lang w:val="en-US"/>
              </w:rPr>
              <w:t>C</w:t>
            </w:r>
          </w:p>
        </w:tc>
      </w:tr>
      <w:tr w:rsidR="00FD47FE" w:rsidRPr="001E3981" w14:paraId="69CF28DA" w14:textId="77777777" w:rsidTr="00FA5B17">
        <w:trPr>
          <w:trHeight w:val="288"/>
        </w:trPr>
        <w:tc>
          <w:tcPr>
            <w:tcW w:w="1580" w:type="dxa"/>
            <w:noWrap/>
          </w:tcPr>
          <w:p w14:paraId="15F23495" w14:textId="170B28F3" w:rsidR="00FD47FE" w:rsidRPr="0040537D" w:rsidRDefault="00FD47FE" w:rsidP="00FD47FE">
            <w:pPr>
              <w:rPr>
                <w:rFonts w:ascii="Calibri" w:hAnsi="Calibri" w:cs="Calibri"/>
                <w:color w:val="000000"/>
                <w:sz w:val="20"/>
                <w:szCs w:val="20"/>
                <w:lang w:val="en-US"/>
              </w:rPr>
            </w:pPr>
            <w:r w:rsidRPr="0040537D">
              <w:rPr>
                <w:rFonts w:ascii="Calibri" w:hAnsi="Calibri" w:cs="Calibri"/>
                <w:color w:val="000000"/>
                <w:sz w:val="20"/>
                <w:szCs w:val="20"/>
                <w:lang w:val="en-US"/>
              </w:rPr>
              <w:t>vsurf_HL2</w:t>
            </w:r>
          </w:p>
        </w:tc>
        <w:tc>
          <w:tcPr>
            <w:tcW w:w="630" w:type="dxa"/>
            <w:noWrap/>
          </w:tcPr>
          <w:p w14:paraId="07D80768" w14:textId="378AD577" w:rsidR="00FD47FE" w:rsidRPr="001E3981" w:rsidRDefault="00FD47FE" w:rsidP="00FD47FE">
            <w:pPr>
              <w:rPr>
                <w:rFonts w:ascii="Calibri" w:hAnsi="Calibri" w:cs="Calibri"/>
                <w:color w:val="000000"/>
                <w:sz w:val="20"/>
                <w:szCs w:val="20"/>
                <w:lang w:val="en-US"/>
              </w:rPr>
            </w:pPr>
            <w:r w:rsidRPr="001E3981">
              <w:rPr>
                <w:rFonts w:ascii="Calibri" w:hAnsi="Calibri" w:cs="Calibri"/>
                <w:color w:val="000000"/>
                <w:sz w:val="20"/>
                <w:szCs w:val="20"/>
                <w:lang w:val="en-US"/>
              </w:rPr>
              <w:t>3D</w:t>
            </w:r>
          </w:p>
        </w:tc>
        <w:tc>
          <w:tcPr>
            <w:tcW w:w="6295" w:type="dxa"/>
            <w:noWrap/>
          </w:tcPr>
          <w:p w14:paraId="05A0DB01" w14:textId="6177F9C7" w:rsidR="00FD47FE" w:rsidRPr="00483337" w:rsidRDefault="00483337" w:rsidP="00FD47FE">
            <w:pPr>
              <w:rPr>
                <w:rFonts w:ascii="Calibri" w:hAnsi="Calibri" w:cs="Calibri"/>
                <w:color w:val="000000"/>
                <w:sz w:val="20"/>
                <w:szCs w:val="20"/>
                <w:lang w:val="en-US"/>
              </w:rPr>
            </w:pPr>
            <w:r>
              <w:rPr>
                <w:rFonts w:ascii="Calibri" w:hAnsi="Calibri" w:cs="Calibri"/>
                <w:color w:val="000000"/>
                <w:sz w:val="20"/>
                <w:szCs w:val="20"/>
                <w:lang w:val="en-US"/>
              </w:rPr>
              <w:t>Second h</w:t>
            </w:r>
            <w:r w:rsidRPr="00483337">
              <w:rPr>
                <w:rFonts w:ascii="Calibri" w:hAnsi="Calibri" w:cs="Calibri"/>
                <w:color w:val="000000"/>
                <w:sz w:val="20"/>
                <w:szCs w:val="20"/>
                <w:lang w:val="en-US"/>
              </w:rPr>
              <w:t>ydrophilic-lipophilic balance descriptor, highlighting the balance between hydrophilic and hydrophobic regions.</w:t>
            </w:r>
          </w:p>
        </w:tc>
        <w:tc>
          <w:tcPr>
            <w:tcW w:w="586" w:type="dxa"/>
          </w:tcPr>
          <w:p w14:paraId="06FE6E03" w14:textId="0C94F433" w:rsidR="00FD47FE" w:rsidRPr="0040537D" w:rsidRDefault="00FD47FE" w:rsidP="00FD47FE">
            <w:pPr>
              <w:rPr>
                <w:rFonts w:ascii="Calibri" w:hAnsi="Calibri" w:cs="Calibri"/>
                <w:color w:val="000000"/>
                <w:sz w:val="20"/>
                <w:szCs w:val="20"/>
                <w:lang w:val="en-US"/>
              </w:rPr>
            </w:pPr>
            <w:r w:rsidRPr="0040537D">
              <w:rPr>
                <w:rFonts w:ascii="Calibri" w:hAnsi="Calibri" w:cs="Calibri"/>
                <w:color w:val="000000"/>
                <w:sz w:val="20"/>
                <w:szCs w:val="20"/>
                <w:lang w:val="en-US"/>
              </w:rPr>
              <w:t>C</w:t>
            </w:r>
          </w:p>
        </w:tc>
      </w:tr>
      <w:tr w:rsidR="00FD47FE" w:rsidRPr="00FD47FE" w14:paraId="1CCCB129" w14:textId="77777777" w:rsidTr="00724EAF">
        <w:trPr>
          <w:trHeight w:val="288"/>
        </w:trPr>
        <w:tc>
          <w:tcPr>
            <w:tcW w:w="9091" w:type="dxa"/>
            <w:gridSpan w:val="4"/>
            <w:noWrap/>
          </w:tcPr>
          <w:p w14:paraId="09670E90" w14:textId="17EAEE97" w:rsidR="00FD47FE" w:rsidRDefault="00FD47FE" w:rsidP="00FD47FE">
            <w:pPr>
              <w:rPr>
                <w:rFonts w:ascii="Calibri" w:hAnsi="Calibri" w:cs="Calibri"/>
                <w:i/>
                <w:iCs/>
                <w:color w:val="000000"/>
                <w:sz w:val="16"/>
                <w:szCs w:val="16"/>
                <w:lang w:val="en-US"/>
              </w:rPr>
            </w:pPr>
            <w:r>
              <w:rPr>
                <w:rFonts w:ascii="Calibri" w:hAnsi="Calibri" w:cs="Calibri"/>
                <w:i/>
                <w:iCs/>
                <w:color w:val="000000"/>
                <w:sz w:val="16"/>
                <w:szCs w:val="16"/>
                <w:lang w:val="en-US"/>
              </w:rPr>
              <w:t xml:space="preserve">BFS = decision on the descriptor by Boruta feature selection </w:t>
            </w:r>
            <w:r>
              <w:rPr>
                <w:rFonts w:ascii="Calibri" w:hAnsi="Calibri" w:cs="Calibri"/>
                <w:i/>
                <w:iCs/>
                <w:color w:val="000000"/>
                <w:sz w:val="16"/>
                <w:szCs w:val="16"/>
                <w:lang w:val="en-US"/>
              </w:rPr>
              <w:fldChar w:fldCharType="begin" w:fldLock="1"/>
            </w:r>
            <w:r w:rsidR="00FB520A">
              <w:rPr>
                <w:rFonts w:ascii="Calibri" w:hAnsi="Calibri" w:cs="Calibri"/>
                <w:i/>
                <w:iCs/>
                <w:color w:val="000000"/>
                <w:sz w:val="16"/>
                <w:szCs w:val="16"/>
                <w:lang w:val="en-US"/>
              </w:rPr>
              <w:instrText>ADDIN CSL_CITATION {"citationItems":[{"id":"ITEM-1","itemData":{"DOI":"10.18637/jss.v036.i11","ISSN":"15487660","abstract":"This article describes a R package Boruta, implementing a novel feature selection algorithm for finding all relevant variables. The algorithm is designed as a wrapper around a Random Forest classification algorithm. It iteratively removes the features which are proved by a statistical test to be less relevant than random probes. The Boruta package provides a convenient interface to the algorithm. The short description of the algorithm and examples of its application are presented.","author":[{"dropping-particle":"","family":"Kursa","given":"Miron B.","non-dropping-particle":"","parse-names":false,"suffix":""},{"dropping-particle":"","family":"Rudnicki","given":"Witold R.","non-dropping-particle":"","parse-names":false,"suffix":""}],"container-title":"Journal of Statistical Software","id":"ITEM-1","issue":"11","issued":{"date-parts":[["2010"]]},"page":"1-13","title":"Feature selection with the boruta package","type":"article-journal","volume":"36"},"uris":["http://www.mendeley.com/documents/?uuid=57fe38cb-aebe-4d86-9de8-6223a5ab3948"]}],"mendeley":{"formattedCitation":"(1)","plainTextFormattedCitation":"(1)","previouslyFormattedCitation":"(1)"},"properties":{"noteIndex":0},"schema":"https://github.com/citation-style-language/schema/raw/master/csl-citation.json"}</w:instrText>
            </w:r>
            <w:r>
              <w:rPr>
                <w:rFonts w:ascii="Calibri" w:hAnsi="Calibri" w:cs="Calibri"/>
                <w:i/>
                <w:iCs/>
                <w:color w:val="000000"/>
                <w:sz w:val="16"/>
                <w:szCs w:val="16"/>
                <w:lang w:val="en-US"/>
              </w:rPr>
              <w:fldChar w:fldCharType="separate"/>
            </w:r>
            <w:r w:rsidRPr="00FD47FE">
              <w:rPr>
                <w:rFonts w:ascii="Calibri" w:hAnsi="Calibri" w:cs="Calibri"/>
                <w:iCs/>
                <w:noProof/>
                <w:color w:val="000000"/>
                <w:sz w:val="16"/>
                <w:szCs w:val="16"/>
                <w:lang w:val="en-US"/>
              </w:rPr>
              <w:t>(1)</w:t>
            </w:r>
            <w:r>
              <w:rPr>
                <w:rFonts w:ascii="Calibri" w:hAnsi="Calibri" w:cs="Calibri"/>
                <w:i/>
                <w:iCs/>
                <w:color w:val="000000"/>
                <w:sz w:val="16"/>
                <w:szCs w:val="16"/>
                <w:lang w:val="en-US"/>
              </w:rPr>
              <w:fldChar w:fldCharType="end"/>
            </w:r>
          </w:p>
          <w:p w14:paraId="226FB0B0" w14:textId="77777777" w:rsidR="00FD47FE" w:rsidRDefault="00FD47FE" w:rsidP="00FD47FE">
            <w:pPr>
              <w:rPr>
                <w:rFonts w:ascii="Calibri" w:hAnsi="Calibri" w:cs="Calibri"/>
                <w:i/>
                <w:iCs/>
                <w:color w:val="000000"/>
                <w:sz w:val="16"/>
                <w:szCs w:val="16"/>
                <w:lang w:val="en-US"/>
              </w:rPr>
            </w:pPr>
            <w:r>
              <w:rPr>
                <w:rFonts w:ascii="Calibri" w:hAnsi="Calibri" w:cs="Calibri"/>
                <w:i/>
                <w:iCs/>
                <w:color w:val="000000"/>
                <w:sz w:val="16"/>
                <w:szCs w:val="16"/>
                <w:lang w:val="en-US"/>
              </w:rPr>
              <w:t>C = confirmed</w:t>
            </w:r>
          </w:p>
          <w:p w14:paraId="405BCCCD" w14:textId="34A5E94D" w:rsidR="00FA5B17" w:rsidRPr="00FD47FE" w:rsidRDefault="00FD47FE" w:rsidP="00FD47FE">
            <w:pPr>
              <w:rPr>
                <w:rFonts w:ascii="Calibri" w:hAnsi="Calibri" w:cs="Calibri"/>
                <w:i/>
                <w:iCs/>
                <w:color w:val="000000"/>
                <w:sz w:val="16"/>
                <w:szCs w:val="16"/>
                <w:lang w:val="en-US"/>
              </w:rPr>
            </w:pPr>
            <w:r>
              <w:rPr>
                <w:rFonts w:ascii="Calibri" w:hAnsi="Calibri" w:cs="Calibri"/>
                <w:i/>
                <w:iCs/>
                <w:color w:val="000000"/>
                <w:sz w:val="16"/>
                <w:szCs w:val="16"/>
                <w:lang w:val="en-US"/>
              </w:rPr>
              <w:t>T = tentative</w:t>
            </w:r>
          </w:p>
        </w:tc>
      </w:tr>
    </w:tbl>
    <w:p w14:paraId="49AB2A4F" w14:textId="77777777" w:rsidR="001E3981" w:rsidRDefault="001E3981" w:rsidP="00A97EA2">
      <w:pPr>
        <w:pStyle w:val="Caption"/>
        <w:rPr>
          <w:rFonts w:ascii="Calibri" w:hAnsi="Calibri" w:cs="Calibri"/>
          <w:b/>
          <w:bCs/>
          <w:color w:val="auto"/>
          <w:lang w:val="en-US"/>
        </w:rPr>
      </w:pPr>
    </w:p>
    <w:p w14:paraId="392AD4B5" w14:textId="77777777" w:rsidR="00535EEF" w:rsidRPr="00535EEF" w:rsidRDefault="00535EEF" w:rsidP="00535EEF">
      <w:pPr>
        <w:rPr>
          <w:lang w:val="en-US"/>
        </w:rPr>
        <w:sectPr w:rsidR="00535EEF" w:rsidRPr="00535EEF" w:rsidSect="00535EEF">
          <w:pgSz w:w="11906" w:h="16838"/>
          <w:pgMar w:top="1417" w:right="1417" w:bottom="1417" w:left="1417" w:header="708" w:footer="708" w:gutter="0"/>
          <w:cols w:space="708"/>
          <w:docGrid w:linePitch="360"/>
        </w:sectPr>
      </w:pPr>
    </w:p>
    <w:p w14:paraId="21F7936C" w14:textId="1457BD3E" w:rsidR="008F7757" w:rsidRPr="00A97EA2" w:rsidRDefault="00E85898" w:rsidP="008F7757">
      <w:pPr>
        <w:pStyle w:val="Caption"/>
        <w:keepNext/>
        <w:rPr>
          <w:rFonts w:ascii="Calibri" w:hAnsi="Calibri" w:cs="Calibri"/>
          <w:b/>
          <w:bCs/>
          <w:color w:val="auto"/>
          <w:lang w:val="en-US"/>
        </w:rPr>
      </w:pPr>
      <w:r w:rsidRPr="00A97EA2">
        <w:rPr>
          <w:rFonts w:ascii="Calibri" w:hAnsi="Calibri" w:cs="Calibri"/>
          <w:b/>
          <w:bCs/>
          <w:color w:val="auto"/>
          <w:lang w:val="en-US"/>
        </w:rPr>
        <w:lastRenderedPageBreak/>
        <w:t>Supplementary t</w:t>
      </w:r>
      <w:r w:rsidR="008F7757" w:rsidRPr="00A97EA2">
        <w:rPr>
          <w:rFonts w:ascii="Calibri" w:hAnsi="Calibri" w:cs="Calibri"/>
          <w:b/>
          <w:bCs/>
          <w:color w:val="auto"/>
          <w:lang w:val="en-US"/>
        </w:rPr>
        <w:t xml:space="preserve">able </w:t>
      </w:r>
      <w:r w:rsidR="00FB520A">
        <w:rPr>
          <w:rFonts w:ascii="Calibri" w:hAnsi="Calibri" w:cs="Calibri"/>
          <w:b/>
          <w:bCs/>
          <w:color w:val="auto"/>
          <w:lang w:val="en-US"/>
        </w:rPr>
        <w:t>2</w:t>
      </w:r>
      <w:r w:rsidR="008F7757" w:rsidRPr="00A97EA2">
        <w:rPr>
          <w:rFonts w:ascii="Calibri" w:hAnsi="Calibri" w:cs="Calibri"/>
          <w:b/>
          <w:bCs/>
          <w:color w:val="auto"/>
          <w:lang w:val="en-US"/>
        </w:rPr>
        <w:t>. List of included drugs with the observed and predicted K</w:t>
      </w:r>
      <w:r w:rsidR="008F7757" w:rsidRPr="00A97EA2">
        <w:rPr>
          <w:rFonts w:ascii="Calibri" w:hAnsi="Calibri" w:cs="Calibri"/>
          <w:b/>
          <w:bCs/>
          <w:color w:val="auto"/>
          <w:vertAlign w:val="subscript"/>
          <w:lang w:val="en-US"/>
        </w:rPr>
        <w:t>p,uu,BBB</w:t>
      </w:r>
      <w:r w:rsidR="008F7757" w:rsidRPr="00A97EA2">
        <w:rPr>
          <w:rFonts w:ascii="Calibri" w:hAnsi="Calibri" w:cs="Calibri"/>
          <w:b/>
          <w:bCs/>
          <w:color w:val="auto"/>
          <w:lang w:val="en-US"/>
        </w:rPr>
        <w:t xml:space="preserve"> values</w:t>
      </w:r>
      <w:r w:rsidR="008308A7">
        <w:rPr>
          <w:rFonts w:ascii="Calibri" w:hAnsi="Calibri" w:cs="Calibri"/>
          <w:b/>
          <w:bCs/>
          <w:color w:val="auto"/>
          <w:lang w:val="en-US"/>
        </w:rPr>
        <w:t xml:space="preserve"> within the </w:t>
      </w:r>
      <w:r w:rsidR="008308A7" w:rsidRPr="00AD5A62">
        <w:rPr>
          <w:rFonts w:ascii="Calibri" w:hAnsi="Calibri" w:cs="Calibri"/>
          <w:b/>
          <w:bCs/>
          <w:color w:val="0070C0"/>
          <w:lang w:val="en-US"/>
        </w:rPr>
        <w:t>training set.</w:t>
      </w:r>
    </w:p>
    <w:tbl>
      <w:tblPr>
        <w:tblStyle w:val="TableGrid"/>
        <w:tblW w:w="89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559"/>
        <w:gridCol w:w="1417"/>
        <w:gridCol w:w="3884"/>
      </w:tblGrid>
      <w:tr w:rsidR="00D85E6C" w:rsidRPr="00A97EA2" w14:paraId="50E94D16" w14:textId="77777777" w:rsidTr="00543737">
        <w:tc>
          <w:tcPr>
            <w:tcW w:w="2127" w:type="dxa"/>
            <w:vMerge w:val="restart"/>
          </w:tcPr>
          <w:p w14:paraId="31DF5267" w14:textId="77777777" w:rsidR="00D85E6C" w:rsidRPr="00A97EA2" w:rsidRDefault="00D85E6C" w:rsidP="00C20571">
            <w:pPr>
              <w:rPr>
                <w:rFonts w:ascii="Calibri" w:hAnsi="Calibri" w:cs="Calibri"/>
                <w:b/>
                <w:bCs/>
                <w:sz w:val="20"/>
                <w:szCs w:val="20"/>
                <w:lang w:val="en-US"/>
              </w:rPr>
            </w:pPr>
            <w:r w:rsidRPr="00A97EA2">
              <w:rPr>
                <w:rFonts w:ascii="Calibri" w:hAnsi="Calibri" w:cs="Calibri"/>
                <w:b/>
                <w:bCs/>
                <w:sz w:val="20"/>
                <w:szCs w:val="20"/>
                <w:lang w:val="en-US"/>
              </w:rPr>
              <w:t>Drug</w:t>
            </w:r>
          </w:p>
        </w:tc>
        <w:tc>
          <w:tcPr>
            <w:tcW w:w="2976" w:type="dxa"/>
            <w:gridSpan w:val="2"/>
          </w:tcPr>
          <w:p w14:paraId="5C42C616" w14:textId="77777777" w:rsidR="00D85E6C" w:rsidRPr="00A97EA2" w:rsidRDefault="00D85E6C" w:rsidP="00C20571">
            <w:pPr>
              <w:rPr>
                <w:rFonts w:ascii="Calibri" w:hAnsi="Calibri" w:cs="Calibri"/>
                <w:b/>
                <w:bCs/>
                <w:sz w:val="20"/>
                <w:szCs w:val="20"/>
                <w:lang w:val="en-US"/>
              </w:rPr>
            </w:pPr>
            <w:r w:rsidRPr="00A97EA2">
              <w:rPr>
                <w:rFonts w:ascii="Calibri" w:hAnsi="Calibri" w:cs="Calibri"/>
                <w:b/>
                <w:bCs/>
                <w:sz w:val="20"/>
                <w:szCs w:val="20"/>
                <w:lang w:val="en-US"/>
              </w:rPr>
              <w:t>K</w:t>
            </w:r>
            <w:r w:rsidRPr="00A97EA2">
              <w:rPr>
                <w:rFonts w:ascii="Calibri" w:hAnsi="Calibri" w:cs="Calibri"/>
                <w:b/>
                <w:bCs/>
                <w:sz w:val="20"/>
                <w:szCs w:val="20"/>
                <w:vertAlign w:val="subscript"/>
                <w:lang w:val="en-US"/>
              </w:rPr>
              <w:t>p,uu,BBB</w:t>
            </w:r>
          </w:p>
        </w:tc>
        <w:tc>
          <w:tcPr>
            <w:tcW w:w="3884" w:type="dxa"/>
            <w:vMerge w:val="restart"/>
          </w:tcPr>
          <w:p w14:paraId="08B633AE" w14:textId="77777777" w:rsidR="00D85E6C" w:rsidRPr="00A97EA2" w:rsidRDefault="00D85E6C" w:rsidP="00C20571">
            <w:pPr>
              <w:rPr>
                <w:rFonts w:ascii="Calibri" w:hAnsi="Calibri" w:cs="Calibri"/>
                <w:b/>
                <w:bCs/>
                <w:sz w:val="20"/>
                <w:szCs w:val="20"/>
                <w:lang w:val="en-US"/>
              </w:rPr>
            </w:pPr>
            <w:r w:rsidRPr="00A97EA2">
              <w:rPr>
                <w:rFonts w:ascii="Calibri" w:hAnsi="Calibri" w:cs="Calibri"/>
                <w:b/>
                <w:bCs/>
                <w:sz w:val="20"/>
                <w:szCs w:val="20"/>
                <w:lang w:val="en-US"/>
              </w:rPr>
              <w:t>Ref</w:t>
            </w:r>
          </w:p>
        </w:tc>
      </w:tr>
      <w:tr w:rsidR="00D85E6C" w:rsidRPr="00A97EA2" w14:paraId="65849D32" w14:textId="77777777" w:rsidTr="00543737">
        <w:tc>
          <w:tcPr>
            <w:tcW w:w="2127" w:type="dxa"/>
            <w:vMerge/>
            <w:tcBorders>
              <w:bottom w:val="single" w:sz="18" w:space="0" w:color="auto"/>
            </w:tcBorders>
          </w:tcPr>
          <w:p w14:paraId="213F2BA5" w14:textId="77777777" w:rsidR="00D85E6C" w:rsidRPr="00A97EA2" w:rsidRDefault="00D85E6C" w:rsidP="00C20571">
            <w:pPr>
              <w:rPr>
                <w:rFonts w:ascii="Calibri" w:hAnsi="Calibri" w:cs="Calibri"/>
                <w:sz w:val="20"/>
                <w:szCs w:val="20"/>
                <w:lang w:val="en-US"/>
              </w:rPr>
            </w:pPr>
          </w:p>
        </w:tc>
        <w:tc>
          <w:tcPr>
            <w:tcW w:w="1559" w:type="dxa"/>
            <w:tcBorders>
              <w:bottom w:val="single" w:sz="18" w:space="0" w:color="auto"/>
            </w:tcBorders>
          </w:tcPr>
          <w:p w14:paraId="5D1ABE6A"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Predicted</w:t>
            </w:r>
          </w:p>
        </w:tc>
        <w:tc>
          <w:tcPr>
            <w:tcW w:w="1417" w:type="dxa"/>
            <w:tcBorders>
              <w:bottom w:val="single" w:sz="18" w:space="0" w:color="auto"/>
            </w:tcBorders>
          </w:tcPr>
          <w:p w14:paraId="6607D06E"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Observed</w:t>
            </w:r>
          </w:p>
        </w:tc>
        <w:tc>
          <w:tcPr>
            <w:tcW w:w="3884" w:type="dxa"/>
            <w:vMerge/>
            <w:tcBorders>
              <w:bottom w:val="single" w:sz="18" w:space="0" w:color="auto"/>
            </w:tcBorders>
          </w:tcPr>
          <w:p w14:paraId="54D409B1" w14:textId="77777777" w:rsidR="00D85E6C" w:rsidRPr="00A97EA2" w:rsidRDefault="00D85E6C" w:rsidP="00C20571">
            <w:pPr>
              <w:rPr>
                <w:rFonts w:ascii="Calibri" w:hAnsi="Calibri" w:cs="Calibri"/>
                <w:sz w:val="20"/>
                <w:szCs w:val="20"/>
                <w:lang w:val="en-US"/>
              </w:rPr>
            </w:pPr>
          </w:p>
        </w:tc>
      </w:tr>
      <w:tr w:rsidR="00D85E6C" w:rsidRPr="00A97EA2" w14:paraId="5A50D342" w14:textId="77777777" w:rsidTr="00543737">
        <w:tc>
          <w:tcPr>
            <w:tcW w:w="2127" w:type="dxa"/>
          </w:tcPr>
          <w:p w14:paraId="5E4A3B82"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acyclovir*</w:t>
            </w:r>
          </w:p>
        </w:tc>
        <w:tc>
          <w:tcPr>
            <w:tcW w:w="1559" w:type="dxa"/>
          </w:tcPr>
          <w:p w14:paraId="2079ACDD" w14:textId="3D078EEC" w:rsidR="00F6138D"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0.17</w:t>
            </w:r>
          </w:p>
        </w:tc>
        <w:tc>
          <w:tcPr>
            <w:tcW w:w="1417" w:type="dxa"/>
          </w:tcPr>
          <w:p w14:paraId="76E957F3"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0.316</w:t>
            </w:r>
          </w:p>
        </w:tc>
        <w:tc>
          <w:tcPr>
            <w:tcW w:w="3884" w:type="dxa"/>
          </w:tcPr>
          <w:p w14:paraId="70DFF1EC" w14:textId="06E6CCAC"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{"citationItems":[{"id":"ITEM-1","itemData":{"DOI":"10.1007/s13318-021-00733-w","ISBN":"0123456789","ISSN":"21070180","PMID":"35112329","abstract":"Background and Objective: Acyclovir is effective in treating herpes simplex virus infections of the central nervous system. The purpose of this study was to investigate the interactions between acyclovir and the efflux pumps P-glycoprotein (P-gp), breast cancer resistance protein (Bcrp), multidrug resistance protein 2 (Mrp2), and organic anion transporter 3 (Oat3) at the blood–brain barrier (BBB). Methods: Acyclovir concentrations in the blood and brain were evaluated by microdialysis and high-performance liquid chromatography. Acyclovir pharmacokinetic parameters, including the area under the unbound blood concentration–time curve (AUCu,blood), the area under the unbound brain concentration–time curve (AUCu,brain), and the ratio of AUCu,brain to AUCu,blood (Kp.uu.brain), were evaluated in the presence and absence of elacridar (P-gp/Bcrp inhibitor, 7.5 mg/kg), tariquidar (P-gp/Bcrp inhibitor, 7.5 mg/kg), MK571 (Mrp2 inhibitor, 7.5 mg/kg), cyclosporine (P-gp/Bcrp/Mrp2 inhibitor, 25 mg/kg), and probenecid (Oat3 inhibitor, 50 mg/kg). Results: The average AUCu,blood, AUCu,brain, and Kp.uu.brain in rats who received acyclovir (25 mg/kg, intravenous) alone were 1377.7 min · μg/ml, 435.4 min · μg/ml, and 31.6%, respectively. Probenecid drastically increased the AUCu,blood of acyclovir 1.73-fold, whereas coadministration with elacridar, tariquidar, MK571, and cyclosporine did not alter the blood pharmacokinetic parameters of acyclovir. Elacridar, tariquidar, MK571, cyclosporine, and probenecid significantly increased the AUCu,brain of acyclovir 1.51-, 1.54-, 1.47-, 1.95-, and 2.34-fold, respectively. Additionally, the Kp.uu.brain of acyclovir markedly increased 1.48-, 1.63-, 1.39-, 1.90-, and 1.35-fold following elacridar, tariquidar, MK571, cyclosporine, and probenecid administration, respectively. Conclusion: The present study demonstrated that P-gp, Bcrp, Mrp2, and Oat3 inhibition increased the penetration of acyclovir across the BBB, supporting the hypothesis that these efflux pumps restrict the distribution of acyclovir in the brain.","author":[{"dropping-particle":"","family":"Shan","given":"Yuheng","non-dropping-particle":"","parse-names":false,"suffix":""},{"dropping-particle":"","family":"Cen","given":"Yuying","non-dropping-particle":"","parse-names":false,"suffix":""},{"dropping-particle":"","family":"Zhang","given":"Yanjin","non-dropping-particle":"","parse-names":false,"suffix":""},{"dropping-particle":"","family":"Tan","given":"Ruishu","non-dropping-particle":"","parse-names":false,"suffix":""},{"dropping-particle":"","family":"Zhao","given":"Jiahua","non-dropping-particle":"","parse-names":false,"suffix":""},{"dropping-particle":"","family":"Nie","given":"Zhiyong","non-dropping-particle":"","parse-names":false,"suffix":""},{"dropping-particle":"","family":"Zhang","given":"Jiatang","non-dropping-particle":"","parse-names":false,"suffix":""},{"dropping-particle":"","family":"Yu","given":"Shengyuan","non-dropping-particle":"","parse-names":false,"suffix":""}],"container-title":"European Journal of Drug Metabolism and Pharmacokinetics","id":"ITEM-1","issue":"2","issued":{"date-parts":[["2022"]]},"page":"279-289","publisher":"Springer International Publishing","title":"Acyclovir Brain Disposition: Interactions with P-gp, Bcrp, Mrp2, and Oat3 at the Blood–Brain Barrier","type":"article-journal","volume":"47"},"uris":["http://www.mendeley.com/documents/?uuid=30fca3f0-4d15-45d0-9197-19eeb1ba1d1f"]}],"mendeley":{"formattedCitation":"(2)","plainTextFormattedCitation":"(2)","previouslyFormattedCitation":"(2)"},"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(2)</w:t>
            </w:r>
            <w:r w:rsidRPr="00A97EA2">
              <w:rPr>
                <w:rFonts w:ascii="Calibri" w:hAnsi="Calibri" w:cs="Calibri"/>
                <w:sz w:val="20"/>
                <w:szCs w:val="20"/>
                <w:lang w:val="en-US"/>
              </w:rPr>
              <w:fldChar w:fldCharType="end"/>
            </w:r>
          </w:p>
        </w:tc>
      </w:tr>
      <w:tr w:rsidR="00D85E6C" w:rsidRPr="00A97EA2" w14:paraId="66160BC7" w14:textId="77777777" w:rsidTr="00543737">
        <w:tc>
          <w:tcPr>
            <w:tcW w:w="2127" w:type="dxa"/>
          </w:tcPr>
          <w:p w14:paraId="69C573CD" w14:textId="77777777" w:rsidR="00D85E6C" w:rsidRPr="00A97EA2" w:rsidRDefault="00D85E6C" w:rsidP="00C20571">
            <w:pPr>
              <w:rPr>
                <w:rFonts w:ascii="Calibri" w:hAnsi="Calibri" w:cs="Calibri"/>
                <w:sz w:val="20"/>
                <w:szCs w:val="20"/>
                <w:lang w:val="en-US"/>
              </w:rPr>
            </w:pPr>
            <w:proofErr w:type="spellStart"/>
            <w:r w:rsidRPr="00A97EA2">
              <w:rPr>
                <w:rFonts w:ascii="Calibri" w:hAnsi="Calibri" w:cs="Calibri"/>
                <w:sz w:val="20"/>
                <w:szCs w:val="20"/>
                <w:lang w:val="en-US"/>
              </w:rPr>
              <w:t>alovudine</w:t>
            </w:r>
            <w:proofErr w:type="spellEnd"/>
          </w:p>
        </w:tc>
        <w:tc>
          <w:tcPr>
            <w:tcW w:w="1559" w:type="dxa"/>
          </w:tcPr>
          <w:p w14:paraId="1130BC1B" w14:textId="2DAA0598"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0.18</w:t>
            </w:r>
          </w:p>
        </w:tc>
        <w:tc>
          <w:tcPr>
            <w:tcW w:w="1417" w:type="dxa"/>
          </w:tcPr>
          <w:p w14:paraId="15AD243D"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0.164</w:t>
            </w:r>
          </w:p>
        </w:tc>
        <w:tc>
          <w:tcPr>
            <w:tcW w:w="3884" w:type="dxa"/>
          </w:tcPr>
          <w:p w14:paraId="2E53F621" w14:textId="3BCE23F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{"citationItems":[{"id":"ITEM-1","itemData":{"author":[{"dropping-particle":"","family":"Stahle L","given":"Borg N","non-dropping-particle":"","parse-names":false,"suffix":""}],"container-title":"Life Sciences","id":"ITEM-1","issue":"19","issued":{"date-parts":[["2000"]]},"page":"1805-1816","title":"Transport of alovudine (3′-fluorothymidine) into the brain and the cerebrospinal fluid of the rat, studied by microdialysis","type":"article-journal","volume":"66"},"uris":["http://www.mendeley.com/documents/?uuid=2c21f979-bd5a-4687-89eb-c170b9e13456"]}],"mendeley":{"formattedCitation":"(3)","plainTextFormattedCitation":"(3)","previouslyFormattedCitation":"(3)"},"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(3)</w:t>
            </w:r>
            <w:r w:rsidRPr="00A97EA2">
              <w:rPr>
                <w:rFonts w:ascii="Calibri" w:hAnsi="Calibri" w:cs="Calibri"/>
                <w:sz w:val="20"/>
                <w:szCs w:val="20"/>
                <w:lang w:val="en-US"/>
              </w:rPr>
              <w:fldChar w:fldCharType="end"/>
            </w:r>
          </w:p>
        </w:tc>
      </w:tr>
      <w:tr w:rsidR="00D85E6C" w:rsidRPr="00A97EA2" w14:paraId="73E2C9E6" w14:textId="77777777" w:rsidTr="00543737">
        <w:tc>
          <w:tcPr>
            <w:tcW w:w="2127" w:type="dxa"/>
          </w:tcPr>
          <w:p w14:paraId="76CECF8B" w14:textId="77777777" w:rsidR="00D85E6C" w:rsidRPr="00A97EA2" w:rsidRDefault="00D85E6C" w:rsidP="00C20571">
            <w:pPr>
              <w:rPr>
                <w:rFonts w:ascii="Calibri" w:hAnsi="Calibri" w:cs="Calibri"/>
                <w:sz w:val="20"/>
                <w:szCs w:val="20"/>
                <w:lang w:val="en-US"/>
              </w:rPr>
            </w:pPr>
            <w:proofErr w:type="spellStart"/>
            <w:r w:rsidRPr="00A97EA2">
              <w:rPr>
                <w:rFonts w:ascii="Calibri" w:hAnsi="Calibri" w:cs="Calibri"/>
                <w:sz w:val="20"/>
                <w:szCs w:val="20"/>
                <w:lang w:val="en-US"/>
              </w:rPr>
              <w:t>alprenolol</w:t>
            </w:r>
            <w:proofErr w:type="spellEnd"/>
          </w:p>
        </w:tc>
        <w:tc>
          <w:tcPr>
            <w:tcW w:w="1559" w:type="dxa"/>
          </w:tcPr>
          <w:p w14:paraId="647C0B6E" w14:textId="490B3C61"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0.61</w:t>
            </w:r>
          </w:p>
        </w:tc>
        <w:tc>
          <w:tcPr>
            <w:tcW w:w="1417" w:type="dxa"/>
          </w:tcPr>
          <w:p w14:paraId="05CF65E3"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0.77</w:t>
            </w:r>
          </w:p>
        </w:tc>
        <w:tc>
          <w:tcPr>
            <w:tcW w:w="3884" w:type="dxa"/>
          </w:tcPr>
          <w:p w14:paraId="008470AA" w14:textId="66271C66"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{"citationItems":[{"id":"ITEM-1","itemData":{"DOI":"10.1016/J.IJPHARM.2010.09.016","ISSN":"1873-3476","PMID":"20920560","abstract":"Although several in vitro models have been reported to predict the ability of drug candidates to cross the blood-brain barrier, their real in vivo relevance has rarely been evaluated. The present study demonstrates the in vivo relevance of simple unidirectional permeability coefficient (Papp) determined in three in vitro cell models (BBMEC, Caco-2 and MDCKII-MDR1) for nine model drugs (alprenolol, atenolol, metoprolol, pindolol, entacapone, tolcapone, baclofen, midazolam and ondansetron) by using dual probe microdialysis in the rat brain and blood as an in vivo measure. There was a clear correlation between the Papp and the unbound brain/blood ratios determined by in vivo microdialysis (BBMEC r=0.99, Caco-2 r=0.91 and MDCKII-MDR1 r=0.85). Despite of the substantial differences in the absolute in vitro Papp values and regardless of the method used (side-by-side vs. filter insert system), the capability of the in vitro models to rank order drugs was similar. By this approach, thus, the additional value offered by the true endothelial cell model (BBMEC) remains obscure. The present results also highlight the need of both in vitro as well as in vivo methods in characterization of blood-brain barrier passage of new drug candidates. © 2010 Elsevier B.V.","author":[{"dropping-particle":"","family":"Hakkarainen","given":"Jenni J.","non-dropping-particle":"","parse-names":false,"suffix":""},{"dropping-particle":"","family":"Jalkanen","given":"Aaro J.","non-dropping-particle":"","parse-names":false,"suffix":""},{"dropping-particle":"","family":"Kääriäinen","given":"Tiina M.","non-dropping-particle":"","parse-names":false,"suffix":""},{"dropping-particle":"","family":"Keski-Rahkonen","given":"Pekka","non-dropping-particle":"","parse-names":false,"suffix":""},{"dropping-particle":"","family":"Venäläinen","given":"Tetta","non-dropping-particle":"","parse-names":false,"suffix":""},{"dropping-particle":"","family":"Hokkanen","given":"Juho","non-dropping-particle":"","parse-names":false,"suffix":""},{"dropping-particle":"","family":"Mönkkönen","given":"Jukka","non-dropping-particle":"","parse-names":false,"suffix":""},{"dropping-particle":"","family":"Suhonen","given":"Marjukka","non-dropping-particle":"","parse-names":false,"suffix":""},{"dropping-particle":"","family":"Forsberg","given":"Markus M.","non-dropping-particle":"","parse-names":false,"suffix":""}],"container-title":"International journal of pharmaceutics","id":"ITEM-1","issue":"1-2","issued":{"date-parts":[["2010","12"]]},"page":"27-36","publisher":"Int J Pharm","title":"Comparison of in vitro cell models in predicting in vivo brain entry of drugs","type":"article-journal","volume":"402"},"uris":["http://www.mendeley.com/documents/?uuid=868a41a3-2bbd-4732-ad2c-2054108ce6c9"]}],"mendeley":{"formattedCitation":"(4)","plainTextFormattedCitation":"(4)","previouslyFormattedCitation":"(4)"},"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(4)</w:t>
            </w:r>
            <w:r w:rsidRPr="00A97EA2">
              <w:rPr>
                <w:rFonts w:ascii="Calibri" w:hAnsi="Calibri" w:cs="Calibri"/>
                <w:sz w:val="20"/>
                <w:szCs w:val="20"/>
                <w:lang w:val="en-US"/>
              </w:rPr>
              <w:fldChar w:fldCharType="end"/>
            </w:r>
          </w:p>
        </w:tc>
      </w:tr>
      <w:tr w:rsidR="00D85E6C" w:rsidRPr="00A97EA2" w14:paraId="02BF4A16" w14:textId="77777777" w:rsidTr="00543737">
        <w:tc>
          <w:tcPr>
            <w:tcW w:w="2127" w:type="dxa"/>
          </w:tcPr>
          <w:p w14:paraId="5E6879D6" w14:textId="77777777" w:rsidR="00D85E6C" w:rsidRPr="00A97EA2" w:rsidRDefault="00D85E6C" w:rsidP="00C20571">
            <w:pPr>
              <w:rPr>
                <w:rFonts w:ascii="Calibri" w:hAnsi="Calibri" w:cs="Calibri"/>
                <w:sz w:val="20"/>
                <w:szCs w:val="20"/>
                <w:lang w:val="en-US"/>
              </w:rPr>
            </w:pPr>
            <w:proofErr w:type="spellStart"/>
            <w:r w:rsidRPr="00A97EA2">
              <w:rPr>
                <w:rFonts w:ascii="Calibri" w:hAnsi="Calibri" w:cs="Calibri"/>
                <w:sz w:val="20"/>
                <w:szCs w:val="20"/>
                <w:lang w:val="en-US"/>
              </w:rPr>
              <w:t>ambroxol</w:t>
            </w:r>
            <w:proofErr w:type="spellEnd"/>
          </w:p>
        </w:tc>
        <w:tc>
          <w:tcPr>
            <w:tcW w:w="1559" w:type="dxa"/>
          </w:tcPr>
          <w:p w14:paraId="2DB8458B" w14:textId="0B979EA1"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0.39</w:t>
            </w:r>
          </w:p>
        </w:tc>
        <w:tc>
          <w:tcPr>
            <w:tcW w:w="1417" w:type="dxa"/>
          </w:tcPr>
          <w:p w14:paraId="1150B6A6"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0.3</w:t>
            </w:r>
          </w:p>
        </w:tc>
        <w:tc>
          <w:tcPr>
            <w:tcW w:w="3884" w:type="dxa"/>
          </w:tcPr>
          <w:p w14:paraId="607BA6EA" w14:textId="458D45EA"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{"citationItems":[{"id":"ITEM-1","itemData":{"DOI":"10.1016/J.JEP.2020.113764","ISSN":"1872-7573","PMID":"33383115","abstract":"Ethnopharmacological relevance: Ambroxol elevates glucocerebrosidase (GCase) activity and reduces nigrostriatal alpha-synuclein burden to better ameliorate motor function in Parkinson's disease (PD). Polygala tenuifolia is a potential alternative botanical medicine for the treatment of many nonmotor symptoms of PD commonly used in Taiwanese patients. Co-administration of these two medicines pose potential herb-drug interaction. Aim of the study: Our hypothesis is that ambroxol and P. tenuifolia may potentially possess herbal drug synergetic effects in the blood and brain. Materials and methods: To investigate this hypothesis, a multiple microdialysis system coupled with validated ultra-high performance liquid chromatography−tandem mass spectrometry (UPLC−MS/MS) method was developed for rat blood and brain samples. Experimental rats were divided into three groups: low-dose and high-dose ambroxol alone (10 mg/kg, i.v. and 30 mg/kg, i.v., respectively) and ambroxol (10 mg/kg, i.v.) pretreated with P. tenuifolia extract (1 g/kg, p.o. for 5 consecutive days). Results: Ambroxol easily penetrated into the brain and reached a maximum concentration in the striatum at approximately 60 min after low- and high-dose treatment. The area under the concentration curve (AUC) ratio increased proportionally at the doses of 10 and 30 mg/kg, which suggested a linear pharmacokinetic manner of ambroxol. The brain penetration of ambroxol was approximately 30–34%, which was defined as the ambroxol AUC blood-to-brain distribution ratio (AUCbrain/AUCblood). The P. tenuifolia extract did not significantly alter the pharmacokinetics of ambroxol in the blood and brain of rats. Conclusion: The present study suggests that it is safety without pharmacokinetic interactions for this dosing regimen to use P. tenuifolia extract and ambroxol together.","author":[{"dropping-particle":"","family":"Yang","given":"Chao Nan","non-dropping-particle":"","parse-names":false,"suffix":""},{"dropping-particle":"","family":"Peng","given":"Wen Ya","non-dropping-particle":"","parse-names":false,"suffix":""},{"dropping-particle":"","family":"Lin","given":"Lie Chwen","non-dropping-particle":"","parse-names":false,"suffix":""},{"dropping-particle":"","family":"Tsai","given":"Tung Hu","non-dropping-particle":"","parse-names":false,"suffix":""}],"container-title":"Journal of ethnopharmacology","id":"ITEM-1","issued":{"date-parts":[["2021","4"]]},"publisher":"J Ethnopharmacol","title":"Protein unbound pharmacokinetics of ambroxol in the blood and brains of rats and the interaction of ambroxol with Polygala tenuifolia by multiple microdialysis","type":"article-journal","volume":"269"},"uris":["http://www.mendeley.com/documents/?uuid=a713fd9b-d07b-47be-8386-bc4f3baa726d"]}],"mendeley":{"formattedCitation":"(5)","plainTextFormattedCitation":"(5)","previouslyFormattedCitation":"(5)"},"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(5)</w:t>
            </w:r>
            <w:r w:rsidRPr="00A97EA2">
              <w:rPr>
                <w:rFonts w:ascii="Calibri" w:hAnsi="Calibri" w:cs="Calibri"/>
                <w:sz w:val="20"/>
                <w:szCs w:val="20"/>
                <w:lang w:val="en-US"/>
              </w:rPr>
              <w:fldChar w:fldCharType="end"/>
            </w:r>
          </w:p>
        </w:tc>
      </w:tr>
      <w:tr w:rsidR="00D85E6C" w:rsidRPr="00A97EA2" w14:paraId="4C95B736" w14:textId="77777777" w:rsidTr="00543737">
        <w:tc>
          <w:tcPr>
            <w:tcW w:w="2127" w:type="dxa"/>
          </w:tcPr>
          <w:p w14:paraId="7F89D0C1"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amprenavir</w:t>
            </w:r>
          </w:p>
        </w:tc>
        <w:tc>
          <w:tcPr>
            <w:tcW w:w="1559" w:type="dxa"/>
          </w:tcPr>
          <w:p w14:paraId="45BE057A" w14:textId="68DB2258"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0.09</w:t>
            </w:r>
          </w:p>
        </w:tc>
        <w:tc>
          <w:tcPr>
            <w:tcW w:w="1417" w:type="dxa"/>
          </w:tcPr>
          <w:p w14:paraId="25E4FE07"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0.076</w:t>
            </w:r>
          </w:p>
        </w:tc>
        <w:tc>
          <w:tcPr>
            <w:tcW w:w="3884" w:type="dxa"/>
          </w:tcPr>
          <w:p w14:paraId="5CF20AD0" w14:textId="10FE926F"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{"citationItems":[{"id":"ITEM-1","itemData":{"DOI":"10.1128/AAC.46.7.2284-2286.2002","ISSN":"0066-4804","PMID":"12069991","abstract":"The goal of this study was to determine the distribution of unbound amprenavir in the central nervous system (CNS) of rats. The concentration of unbound amprenavir in the extracellular fluid of the brain and the blood was examined in the presence and absence of the MDR modulator GF120918 by microdialysis. The brain-to-blood ratio of amprenavir in the absence and presence of GF120918 was found to be significantly different (P &lt; 0.003; 0.076 and 0.617, respectively). The use of the MDR modulator GF120918 could potentially increase the penetration of human immunodeficiency virus protease inhibitors into the CNS.","author":[{"dropping-particle":"","family":"Edwards","given":"Jeffrey E.","non-dropping-particle":"","parse-names":false,"suffix":""},{"dropping-particle":"","family":"Brouwer","given":"Kenneth R.","non-dropping-particle":"","parse-names":false,"suffix":""},{"dropping-particle":"","family":"McNamara","given":"Patrick J.","non-dropping-particle":"","parse-names":false,"suffix":""}],"container-title":"Antimicrobial agents and chemotherapy","id":"ITEM-1","issue":"7","issued":{"date-parts":[["2002"]]},"page":"2284-2286","publisher":"Antimicrob Agents Chemother","title":"GF120918, a P-glycoprotein modulator, increases the concentration of unbound amprenavir in the central nervous system in rats","type":"article-journal","volume":"46"},"uris":["http://www.mendeley.com/documents/?uuid=5f1a9593-9131-4153-9918-035e5ccf3779"]}],"mendeley":{"formattedCitation":"(6)","plainTextFormattedCitation":"(6)","previouslyFormattedCitation":"(6)"},"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(6)</w:t>
            </w:r>
            <w:r w:rsidRPr="00A97EA2">
              <w:rPr>
                <w:rFonts w:ascii="Calibri" w:hAnsi="Calibri" w:cs="Calibri"/>
                <w:sz w:val="20"/>
                <w:szCs w:val="20"/>
                <w:lang w:val="en-US"/>
              </w:rPr>
              <w:fldChar w:fldCharType="end"/>
            </w:r>
          </w:p>
        </w:tc>
      </w:tr>
      <w:tr w:rsidR="00D85E6C" w:rsidRPr="00A97EA2" w14:paraId="3D1171E5" w14:textId="77777777" w:rsidTr="00543737">
        <w:tc>
          <w:tcPr>
            <w:tcW w:w="2127" w:type="dxa"/>
          </w:tcPr>
          <w:p w14:paraId="26A270CE"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antipyrine</w:t>
            </w:r>
          </w:p>
        </w:tc>
        <w:tc>
          <w:tcPr>
            <w:tcW w:w="1559" w:type="dxa"/>
          </w:tcPr>
          <w:p w14:paraId="45AD1365" w14:textId="67F14BF8"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0.86</w:t>
            </w:r>
          </w:p>
        </w:tc>
        <w:tc>
          <w:tcPr>
            <w:tcW w:w="1417" w:type="dxa"/>
          </w:tcPr>
          <w:p w14:paraId="1BCDEDA6"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1.057</w:t>
            </w:r>
          </w:p>
        </w:tc>
        <w:tc>
          <w:tcPr>
            <w:tcW w:w="3884" w:type="dxa"/>
          </w:tcPr>
          <w:p w14:paraId="4622B89E" w14:textId="21DE5253"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{"citationItems":[{"id":"ITEM-1","itemData":{"DOI":"10.1002/PRP2.575","ISSN":"2052-1707","PMID":"32266794","abstract":"In clinical pharmacology, the free drug hypothesis has been widely applied in the interpretation of the relationship between pharmacokinetics and pharmacodynamics (PK/PD). The free drug hypothesis assumes that the unbound drug concentration in blood is the same as that in the site of action at steady state. The objective of this study is to demonstrate whether the free drug hypothesis is universally applicable for all drugs. The unbound concentrations of the 18 compounds in blood and in brain interstitial fluids (ISF) at steady state following constant intravenous infusion were simultaneously monitored up to 6 hours via in vivo microdialysis technique. Based on the permeability and efflux ratio (ER), the test compounds can be divided into two classes. Class I includes the compounds with good membrane permeability that are not substrates of efflux transporters (eg, P-gp, BCRP, and MRPs), whereas Class II includes the compounds that are substrates of efflux transporters. The steady-state unbound drug concentrations in blood, brain, and CSF are quantitatively very similar for Class I compounds, whereas the steady-state unbound concentrations in the brain and CSF are significantly lower than those in blood for Class II compounds. These results strongly suggest that the free drug hypothesis is not universal for all drugs but is only applicable for drugs with good permeability that are not substrates of efflux transporters.","author":[{"dropping-particle":"","family":"Chen","given":"Chun","non-dropping-particle":"","parse-names":false,"suffix":""},{"dropping-particle":"","family":"Zhou","given":"Hongyu","non-dropping-particle":"","parse-names":false,"suffix":""},{"dropping-particle":"","family":"Guan","given":"Chi","non-dropping-particle":"","parse-names":false,"suffix":""},{"dropping-particle":"","family":"Zhang","given":"Huanhuan","non-dropping-particle":"","parse-names":false,"suffix":""},{"dropping-particle":"","family":"Li","given":"Yingying","non-dropping-particle":"","parse-names":false,"suffix":""},{"dropping-particle":"","family":"Jiang","given":"Xue","non-dropping-particle":"","parse-names":false,"suffix":""},{"dropping-particle":"","family":"Dong","given":"Zheng","non-dropping-particle":"","parse-names":false,"suffix":""},{"dropping-particle":"","family":"Tao","given":"Yuanyuan","non-dropping-particle":"","parse-names":false,"suffix":""},{"dropping-particle":"","family":"Du","given":"Juan","non-dropping-particle":"","parse-names":false,"suffix":""},{"dropping-particle":"","family":"Wang","given":"Shuyao","non-dropping-particle":"","parse-names":false,"suffix":""},{"dropping-particle":"","family":"Zhang","given":"Teng","non-dropping-particle":"","parse-names":false,"suffix":""},{"dropping-particle":"","family":"Du","given":"Na","non-dropping-particle":"","parse-names":false,"suffix":""},{"dropping-particle":"","family":"Guo","given":"Junyang","non-dropping-particle":"","parse-names":false,"suffix":""},{"dropping-particle":"","family":"Wu","given":"Yaqiong","non-dropping-particle":"","parse-names":false,"suffix":""},{"dropping-particle":"","family":"Song","given":"Zehai","non-dropping-particle":"","parse-names":false,"suffix":""},{"dropping-particle":"","family":"Luan","given":"Haofei","non-dropping-particle":"","parse-names":false,"suffix":""},{"dropping-particle":"","family":"Wang","given":"Yu","non-dropping-particle":"","parse-names":false,"suffix":""},{"dropping-particle":"","family":"Du","given":"Hongwen","non-dropping-particle":"","parse-names":false,"suffix":""},{"dropping-particle":"","family":"Zhang","given":"Shaofeng","non-dropping-particle":"","parse-names":false,"suffix":""},{"dropping-particle":"","family":"Li","given":"Chen","non-dropping-particle":"","parse-names":false,"suffix":""},{"dropping-particle":"","family":"Chang","given":"Hang","non-dropping-particle":"","parse-names":false,"suffix":""},{"dropping-particle":"","family":"Wang","given":"Tao","non-dropping-particle":"","parse-names":false,"suffix":""}],"container-title":"Pharmacology research &amp; perspectives","id":"ITEM-1","issue":"2","issued":{"date-parts":[["2020","4"]]},"publisher":"Pharmacol Res Perspect","title":"Applicability of free drug hypothesis to drugs with good membrane permeability that are not efflux transporter substrates: A microdialysis study in rats","type":"article-journal","volume":"8"},"uris":["http://www.mendeley.com/documents/?uuid=bd46f417-bc9d-4ffa-86a4-dec45f711fe9"]}],"mendeley":{"formattedCitation":"(7)","plainTextFormattedCitation":"(7)","previouslyFormattedCitation":"(7)"},"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(7)</w:t>
            </w:r>
            <w:r w:rsidRPr="00A97EA2">
              <w:rPr>
                <w:rFonts w:ascii="Calibri" w:hAnsi="Calibri" w:cs="Calibri"/>
                <w:sz w:val="20"/>
                <w:szCs w:val="20"/>
                <w:lang w:val="en-US"/>
              </w:rPr>
              <w:fldChar w:fldCharType="end"/>
            </w:r>
          </w:p>
        </w:tc>
      </w:tr>
      <w:tr w:rsidR="00D85E6C" w:rsidRPr="00A97EA2" w14:paraId="0DC6CBAA" w14:textId="77777777" w:rsidTr="00543737">
        <w:tc>
          <w:tcPr>
            <w:tcW w:w="2127" w:type="dxa"/>
          </w:tcPr>
          <w:p w14:paraId="614B38A1" w14:textId="7AA20406" w:rsidR="00D85E6C" w:rsidRPr="00543737" w:rsidRDefault="00D85E6C" w:rsidP="00C20571">
            <w:pPr>
              <w:rPr>
                <w:rFonts w:ascii="Calibri" w:hAnsi="Calibri" w:cs="Calibri"/>
                <w:sz w:val="20"/>
                <w:szCs w:val="20"/>
                <w:vertAlign w:val="superscript"/>
                <w:lang w:val="en-US"/>
              </w:rPr>
            </w:pPr>
            <w:r w:rsidRPr="00A97EA2">
              <w:rPr>
                <w:rFonts w:ascii="Calibri" w:hAnsi="Calibri" w:cs="Calibri"/>
                <w:sz w:val="20"/>
                <w:szCs w:val="20"/>
                <w:lang w:val="en-US"/>
              </w:rPr>
              <w:t>apomorphine-R</w:t>
            </w:r>
            <w:r w:rsidR="00543737">
              <w:rPr>
                <w:rFonts w:ascii="Calibri" w:hAnsi="Calibri" w:cs="Calibri"/>
                <w:sz w:val="20"/>
                <w:szCs w:val="20"/>
                <w:vertAlign w:val="superscript"/>
                <w:lang w:val="en-US"/>
              </w:rPr>
              <w:t>#</w:t>
            </w:r>
          </w:p>
        </w:tc>
        <w:tc>
          <w:tcPr>
            <w:tcW w:w="1559" w:type="dxa"/>
          </w:tcPr>
          <w:p w14:paraId="2A6CC248" w14:textId="517373AE"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w:t>
            </w:r>
          </w:p>
        </w:tc>
        <w:tc>
          <w:tcPr>
            <w:tcW w:w="1417" w:type="dxa"/>
          </w:tcPr>
          <w:p w14:paraId="29661561"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10.75</w:t>
            </w:r>
          </w:p>
        </w:tc>
        <w:tc>
          <w:tcPr>
            <w:tcW w:w="3884" w:type="dxa"/>
          </w:tcPr>
          <w:p w14:paraId="4C4F002E" w14:textId="323F15EF"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{"citationItems":[{"id":"ITEM-1","itemData":{"DOI":"10.1016/S0014-2999(97)10082-6","ISSN":"00142999","PMID":"9218678","abstract":"Steady-state concentrations of apomorphine enantiomers were measured in the extracellular fluid collected from rat brain striatum by microdialysis. The free and total concentrations of both enantiomers were also measured in plasma as well as the total concentrations in different brain regions (striatum, cortex and cerebellum). We noticed no regional difference in the total concentrations of the two enantiomers. The extracellular concentrations were much lower, amounting to 8% for R(-)-apomorphine and 4% for S(+)-apomorphine, of the total brain tissue concentrations. The microdialysis samples contained 12 times more (R(-)-apomorphine and 5 times more S(+)-apomorphine than the free apomorphine measured in plasma. The extracellular concentrations of R(-)-apomorphine (129 ± 20 pmol/ml) were significantly higher (P = 0.001, n = 6), than those of S(+)-apomorphine (70 ± 10 pmol/ml). These results indicate that both enantiomers of apomorphine concentrate equally in brain cells, and that a stereoselective uptake system could operate for R(-)-apomorphine at the blood-brain barrier level.","author":[{"dropping-particle":"","family":"Sam","given":"Exaud","non-dropping-particle":"","parse-names":false,"suffix":""},{"dropping-particle":"","family":"Sarre","given":"Sophie","non-dropping-particle":"","parse-names":false,"suffix":""},{"dropping-particle":"","family":"Michotte","given":"Yvette","non-dropping-particle":"","parse-names":false,"suffix":""},{"dropping-particle":"","family":"Verbeke","given":"Norbert","non-dropping-particle":"","parse-names":false,"suffix":""}],"container-title":"European Journal of Pharmacology","id":"ITEM-1","issue":"1","issued":{"date-parts":[["1997"]]},"page":"9-15","title":"Distribution of apomorphine enantiomers in plasma, brain tissue and striatal extracellular fluid","type":"article-journal","volume":"329"},"uris":["http://www.mendeley.com/documents/?uuid=6577a8b0-0e44-4b36-945d-0a16ccc0c76f"]}],"mendeley":{"formattedCitation":"(8)","plainTextFormattedCitation":"(8)","previouslyFormattedCitation":"(8)"},"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(8)</w:t>
            </w:r>
            <w:r w:rsidRPr="00A97EA2">
              <w:rPr>
                <w:rFonts w:ascii="Calibri" w:hAnsi="Calibri" w:cs="Calibri"/>
                <w:sz w:val="20"/>
                <w:szCs w:val="20"/>
                <w:lang w:val="en-US"/>
              </w:rPr>
              <w:fldChar w:fldCharType="end"/>
            </w:r>
          </w:p>
        </w:tc>
      </w:tr>
      <w:tr w:rsidR="00D85E6C" w:rsidRPr="00A97EA2" w14:paraId="41DC769D" w14:textId="77777777" w:rsidTr="00543737">
        <w:tc>
          <w:tcPr>
            <w:tcW w:w="2127" w:type="dxa"/>
          </w:tcPr>
          <w:p w14:paraId="7B428783"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atenolol</w:t>
            </w:r>
          </w:p>
        </w:tc>
        <w:tc>
          <w:tcPr>
            <w:tcW w:w="1559" w:type="dxa"/>
          </w:tcPr>
          <w:p w14:paraId="6B5FBEAA" w14:textId="7034E529"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0.15</w:t>
            </w:r>
          </w:p>
        </w:tc>
        <w:tc>
          <w:tcPr>
            <w:tcW w:w="1417" w:type="dxa"/>
          </w:tcPr>
          <w:p w14:paraId="53226B81"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0.16</w:t>
            </w:r>
          </w:p>
        </w:tc>
        <w:tc>
          <w:tcPr>
            <w:tcW w:w="3884" w:type="dxa"/>
          </w:tcPr>
          <w:p w14:paraId="6A83157E" w14:textId="688C1CA5"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{"citationItems":[{"id":"ITEM-1","itemData":{"DOI":"10.1016/J.IJPHARM.2010.09.016","ISSN":"1873-3476","PMID":"20920560","abstract":"Although several in vitro models have been reported to predict the ability of drug candidates to cross the blood-brain barrier, their real in vivo relevance has rarely been evaluated. The present study demonstrates the in vivo relevance of simple unidirectional permeability coefficient (Papp) determined in three in vitro cell models (BBMEC, Caco-2 and MDCKII-MDR1) for nine model drugs (alprenolol, atenolol, metoprolol, pindolol, entacapone, tolcapone, baclofen, midazolam and ondansetron) by using dual probe microdialysis in the rat brain and blood as an in vivo measure. There was a clear correlation between the Papp and the unbound brain/blood ratios determined by in vivo microdialysis (BBMEC r=0.99, Caco-2 r=0.91 and MDCKII-MDR1 r=0.85). Despite of the substantial differences in the absolute in vitro Papp values and regardless of the method used (side-by-side vs. filter insert system), the capability of the in vitro models to rank order drugs was similar. By this approach, thus, the additional value offered by the true endothelial cell model (BBMEC) remains obscure. The present results also highlight the need of both in vitro as well as in vivo methods in characterization of blood-brain barrier passage of new drug candidates. © 2010 Elsevier B.V.","author":[{"dropping-particle":"","family":"Hakkarainen","given":"Jenni J.","non-dropping-particle":"","parse-names":false,"suffix":""},{"dropping-particle":"","family":"Jalkanen","given":"Aaro J.","non-dropping-particle":"","parse-names":false,"suffix":""},{"dropping-particle":"","family":"Kääriäinen","given":"Tiina M.","non-dropping-particle":"","parse-names":false,"suffix":""},{"dropping-particle":"","family":"Keski-Rahkonen","given":"Pekka","non-dropping-particle":"","parse-names":false,"suffix":""},{"dropping-particle":"","family":"Venäläinen","given":"Tetta","non-dropping-particle":"","parse-names":false,"suffix":""},{"dropping-particle":"","family":"Hokkanen","given":"Juho","non-dropping-particle":"","parse-names":false,"suffix":""},{"dropping-particle":"","family":"Mönkkönen","given":"Jukka","non-dropping-particle":"","parse-names":false,"suffix":""},{"dropping-particle":"","family":"Suhonen","given":"Marjukka","non-dropping-particle":"","parse-names":false,"suffix":""},{"dropping-particle":"","family":"Forsberg","given":"Markus M.","non-dropping-particle":"","parse-names":false,"suffix":""}],"container-title":"International journal of pharmaceutics","id":"ITEM-1","issue":"1-2","issued":{"date-parts":[["2010","12"]]},"page":"27-36","publisher":"Int J Pharm","title":"Comparison of in vitro cell models in predicting in vivo brain entry of drugs","type":"article-journal","volume":"402"},"uris":["http://www.mendeley.com/documents/?uuid=868a41a3-2bbd-4732-ad2c-2054108ce6c9"]}],"mendeley":{"formattedCitation":"(4)","plainTextFormattedCitation":"(4)","previouslyFormattedCitation":"(4)"},"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(4)</w:t>
            </w:r>
            <w:r w:rsidRPr="00A97EA2">
              <w:rPr>
                <w:rFonts w:ascii="Calibri" w:hAnsi="Calibri" w:cs="Calibri"/>
                <w:sz w:val="20"/>
                <w:szCs w:val="20"/>
                <w:lang w:val="en-US"/>
              </w:rPr>
              <w:fldChar w:fldCharType="end"/>
            </w:r>
          </w:p>
        </w:tc>
      </w:tr>
      <w:tr w:rsidR="00D85E6C" w:rsidRPr="00A97EA2" w14:paraId="325F87D3" w14:textId="77777777" w:rsidTr="00543737">
        <w:tc>
          <w:tcPr>
            <w:tcW w:w="2127" w:type="dxa"/>
          </w:tcPr>
          <w:p w14:paraId="4FE47162"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baicalein*</w:t>
            </w:r>
          </w:p>
        </w:tc>
        <w:tc>
          <w:tcPr>
            <w:tcW w:w="1559" w:type="dxa"/>
          </w:tcPr>
          <w:p w14:paraId="3B639D0B" w14:textId="40B4CB7E"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0.03</w:t>
            </w:r>
          </w:p>
        </w:tc>
        <w:tc>
          <w:tcPr>
            <w:tcW w:w="1417" w:type="dxa"/>
          </w:tcPr>
          <w:p w14:paraId="778C792C"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0.023</w:t>
            </w:r>
          </w:p>
        </w:tc>
        <w:tc>
          <w:tcPr>
            <w:tcW w:w="3884" w:type="dxa"/>
          </w:tcPr>
          <w:p w14:paraId="63118671" w14:textId="2A6538B4"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{"citationItems":[{"id":"ITEM-1","itemData":{"DOI":"10.1038/sj.bjp.0704959","author":[{"dropping-particle":"","family":"Tsai","given":"T H","non-dropping-particle":"","parse-names":false,"suffix":""},{"dropping-particle":"","family":"Liu","given":"S C","non-dropping-particle":"","parse-names":false,"suffix":""},{"dropping-particle":"","family":"Tsai","given":"P L","non-dropping-particle":"","parse-names":false,"suffix":""},{"dropping-particle":"","family":"Ho","given":"L K","non-dropping-particle":"","parse-names":false,"suffix":""},{"dropping-particle":"","family":"Shum","given":"A Y C","non-dropping-particle":"","parse-names":false,"suffix":""},{"dropping-particle":"","family":"Chen","given":"C F","non-dropping-particle":"","parse-names":false,"suffix":""}],"container-title":"British Journal of Pharmacology","id":"ITEM-1","issued":{"date-parts":[["2002"]]},"page":"1314-1320","title":"The effects of the cyclosporin A , a P-glycoprotein inhibitor , on the pharmacokinetics of baicalein in the rat : a microdialysis study","type":"article-journal","volume":"137"},"uris":["http://www.mendeley.com/documents/?uuid=33e3e932-ce87-4c03-bfe1-68385b92d41e"]}],"mendeley":{"formattedCitation":"(9)","plainTextFormattedCitation":"(9)","previouslyFormattedCitation":"(9)"},"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(9)</w:t>
            </w:r>
            <w:r w:rsidRPr="00A97EA2">
              <w:rPr>
                <w:rFonts w:ascii="Calibri" w:hAnsi="Calibri" w:cs="Calibri"/>
                <w:sz w:val="20"/>
                <w:szCs w:val="20"/>
                <w:lang w:val="en-US"/>
              </w:rPr>
              <w:fldChar w:fldCharType="end"/>
            </w:r>
          </w:p>
        </w:tc>
      </w:tr>
      <w:tr w:rsidR="00D85E6C" w:rsidRPr="00A97EA2" w14:paraId="3ABFDE27" w14:textId="77777777" w:rsidTr="00543737">
        <w:tc>
          <w:tcPr>
            <w:tcW w:w="2127" w:type="dxa"/>
          </w:tcPr>
          <w:p w14:paraId="19925CA0" w14:textId="5A25E058" w:rsidR="00D85E6C" w:rsidRPr="00543737" w:rsidRDefault="00543737" w:rsidP="00C20571">
            <w:pPr>
              <w:rPr>
                <w:rFonts w:ascii="Calibri" w:hAnsi="Calibri" w:cs="Calibri"/>
                <w:sz w:val="20"/>
                <w:szCs w:val="20"/>
                <w:vertAlign w:val="superscript"/>
                <w:lang w:val="en-US"/>
              </w:rPr>
            </w:pPr>
            <w:r>
              <w:rPr>
                <w:rFonts w:ascii="Calibri" w:hAnsi="Calibri" w:cs="Calibri"/>
                <w:sz w:val="20"/>
                <w:szCs w:val="20"/>
                <w:lang w:val="en-US"/>
              </w:rPr>
              <w:t>b</w:t>
            </w:r>
            <w:r w:rsidR="00D85E6C" w:rsidRPr="00A97EA2">
              <w:rPr>
                <w:rFonts w:ascii="Calibri" w:hAnsi="Calibri" w:cs="Calibri"/>
                <w:sz w:val="20"/>
                <w:szCs w:val="20"/>
                <w:lang w:val="en-US"/>
              </w:rPr>
              <w:t>upivacaine</w:t>
            </w:r>
            <w:r>
              <w:rPr>
                <w:rFonts w:ascii="Calibri" w:hAnsi="Calibri" w:cs="Calibri"/>
                <w:sz w:val="20"/>
                <w:szCs w:val="20"/>
                <w:vertAlign w:val="superscript"/>
                <w:lang w:val="en-US"/>
              </w:rPr>
              <w:t>#</w:t>
            </w:r>
          </w:p>
        </w:tc>
        <w:tc>
          <w:tcPr>
            <w:tcW w:w="1559" w:type="dxa"/>
          </w:tcPr>
          <w:p w14:paraId="2ECA1CD1" w14:textId="5529AF2E"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w:t>
            </w:r>
          </w:p>
        </w:tc>
        <w:tc>
          <w:tcPr>
            <w:tcW w:w="1417" w:type="dxa"/>
          </w:tcPr>
          <w:p w14:paraId="1AC050A6"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0.582</w:t>
            </w:r>
          </w:p>
        </w:tc>
        <w:tc>
          <w:tcPr>
            <w:tcW w:w="3884" w:type="dxa"/>
          </w:tcPr>
          <w:p w14:paraId="5EE2B829" w14:textId="4BDAF87B"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{"citationItems":[{"id":"ITEM-1","itemData":{"DOI":"10.1097/ALN.0b013e3181d9cc54","ISSN":"15281175","PMID":"20460991","abstract":"Background: We have compared the pharmacokinetics and brain distribution of lidocaine, racemic bupivacaine (bupivacaine), and levobupivacaine in awake, spontaneously breathing rats. Methods: Lidocaine (0.5 mg • kg-1 • min-1), bupivacaine (0.1 mg • kg-1 • min-1), or levobupivacaine (0.1 mg • kg-1 • min-1) was continuously administered to rats for 2 h (n = 12, each anesthetic). Blood samples and cerebral dialysate were collected during infusion and for 2 h after termination of infusion. Concentrations of anesthetics in the cerebral extracellular fluid were measured by microdialysis using the retrodialysis calibration method. Tissue-to-plasma partition coefficients calculated from the total (protein-bound and unbound) and unbound concentrations in plasma and brain as well as pharmacokinetic parameters in plasma and cerebral extracellular fluid were compared among the three anesthetics. Results: There were no differences in plasma total or unbound concentrations between bupivacaine and levobupivacaine. Concentrations of bupivacaine in the cerebral extracellular fluid were significantly higher than levobupivacaine (P &lt; 0.001). Despite no differences in the ratio of total brain concentration to total plasma concentration among the three anesthetics, the ratio of cerebral extracellular fluid concentration to plasma unbound fraction of bupivacaine was significantly higher than lidocaine and levobupivacaine (0.58 ± 0.09, 0.47 ± 0.18, and 0.40 ± 0.09, respectively; P = 0.03 and 0.003, respectively). Conclusions: Although the ratio of total brain concentration to total plasma concentrations of lidocaine, bupivacaine, and levobupivacaine was similar, concentration ratio of bupivacaine in the cerebral extracellular fluid to plasma unbound fraction was significantly higher than lidocaine and levobupivacaine. Copyright © 2010, the American Society of Anesthesiologists, Inc. Lippincott Williams &amp; Wilkins.","author":[{"dropping-particle":"","family":"Ikeda","given":"Yuko","non-dropping-particle":"","parse-names":false,"suffix":""},{"dropping-particle":"","family":"Oda","given":"Yutaka","non-dropping-particle":"","parse-names":false,"suffix":""},{"dropping-particle":"","family":"Nakamura","given":"Taketo","non-dropping-particle":"","parse-names":false,"suffix":""},{"dropping-particle":"","family":"Takahashi","given":"Ryota","non-dropping-particle":"","parse-names":false,"suffix":""},{"dropping-particle":"","family":"Miyake","given":"Wakako","non-dropping-particle":"","parse-names":false,"suffix":""},{"dropping-particle":"","family":"Hase","given":"Ichiro","non-dropping-particle":"","parse-names":false,"suffix":""},{"dropping-particle":"","family":"Asada","given":"Akira","non-dropping-particle":"","parse-names":false,"suffix":""}],"container-title":"Anesthesiology","id":"ITEM-1","issue":"6","issued":{"date-parts":[["2010"]]},"page":"1396-1403","publisher":"Anesthesiology","title":"Pharmacokinetics of lidocaine, bupivacaine, and levobupivacaine in plasma and brain in awake rats","type":"article-journal","volume":"112"},"uris":["http://www.mendeley.com/documents/?uuid=0226f073-fe96-490d-8392-ecf12a8efd84"]}],"mendeley":{"formattedCitation":"(10)","plainTextFormattedCitation":"(10)","previouslyFormattedCitation":"(10)"},"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(10)</w:t>
            </w:r>
            <w:r w:rsidRPr="00A97EA2">
              <w:rPr>
                <w:rFonts w:ascii="Calibri" w:hAnsi="Calibri" w:cs="Calibri"/>
                <w:sz w:val="20"/>
                <w:szCs w:val="20"/>
                <w:lang w:val="en-US"/>
              </w:rPr>
              <w:fldChar w:fldCharType="end"/>
            </w:r>
          </w:p>
        </w:tc>
      </w:tr>
      <w:tr w:rsidR="00D85E6C" w:rsidRPr="00A97EA2" w14:paraId="3FBFCFA3" w14:textId="77777777" w:rsidTr="00543737">
        <w:tc>
          <w:tcPr>
            <w:tcW w:w="2127" w:type="dxa"/>
          </w:tcPr>
          <w:p w14:paraId="6DBA4F2A"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bupropion</w:t>
            </w:r>
          </w:p>
        </w:tc>
        <w:tc>
          <w:tcPr>
            <w:tcW w:w="1559" w:type="dxa"/>
          </w:tcPr>
          <w:p w14:paraId="6F265158" w14:textId="065127B6"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1.65</w:t>
            </w:r>
          </w:p>
        </w:tc>
        <w:tc>
          <w:tcPr>
            <w:tcW w:w="1417" w:type="dxa"/>
          </w:tcPr>
          <w:p w14:paraId="2C0B8BB7"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3.3</w:t>
            </w:r>
          </w:p>
        </w:tc>
        <w:tc>
          <w:tcPr>
            <w:tcW w:w="3884" w:type="dxa"/>
          </w:tcPr>
          <w:p w14:paraId="51FBB0F0" w14:textId="0C62F0AB"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{"citationItems":[{"id":"ITEM-1","itemData":{"DOI":"10.1124/jpet.116.232447","ISSN":"15210103","abstract":"Assessing the equilibration of the unbound drug concentrations across the blood-brain barrier (Kp,uu) has progressively replaced the partition coefficient based on the ratio of the total concentration in brain tissue to blood (Kp). Here, in vivo brain distribution studies were performed on a set of central nervous system (CNS)'targeted compounds in both rats and P-glycoprotein (P-gp) genetic knockout mice. Several CNS drugs are characterized by Kp,uu values greater than unity, inferring facilitated uptake across the rodent blood-brain barrier (BBB). Examples are shown in which Kp,uu also increases above unity on knockout of P-gp, highlighting the composite nature of this parameter with respect to facilitated BBB uptake, efflux, and passive diffusion. Several molecules with high Kp,uu values share common structural elements, whereas uptake across the BBB appears more prevalent in the CNS-targeted drug set than the chemical templates being generated within the current lead optimization paradigm. Challenges for identifying high Kp,uu compounds are discussed in the context of acute versus steady-state data and cross-species differences. Evidently, there is a need for better predictive models of human brain Kp,uu.","author":[{"dropping-particle":"","family":"Summerfield","given":"Scott G.","non-dropping-particle":"","parse-names":false,"suffix":""},{"dropping-particle":"","family":"Zhang","given":"Yanyan","non-dropping-particle":"","parse-names":false,"suffix":""},{"dropping-particle":"","family":"Liu","given":"Houfu","non-dropping-particle":"","parse-names":false,"suffix":""}],"container-title":"Journal of Pharmacology and Experimental Therapeutics","id":"ITEM-1","issue":"2","issued":{"date-parts":[["2016"]]},"page":"294-305","title":"Examining the uptake of central nervous system drugs and candidates across the blood-brain barrier","type":"article-journal","volume":"358"},"uris":["http://www.mendeley.com/documents/?uuid=1324fe4e-5ca1-4bfc-b5e4-d07da708655e"]}],"mendeley":{"formattedCitation":"(11)","plainTextFormattedCitation":"(11)","previouslyFormattedCitation":"(11)"},"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(11)</w:t>
            </w:r>
            <w:r w:rsidRPr="00A97EA2">
              <w:rPr>
                <w:rFonts w:ascii="Calibri" w:hAnsi="Calibri" w:cs="Calibri"/>
                <w:sz w:val="20"/>
                <w:szCs w:val="20"/>
                <w:lang w:val="en-US"/>
              </w:rPr>
              <w:fldChar w:fldCharType="end"/>
            </w:r>
          </w:p>
        </w:tc>
      </w:tr>
      <w:tr w:rsidR="00D85E6C" w:rsidRPr="005001B1" w14:paraId="4DD5CD14" w14:textId="77777777" w:rsidTr="00543737">
        <w:tc>
          <w:tcPr>
            <w:tcW w:w="2127" w:type="dxa"/>
          </w:tcPr>
          <w:p w14:paraId="10ACE3FD" w14:textId="77777777" w:rsidR="00D85E6C" w:rsidRPr="001E3981" w:rsidRDefault="00D85E6C" w:rsidP="00C20571">
            <w:pPr>
              <w:rPr>
                <w:rFonts w:ascii="Calibri" w:hAnsi="Calibri" w:cs="Calibri"/>
                <w:sz w:val="20"/>
                <w:szCs w:val="20"/>
                <w:lang w:val="fr-FR"/>
              </w:rPr>
            </w:pPr>
            <w:proofErr w:type="spellStart"/>
            <w:r w:rsidRPr="001E3981">
              <w:rPr>
                <w:rFonts w:ascii="Calibri" w:hAnsi="Calibri" w:cs="Calibri"/>
                <w:sz w:val="20"/>
                <w:szCs w:val="20"/>
                <w:lang w:val="fr-FR"/>
              </w:rPr>
              <w:t>camptothecin</w:t>
            </w:r>
            <w:proofErr w:type="spellEnd"/>
          </w:p>
        </w:tc>
        <w:tc>
          <w:tcPr>
            <w:tcW w:w="1559" w:type="dxa"/>
          </w:tcPr>
          <w:p w14:paraId="19557DCD" w14:textId="143CE194" w:rsidR="00D85E6C" w:rsidRPr="009B40F1" w:rsidRDefault="00F6138D" w:rsidP="00C20571">
            <w:pPr>
              <w:rPr>
                <w:rFonts w:ascii="Calibri" w:hAnsi="Calibri" w:cs="Calibri"/>
                <w:color w:val="0070C0"/>
                <w:sz w:val="20"/>
                <w:szCs w:val="20"/>
                <w:lang w:val="fr-FR"/>
              </w:rPr>
            </w:pPr>
            <w:r w:rsidRPr="009B40F1">
              <w:rPr>
                <w:rFonts w:ascii="Calibri" w:hAnsi="Calibri" w:cs="Calibri"/>
                <w:color w:val="0070C0"/>
                <w:sz w:val="20"/>
                <w:szCs w:val="20"/>
                <w:lang w:val="fr-FR"/>
              </w:rPr>
              <w:t>0.18</w:t>
            </w:r>
          </w:p>
        </w:tc>
        <w:tc>
          <w:tcPr>
            <w:tcW w:w="1417" w:type="dxa"/>
          </w:tcPr>
          <w:p w14:paraId="7FC7E7E7" w14:textId="77777777" w:rsidR="00D85E6C" w:rsidRPr="001E3981" w:rsidRDefault="00D85E6C" w:rsidP="00C20571">
            <w:pPr>
              <w:rPr>
                <w:rFonts w:ascii="Calibri" w:hAnsi="Calibri" w:cs="Calibri"/>
                <w:sz w:val="20"/>
                <w:szCs w:val="20"/>
                <w:lang w:val="fr-FR"/>
              </w:rPr>
            </w:pPr>
            <w:r w:rsidRPr="001E3981">
              <w:rPr>
                <w:rFonts w:ascii="Calibri" w:hAnsi="Calibri" w:cs="Calibri"/>
                <w:sz w:val="20"/>
                <w:szCs w:val="20"/>
                <w:lang w:val="fr-FR"/>
              </w:rPr>
              <w:t>0.26</w:t>
            </w:r>
          </w:p>
        </w:tc>
        <w:tc>
          <w:tcPr>
            <w:tcW w:w="3884" w:type="dxa"/>
          </w:tcPr>
          <w:p w14:paraId="33187F3B" w14:textId="3DC149A7" w:rsidR="00D85E6C" w:rsidRPr="001E3981" w:rsidRDefault="00D85E6C" w:rsidP="00C20571">
            <w:pPr>
              <w:rPr>
                <w:rFonts w:ascii="Calibri" w:hAnsi="Calibri" w:cs="Calibri"/>
                <w:sz w:val="20"/>
                <w:szCs w:val="20"/>
                <w:lang w:val="fr-FR"/>
              </w:rPr>
            </w:pPr>
            <w:r w:rsidRPr="00A97EA2">
              <w:rPr>
                <w:rFonts w:ascii="Calibri" w:hAnsi="Calibri" w:cs="Calibri"/>
                <w:sz w:val="20"/>
                <w:szCs w:val="20"/>
                <w:lang w:val="en-US"/>
              </w:rPr>
              <w:fldChar w:fldCharType="begin" w:fldLock="1"/>
            </w:r>
            <w:r w:rsidR="00FB520A">
              <w:rPr>
                <w:rFonts w:ascii="Calibri" w:hAnsi="Calibri" w:cs="Calibri"/>
                <w:sz w:val="20"/>
                <w:szCs w:val="20"/>
                <w:lang w:val="fr-FR"/>
              </w:rPr>
              <w:instrText>ADDIN CSL_CITATION {"citationItems":[{"id":"ITEM-1","itemData":{"author":[{"dropping-particle":"","family":"Tsai","given":"T H","non-dropping-particle":"","parse-names":false,"suffix":""},{"dropping-particle":"","family":"Lee","given":"C H","non-dropping-particle":"","parse-names":false,"suffix":""},{"dropping-particle":"","family":"Yeh","given":"P H","non-dropping-particle":"","parse-names":false,"suffix":""}],"container-title":"British Journal of Pharmacology","id":"ITEM-1","issued":{"date-parts":[["2001"]]},"page":"1245-1252","title":"Effect of P-glycoprotein modulators on the pharmacokinetics of camptothecin using microdialysis","type":"article-journal","volume":"134"},"uris":["http://www.mendeley.com/documents/?uuid=c53233d5-c026-4044-906b-0490285e0e4d"]}],"mendeley":{"formattedCitation":"(12)","plainTextFormattedCitation":"(12)","previouslyFormattedCitation":"(12)"},"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fr-FR"/>
              </w:rPr>
              <w:t>(12)</w:t>
            </w:r>
            <w:r w:rsidRPr="00A97EA2">
              <w:rPr>
                <w:rFonts w:ascii="Calibri" w:hAnsi="Calibri" w:cs="Calibri"/>
                <w:sz w:val="20"/>
                <w:szCs w:val="20"/>
                <w:lang w:val="en-US"/>
              </w:rPr>
              <w:fldChar w:fldCharType="end"/>
            </w:r>
          </w:p>
        </w:tc>
      </w:tr>
      <w:tr w:rsidR="00D85E6C" w:rsidRPr="00A97EA2" w14:paraId="6AC39467" w14:textId="77777777" w:rsidTr="00543737">
        <w:tc>
          <w:tcPr>
            <w:tcW w:w="2127" w:type="dxa"/>
          </w:tcPr>
          <w:p w14:paraId="1E295F85" w14:textId="77777777" w:rsidR="00D85E6C" w:rsidRPr="001E3981" w:rsidRDefault="00D85E6C" w:rsidP="00C20571">
            <w:pPr>
              <w:rPr>
                <w:rFonts w:ascii="Calibri" w:hAnsi="Calibri" w:cs="Calibri"/>
                <w:sz w:val="20"/>
                <w:szCs w:val="20"/>
                <w:lang w:val="fr-FR"/>
              </w:rPr>
            </w:pPr>
            <w:proofErr w:type="spellStart"/>
            <w:r w:rsidRPr="001E3981">
              <w:rPr>
                <w:rFonts w:ascii="Calibri" w:hAnsi="Calibri" w:cs="Calibri"/>
                <w:sz w:val="20"/>
                <w:szCs w:val="20"/>
                <w:lang w:val="fr-FR"/>
              </w:rPr>
              <w:t>carbamazepine</w:t>
            </w:r>
            <w:proofErr w:type="spellEnd"/>
          </w:p>
        </w:tc>
        <w:tc>
          <w:tcPr>
            <w:tcW w:w="1559" w:type="dxa"/>
          </w:tcPr>
          <w:p w14:paraId="6A44FD80" w14:textId="41B7122F" w:rsidR="00D85E6C" w:rsidRPr="009B40F1" w:rsidRDefault="00F6138D" w:rsidP="00C20571">
            <w:pPr>
              <w:rPr>
                <w:rFonts w:ascii="Calibri" w:hAnsi="Calibri" w:cs="Calibri"/>
                <w:color w:val="0070C0"/>
                <w:sz w:val="20"/>
                <w:szCs w:val="20"/>
                <w:lang w:val="fr-FR"/>
              </w:rPr>
            </w:pPr>
            <w:r w:rsidRPr="009B40F1">
              <w:rPr>
                <w:rFonts w:ascii="Calibri" w:hAnsi="Calibri" w:cs="Calibri"/>
                <w:color w:val="0070C0"/>
                <w:sz w:val="20"/>
                <w:szCs w:val="20"/>
                <w:lang w:val="fr-FR"/>
              </w:rPr>
              <w:t>0.63</w:t>
            </w:r>
          </w:p>
        </w:tc>
        <w:tc>
          <w:tcPr>
            <w:tcW w:w="1417" w:type="dxa"/>
          </w:tcPr>
          <w:p w14:paraId="73BE026B" w14:textId="77777777" w:rsidR="00D85E6C" w:rsidRPr="001E3981" w:rsidRDefault="00D85E6C" w:rsidP="00C20571">
            <w:pPr>
              <w:rPr>
                <w:rFonts w:ascii="Calibri" w:hAnsi="Calibri" w:cs="Calibri"/>
                <w:sz w:val="20"/>
                <w:szCs w:val="20"/>
                <w:lang w:val="fr-FR"/>
              </w:rPr>
            </w:pPr>
            <w:r w:rsidRPr="001E3981">
              <w:rPr>
                <w:rFonts w:ascii="Calibri" w:hAnsi="Calibri" w:cs="Calibri"/>
                <w:sz w:val="20"/>
                <w:szCs w:val="20"/>
                <w:lang w:val="fr-FR"/>
              </w:rPr>
              <w:t>1.02</w:t>
            </w:r>
          </w:p>
        </w:tc>
        <w:tc>
          <w:tcPr>
            <w:tcW w:w="3884" w:type="dxa"/>
          </w:tcPr>
          <w:p w14:paraId="5B6FCACA" w14:textId="3B89B49A"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fr-FR"/>
              </w:rPr>
              <w:instrText>ADDIN CSL_CITATION {"citationItems":[{"id":"ITEM-1","itemData":{"DOI":"10.1016/S0169-409X(00)00109-5","ISSN":"0169409X","PMID":"11108980","abstract":"Microdialysis can give simultaneous information on unbound drug concentration-time profiles in brain extracellular fluid (ECF) and blood, separating the information on blood-brain barrier (BBB) processes from confounding factors such as binding to brain tissue or proteins in blood. This makes microdialysis suitable for studies on CNS drug delivery. It is possible to quantify influx and efflux processes at the BBB in vivo, and to relate brain ECF concentrations to central drug action. The half-life in brain ECF vs. the half-life in blood gives information on rate-limiting steps in drug delivery and elimination from the CNS. Examples are given on microdialysis studies of analgesic and antiepileptic drugs. (C) 2000 Elsevier Science B.V.","author":[{"dropping-particle":"","family":"Hammarlund-Udenaes","given":"Margareta","non-dropping-particle":"","parse-names":false,"suffix":""}],"container-title":"Advanced Drug Delivery Reviews","id":"ITEM-1","issue":"2-3","issued":{"date-parts":[["2000"]]},"page":"283-294","title":"The use of microdialysis in CNS drug delivery studies: Pharmacokinetic perspectives and results with analgesics and antiepileptics","type":"article-journal","volume":"45"},"uris":["http://www.mendeley.com/documents/?uuid=9272b364-63c4-45f6-ab60-dc451ae9e7d6"]}],"mendeley":{"formattedCitation":"(13)","plainTextFormattedCitation":"(13)","previouslyFormattedCitation":"(13)"},"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(13)</w:t>
            </w:r>
            <w:r w:rsidRPr="00A97EA2">
              <w:rPr>
                <w:rFonts w:ascii="Calibri" w:hAnsi="Calibri" w:cs="Calibri"/>
                <w:sz w:val="20"/>
                <w:szCs w:val="20"/>
                <w:lang w:val="en-US"/>
              </w:rPr>
              <w:fldChar w:fldCharType="end"/>
            </w:r>
          </w:p>
        </w:tc>
      </w:tr>
      <w:tr w:rsidR="00D85E6C" w:rsidRPr="005001B1" w14:paraId="001B8E39" w14:textId="77777777" w:rsidTr="00543737">
        <w:tc>
          <w:tcPr>
            <w:tcW w:w="2127" w:type="dxa"/>
          </w:tcPr>
          <w:p w14:paraId="44A821C4" w14:textId="192C3ED7" w:rsidR="00D85E6C" w:rsidRPr="00F6138D" w:rsidRDefault="00F6138D" w:rsidP="00C20571">
            <w:pPr>
              <w:rPr>
                <w:rFonts w:ascii="Calibri" w:hAnsi="Calibri" w:cs="Calibri"/>
                <w:sz w:val="20"/>
                <w:szCs w:val="20"/>
                <w:vertAlign w:val="superscript"/>
                <w:lang w:val="fr-FR"/>
              </w:rPr>
            </w:pPr>
            <w:proofErr w:type="spellStart"/>
            <w:r>
              <w:rPr>
                <w:rFonts w:ascii="Calibri" w:hAnsi="Calibri" w:cs="Calibri"/>
                <w:sz w:val="20"/>
                <w:szCs w:val="20"/>
                <w:lang w:val="fr-FR"/>
              </w:rPr>
              <w:t>c</w:t>
            </w:r>
            <w:r w:rsidR="00D85E6C" w:rsidRPr="001E3981">
              <w:rPr>
                <w:rFonts w:ascii="Calibri" w:hAnsi="Calibri" w:cs="Calibri"/>
                <w:sz w:val="20"/>
                <w:szCs w:val="20"/>
                <w:lang w:val="fr-FR"/>
              </w:rPr>
              <w:t>efazolin</w:t>
            </w:r>
            <w:proofErr w:type="spellEnd"/>
            <w:r>
              <w:rPr>
                <w:rFonts w:ascii="Calibri" w:hAnsi="Calibri" w:cs="Calibri"/>
                <w:sz w:val="20"/>
                <w:szCs w:val="20"/>
                <w:vertAlign w:val="superscript"/>
                <w:lang w:val="fr-FR"/>
              </w:rPr>
              <w:t>#</w:t>
            </w:r>
          </w:p>
        </w:tc>
        <w:tc>
          <w:tcPr>
            <w:tcW w:w="1559" w:type="dxa"/>
          </w:tcPr>
          <w:p w14:paraId="64627F5E" w14:textId="3B3250CD" w:rsidR="00D85E6C" w:rsidRPr="009B40F1" w:rsidRDefault="00F6138D" w:rsidP="00C20571">
            <w:pPr>
              <w:rPr>
                <w:rFonts w:ascii="Calibri" w:hAnsi="Calibri" w:cs="Calibri"/>
                <w:color w:val="0070C0"/>
                <w:sz w:val="20"/>
                <w:szCs w:val="20"/>
                <w:lang w:val="fr-FR"/>
              </w:rPr>
            </w:pPr>
            <w:r w:rsidRPr="009B40F1">
              <w:rPr>
                <w:rFonts w:ascii="Calibri" w:hAnsi="Calibri" w:cs="Calibri"/>
                <w:color w:val="0070C0"/>
                <w:sz w:val="20"/>
                <w:szCs w:val="20"/>
                <w:lang w:val="fr-FR"/>
              </w:rPr>
              <w:t>-</w:t>
            </w:r>
          </w:p>
        </w:tc>
        <w:tc>
          <w:tcPr>
            <w:tcW w:w="1417" w:type="dxa"/>
          </w:tcPr>
          <w:p w14:paraId="31BD14B7" w14:textId="77777777" w:rsidR="00D85E6C" w:rsidRPr="001E3981" w:rsidRDefault="00D85E6C" w:rsidP="00C20571">
            <w:pPr>
              <w:rPr>
                <w:rFonts w:ascii="Calibri" w:hAnsi="Calibri" w:cs="Calibri"/>
                <w:sz w:val="20"/>
                <w:szCs w:val="20"/>
                <w:lang w:val="fr-FR"/>
              </w:rPr>
            </w:pPr>
            <w:r w:rsidRPr="001E3981">
              <w:rPr>
                <w:rFonts w:ascii="Calibri" w:hAnsi="Calibri" w:cs="Calibri"/>
                <w:sz w:val="20"/>
                <w:szCs w:val="20"/>
                <w:lang w:val="fr-FR"/>
              </w:rPr>
              <w:t>0.06</w:t>
            </w:r>
          </w:p>
        </w:tc>
        <w:tc>
          <w:tcPr>
            <w:tcW w:w="3884" w:type="dxa"/>
          </w:tcPr>
          <w:p w14:paraId="3DD06E12" w14:textId="0D17D789" w:rsidR="00D85E6C" w:rsidRPr="001E3981" w:rsidRDefault="00D85E6C" w:rsidP="00C20571">
            <w:pPr>
              <w:rPr>
                <w:rFonts w:ascii="Calibri" w:hAnsi="Calibri" w:cs="Calibri"/>
                <w:sz w:val="20"/>
                <w:szCs w:val="20"/>
                <w:lang w:val="fr-FR"/>
              </w:rPr>
            </w:pPr>
            <w:r w:rsidRPr="00A97EA2">
              <w:rPr>
                <w:rFonts w:ascii="Calibri" w:hAnsi="Calibri" w:cs="Calibri"/>
                <w:sz w:val="20"/>
                <w:szCs w:val="20"/>
                <w:lang w:val="en-US"/>
              </w:rPr>
              <w:fldChar w:fldCharType="begin" w:fldLock="1"/>
            </w:r>
            <w:r w:rsidR="00FB520A">
              <w:rPr>
                <w:rFonts w:ascii="Calibri" w:hAnsi="Calibri" w:cs="Calibri"/>
                <w:sz w:val="20"/>
                <w:szCs w:val="20"/>
                <w:lang w:val="fr-FR"/>
              </w:rPr>
              <w:instrText>ADDIN CSL_CITATION {"citationItems":[{"id":"ITEM-1","itemData":{"DOI":"10.1002/1099-0801(200006)14:4&lt;274::AID-BMC985&gt;3.0.CO;2-H","author":[{"dropping-particle":"","family":"Tsai","given":"T. H.","non-dropping-particle":"","parse-names":false,"suffix":""},{"dropping-particle":"","family":"Chen","given":"Y.F","non-dropping-particle":"","parse-names":false,"suffix":""}],"container-title":"Biomedical Chromatography","id":"ITEM-1","issued":{"date-parts":[["2000"]]},"page":"274-278","title":"Simultaneous determination of cefazolin in rat blood and brain by microdialysis and microbore liquid chromatography. | Semantic Scholar","type":"webpage"},"uris":["http://www.mendeley.com/documents/?uuid=08098aa6-4ce3-4c6d-b126-4c2d95a07ec9"]}],"mendeley":{"formattedCitation":"(14)","plainTextFormattedCitation":"(14)","previouslyFormattedCitation":"(14)"},"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fr-FR"/>
              </w:rPr>
              <w:t>(14)</w:t>
            </w:r>
            <w:r w:rsidRPr="00A97EA2">
              <w:rPr>
                <w:rFonts w:ascii="Calibri" w:hAnsi="Calibri" w:cs="Calibri"/>
                <w:sz w:val="20"/>
                <w:szCs w:val="20"/>
                <w:lang w:val="en-US"/>
              </w:rPr>
              <w:fldChar w:fldCharType="end"/>
            </w:r>
          </w:p>
        </w:tc>
      </w:tr>
      <w:tr w:rsidR="00D85E6C" w:rsidRPr="00A97EA2" w14:paraId="5D6E26FC" w14:textId="77777777" w:rsidTr="00543737">
        <w:tc>
          <w:tcPr>
            <w:tcW w:w="2127" w:type="dxa"/>
          </w:tcPr>
          <w:p w14:paraId="3C2BC07A" w14:textId="4D4A07EC" w:rsidR="00D85E6C" w:rsidRPr="006E15B3" w:rsidRDefault="006E15B3" w:rsidP="00C20571">
            <w:pPr>
              <w:rPr>
                <w:rFonts w:ascii="Calibri" w:hAnsi="Calibri" w:cs="Calibri"/>
                <w:sz w:val="20"/>
                <w:szCs w:val="20"/>
                <w:vertAlign w:val="superscript"/>
                <w:lang w:val="fr-FR"/>
              </w:rPr>
            </w:pPr>
            <w:proofErr w:type="spellStart"/>
            <w:r>
              <w:rPr>
                <w:rFonts w:ascii="Calibri" w:hAnsi="Calibri" w:cs="Calibri"/>
                <w:sz w:val="20"/>
                <w:szCs w:val="20"/>
                <w:lang w:val="fr-FR"/>
              </w:rPr>
              <w:t>c</w:t>
            </w:r>
            <w:r w:rsidR="00D85E6C" w:rsidRPr="001E3981">
              <w:rPr>
                <w:rFonts w:ascii="Calibri" w:hAnsi="Calibri" w:cs="Calibri"/>
                <w:sz w:val="20"/>
                <w:szCs w:val="20"/>
                <w:lang w:val="fr-FR"/>
              </w:rPr>
              <w:t>eftazidime</w:t>
            </w:r>
            <w:proofErr w:type="spellEnd"/>
            <w:r>
              <w:rPr>
                <w:rFonts w:ascii="Calibri" w:hAnsi="Calibri" w:cs="Calibri"/>
                <w:sz w:val="20"/>
                <w:szCs w:val="20"/>
                <w:vertAlign w:val="superscript"/>
                <w:lang w:val="fr-FR"/>
              </w:rPr>
              <w:t>#</w:t>
            </w:r>
          </w:p>
        </w:tc>
        <w:tc>
          <w:tcPr>
            <w:tcW w:w="1559" w:type="dxa"/>
          </w:tcPr>
          <w:p w14:paraId="5F9F1DEB" w14:textId="1452A131" w:rsidR="00D85E6C" w:rsidRPr="009B40F1" w:rsidRDefault="00F6138D" w:rsidP="00C20571">
            <w:pPr>
              <w:rPr>
                <w:rFonts w:ascii="Calibri" w:hAnsi="Calibri" w:cs="Calibri"/>
                <w:color w:val="0070C0"/>
                <w:sz w:val="20"/>
                <w:szCs w:val="20"/>
                <w:lang w:val="fr-FR"/>
              </w:rPr>
            </w:pPr>
            <w:r w:rsidRPr="009B40F1">
              <w:rPr>
                <w:rFonts w:ascii="Calibri" w:hAnsi="Calibri" w:cs="Calibri"/>
                <w:color w:val="0070C0"/>
                <w:sz w:val="20"/>
                <w:szCs w:val="20"/>
                <w:lang w:val="fr-FR"/>
              </w:rPr>
              <w:t>-</w:t>
            </w:r>
          </w:p>
        </w:tc>
        <w:tc>
          <w:tcPr>
            <w:tcW w:w="1417" w:type="dxa"/>
          </w:tcPr>
          <w:p w14:paraId="764B9A82" w14:textId="77777777" w:rsidR="00D85E6C" w:rsidRPr="001E3981" w:rsidRDefault="00D85E6C" w:rsidP="00C20571">
            <w:pPr>
              <w:rPr>
                <w:rFonts w:ascii="Calibri" w:hAnsi="Calibri" w:cs="Calibri"/>
                <w:sz w:val="20"/>
                <w:szCs w:val="20"/>
                <w:lang w:val="fr-FR"/>
              </w:rPr>
            </w:pPr>
            <w:r w:rsidRPr="001E3981">
              <w:rPr>
                <w:rFonts w:ascii="Calibri" w:hAnsi="Calibri" w:cs="Calibri"/>
                <w:sz w:val="20"/>
                <w:szCs w:val="20"/>
                <w:lang w:val="fr-FR"/>
              </w:rPr>
              <w:t>0.026</w:t>
            </w:r>
          </w:p>
        </w:tc>
        <w:tc>
          <w:tcPr>
            <w:tcW w:w="3884" w:type="dxa"/>
          </w:tcPr>
          <w:p w14:paraId="4D735AC5" w14:textId="5DD94E65"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fr-FR"/>
              </w:rPr>
              <w:instrText>ADDIN CSL_CITATION {"citationItems":[{"id":"ITEM-1","itemData":{"DOI":"10.1128/AAC.39.12.2728","ISSN":"0066-4804","PMID":"8593009","abstract":"In vivo microdialysis was used to estimate the extracellular concentrations of ceftazidime and ceftriaxone, two expanded-spectrum cephalosporins commonly used in the treatment of bacterial meningitis, in two brain regions (the right corpus striatum and the left lateral ventricle) of awake, freely moving rats. Antibiotics were administered by constant intravenous infusion at 18 mg/h until steady-state levels were reached. Ceftriaxone levels measured at the steady state in the extracellular space of the corpus striatum (0.80 ± 0.17 μg/ml) were statistically equivalent to those obtained in the cerebrospinal fluid of the lateral ventricle (0.71 ± 0.15 μg/ml). The ratios of these revels in the brain to the steady-state levels in plasma were 0.5 ± 0.1% for both regions. The postinfusion concentrations of ceftriaxone in the brain declined monoexponentially, with an elimination half-life similar to that obtained in plasma. However, the mean antibiotic concentration of ceftazidime in the striatum (2.2 ± 0.4 μg/ml) was lower (P &lt; 0.001) than that in the lateral ventricle (3.8 ± 1.8 μg/ml), and the ratios of concentrations in the striatum and ventricle to the concentration in plasma (2.4 ± 0.5% and 4.0 ± 1.8%, respectively) were higher than those obtained with ceftriaxone. Moreover, the half-life of ceftazidime elimination from plasma was lower than that obtained in the two brain regions. It was concluded that the in vivo microdialysis technique yields useful data on antibiotic distribution in the extracellular space of the brain, that the distribution may not be homogeneous, and that the decay of postinfusion concentrations in the brain may be different from the decay of postinfusion concentrations in plasma.","author":[{"dropping-particle":"","family":"Granero","given":"L.","non-dropping-particle":"","parse-names":false,"suffix":""},{"dropping-particle":"","family":"Santiago","given":"M.","non-dropping-particle":"","parse-names":false,"suffix":""},{"dropping-particle":"","family":"Cano","given":"J.","non-dropping-particle":"","parse-names":false,"suffix":""},{"dropping-particle":"","family":"Machado","given":"A.","non-dropping-particle":"","parse-names":false,"suffix":""},{"dropping-particle":"","family":"Peris","given":"J. E.","non-dropping-particle":"","parse-names":false,"suffix":""}],"container-title":"Antimicrobial agents and chemotherapy","id":"ITEM-1","issue":"12","issued":{"date-parts":[["1995"]]},"page":"2728-2731","publisher":"Antimicrob Agents Chemother","title":"Analysis of ceftriaxone and ceftazidime distribution in cerebrospinal fluid of and cerebral extracellular space in awake rats by in vivo microdialysis","type":"article-journal","volume":"39"},"uris":["http://www.mendeley.com/documents/?uuid=50440911-627f-4856-a640-dc210a59fa97"]}],"mendeley":{"formattedCitation":"(15)","plainTextFormattedCitation":"(15)","previouslyFormattedCitation":"(15)"},"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(15)</w:t>
            </w:r>
            <w:r w:rsidRPr="00A97EA2">
              <w:rPr>
                <w:rFonts w:ascii="Calibri" w:hAnsi="Calibri" w:cs="Calibri"/>
                <w:sz w:val="20"/>
                <w:szCs w:val="20"/>
                <w:lang w:val="en-US"/>
              </w:rPr>
              <w:fldChar w:fldCharType="end"/>
            </w:r>
          </w:p>
        </w:tc>
      </w:tr>
      <w:tr w:rsidR="00D85E6C" w:rsidRPr="00A97EA2" w14:paraId="1C1767E3" w14:textId="77777777" w:rsidTr="00543737">
        <w:tc>
          <w:tcPr>
            <w:tcW w:w="2127" w:type="dxa"/>
          </w:tcPr>
          <w:p w14:paraId="65DA6F35" w14:textId="33604FF9" w:rsidR="00D85E6C" w:rsidRPr="006E15B3" w:rsidRDefault="006E15B3" w:rsidP="00C20571">
            <w:pPr>
              <w:rPr>
                <w:rFonts w:ascii="Calibri" w:hAnsi="Calibri" w:cs="Calibri"/>
                <w:sz w:val="20"/>
                <w:szCs w:val="20"/>
                <w:vertAlign w:val="superscript"/>
                <w:lang w:val="en-US"/>
              </w:rPr>
            </w:pPr>
            <w:r>
              <w:rPr>
                <w:rFonts w:ascii="Calibri" w:hAnsi="Calibri" w:cs="Calibri"/>
                <w:sz w:val="20"/>
                <w:szCs w:val="20"/>
                <w:lang w:val="en-US"/>
              </w:rPr>
              <w:t>c</w:t>
            </w:r>
            <w:r w:rsidR="00D85E6C" w:rsidRPr="00A97EA2">
              <w:rPr>
                <w:rFonts w:ascii="Calibri" w:hAnsi="Calibri" w:cs="Calibri"/>
                <w:sz w:val="20"/>
                <w:szCs w:val="20"/>
                <w:lang w:val="en-US"/>
              </w:rPr>
              <w:t>eftriaxone</w:t>
            </w:r>
            <w:r>
              <w:rPr>
                <w:rFonts w:ascii="Calibri" w:hAnsi="Calibri" w:cs="Calibri"/>
                <w:sz w:val="20"/>
                <w:szCs w:val="20"/>
                <w:vertAlign w:val="superscript"/>
                <w:lang w:val="en-US"/>
              </w:rPr>
              <w:t>#</w:t>
            </w:r>
          </w:p>
        </w:tc>
        <w:tc>
          <w:tcPr>
            <w:tcW w:w="1559" w:type="dxa"/>
          </w:tcPr>
          <w:p w14:paraId="157F0D08" w14:textId="40FE8AAD"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w:t>
            </w:r>
          </w:p>
        </w:tc>
        <w:tc>
          <w:tcPr>
            <w:tcW w:w="1417" w:type="dxa"/>
          </w:tcPr>
          <w:p w14:paraId="4623A6E0"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0.053</w:t>
            </w:r>
          </w:p>
        </w:tc>
        <w:tc>
          <w:tcPr>
            <w:tcW w:w="3884" w:type="dxa"/>
          </w:tcPr>
          <w:p w14:paraId="60C5B757" w14:textId="475E6593"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{"citationItems":[{"id":"ITEM-1","itemData":{"DOI":"10.1128/AAC.39.12.2728","ISSN":"0066-4804","PMID":"8593009","abstract":"In vivo microdialysis was used to estimate the extracellular concentrations of ceftazidime and ceftriaxone, two expanded-spectrum cephalosporins commonly used in the treatment of bacterial meningitis, in two brain regions (the right corpus striatum and the left lateral ventricle) of awake, freely moving rats. Antibiotics were administered by constant intravenous infusion at 18 mg/h until steady-state levels were reached. Ceftriaxone levels measured at the steady state in the extracellular space of the corpus striatum (0.80 ± 0.17 μg/ml) were statistically equivalent to those obtained in the cerebrospinal fluid of the lateral ventricle (0.71 ± 0.15 μg/ml). The ratios of these revels in the brain to the steady-state levels in plasma were 0.5 ± 0.1% for both regions. The postinfusion concentrations of ceftriaxone in the brain declined monoexponentially, with an elimination half-life similar to that obtained in plasma. However, the mean antibiotic concentration of ceftazidime in the striatum (2.2 ± 0.4 μg/ml) was lower (P &lt; 0.001) than that in the lateral ventricle (3.8 ± 1.8 μg/ml), and the ratios of concentrations in the striatum and ventricle to the concentration in plasma (2.4 ± 0.5% and 4.0 ± 1.8%, respectively) were higher than those obtained with ceftriaxone. Moreover, the half-life of ceftazidime elimination from plasma was lower than that obtained in the two brain regions. It was concluded that the in vivo microdialysis technique yields useful data on antibiotic distribution in the extracellular space of the brain, that the distribution may not be homogeneous, and that the decay of postinfusion concentrations in the brain may be different from the decay of postinfusion concentrations in plasma.","author":[{"dropping-particle":"","family":"Granero","given":"L.","non-dropping-particle":"","parse-names":false,"suffix":""},{"dropping-particle":"","family":"Santiago","given":"M.","non-dropping-particle":"","parse-names":false,"suffix":""},{"dropping-particle":"","family":"Cano","given":"J.","non-dropping-particle":"","parse-names":false,"suffix":""},{"dropping-particle":"","family":"Machado","given":"A.","non-dropping-particle":"","parse-names":false,"suffix":""},{"dropping-particle":"","family":"Peris","given":"J. E.","non-dropping-particle":"","parse-names":false,"suffix":""}],"container-title":"Antimicrobial agents and chemotherapy","id":"ITEM-1","issue":"12","issued":{"date-parts":[["1995"]]},"page":"2728-2731","publisher":"Antimicrob Agents Chemother","title":"Analysis of ceftriaxone and ceftazidime distribution in cerebrospinal fluid of and cerebral extracellular space in awake rats by in vivo microdialysis","type":"article-journal","volume":"39"},"uris":["http://www.mendeley.com/documents/?uuid=50440911-627f-4856-a640-dc210a59fa97"]}],"mendeley":{"formattedCitation":"(15)","plainTextFormattedCitation":"(15)","previouslyFormattedCitation":"(15)"},"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(15)</w:t>
            </w:r>
            <w:r w:rsidRPr="00A97EA2">
              <w:rPr>
                <w:rFonts w:ascii="Calibri" w:hAnsi="Calibri" w:cs="Calibri"/>
                <w:sz w:val="20"/>
                <w:szCs w:val="20"/>
                <w:lang w:val="en-US"/>
              </w:rPr>
              <w:fldChar w:fldCharType="end"/>
            </w:r>
          </w:p>
        </w:tc>
      </w:tr>
      <w:tr w:rsidR="00D85E6C" w:rsidRPr="00A97EA2" w14:paraId="70DA88F6" w14:textId="77777777" w:rsidTr="00543737">
        <w:tc>
          <w:tcPr>
            <w:tcW w:w="2127" w:type="dxa"/>
          </w:tcPr>
          <w:p w14:paraId="4BE9C1EA"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citalopram</w:t>
            </w:r>
          </w:p>
        </w:tc>
        <w:tc>
          <w:tcPr>
            <w:tcW w:w="1559" w:type="dxa"/>
          </w:tcPr>
          <w:p w14:paraId="486A7E12" w14:textId="41711BDB"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0.89</w:t>
            </w:r>
          </w:p>
        </w:tc>
        <w:tc>
          <w:tcPr>
            <w:tcW w:w="1417" w:type="dxa"/>
          </w:tcPr>
          <w:p w14:paraId="3873414C"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1.43</w:t>
            </w:r>
          </w:p>
        </w:tc>
        <w:tc>
          <w:tcPr>
            <w:tcW w:w="3884" w:type="dxa"/>
          </w:tcPr>
          <w:p w14:paraId="389CC266" w14:textId="1A9042BE"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{"citationItems":[{"id":"ITEM-1","itemData":{"DOI":"10.1016/J.NEUROPHARM.2013.04.027","ISSN":"1873-7064","PMID":"23639435","abstract":"Inhibition of central α4b2 nAChRs by antidepressants, proposed to contribute to their clinical efficacy, was assessed for monoamine reuptake inhibitors (amitriptyline, nortriptyline, fluoxetine, sertraline, paroxetine, citalopram) by comparing projected human unbound brain drug concentrations (Cu,b) at therapeutic doses with concentrations that inhibit human α4b2 nAChRs in vitro. Inhibitory concentrations (IC50) were determined by patch clamp and ranged from 0.8e3.2 mM, except for nortriptyline (IC50 = 100 nM). Cu,b values were calculated from human unbound plasma drug concentrations (Cu,p) and rat-derived brain-to-plasma and extracellular fluid-to-plasma ratios for the unbound drug, which are near unity, due to much higher brain tissue binding than plasma protein binding of these drugs. Accordingly in humans, antidepressant Cu,b are projected to essentially equal Cu,p, with average values from 3e87 nM, which are 30-to-250-fold below their IC50 concentrations. Based on our model, monoaminergic antidepressants minimally inhibit central nAChRs and it is unlikely that α4b2 nAChR antagonism contributes to their antidepressant activity. Nortriptyline is an exception with a Cu,b that is 2-fold below its IC50, which is comparable to the nAChR antagonist (-)-mecamylamine, for which Cu,b is 4-fold below its IC50; both drugs will inhibit a substantial fraction of α4b2 nAChRs. The Cu,b of the α4b2 nAChR partial agonist varenicline, which has antidepressant-like activity in a murine model, is higher than its IC50 and varenicline is projected to cause w70% inhibition of α4b2 nAChRs. Taken together these data may help explain the negative outcome of recent antidepressant augmentation trials with mecamylamine and the partial agonist CP-601927. © 2013 Elsevier Ltd. All rights reserved.","author":[{"dropping-particle":"","family":"Weber","given":"Mark L.","non-dropping-particle":"","parse-names":false,"suffix":""},{"dropping-particle":"","family":"Hofland","given":"Corry M.","non-dropping-particle":"","parse-names":false,"suffix":""},{"dropping-particle":"","family":"Shaffer","given":"Christopher L.","non-dropping-particle":"","parse-names":false,"suffix":""},{"dropping-particle":"","family":"Flik","given":"Gunnar","non-dropping-particle":"","parse-names":false,"suffix":""},{"dropping-particle":"","family":"Cremers","given":"Thomas","non-dropping-particle":"","parse-names":false,"suffix":""},{"dropping-particle":"","family":"Hurst","given":"Raymond S.","non-dropping-particle":"","parse-names":false,"suffix":""},{"dropping-particle":"","family":"Rollema","given":"Hans","non-dropping-particle":"","parse-names":false,"suffix":""}],"container-title":"Neuropharmacology","id":"ITEM-1","issued":{"date-parts":[["2013"]]},"page":"88-95","publisher":"Neuropharmacology","title":"Therapeutic doses of antidepressants are projected not to inhibit human α4β2 nicotinic acetylcholine receptors","type":"article-journal","volume":"72"},"uris":["http://www.mendeley.com/documents/?uuid=586a4e57-8c43-470d-b44e-405e01cf553f"]}],"mendeley":{"formattedCitation":"(16)","plainTextFormattedCitation":"(16)","previouslyFormattedCitation":"(16)"},"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(16)</w:t>
            </w:r>
            <w:r w:rsidRPr="00A97EA2">
              <w:rPr>
                <w:rFonts w:ascii="Calibri" w:hAnsi="Calibri" w:cs="Calibri"/>
                <w:sz w:val="20"/>
                <w:szCs w:val="20"/>
                <w:lang w:val="en-US"/>
              </w:rPr>
              <w:fldChar w:fldCharType="end"/>
            </w:r>
          </w:p>
        </w:tc>
      </w:tr>
      <w:tr w:rsidR="00D85E6C" w:rsidRPr="005001B1" w14:paraId="6C12A164" w14:textId="77777777" w:rsidTr="00543737">
        <w:tc>
          <w:tcPr>
            <w:tcW w:w="2127" w:type="dxa"/>
          </w:tcPr>
          <w:p w14:paraId="0AC53144"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clozapine</w:t>
            </w:r>
          </w:p>
        </w:tc>
        <w:tc>
          <w:tcPr>
            <w:tcW w:w="1559" w:type="dxa"/>
          </w:tcPr>
          <w:p w14:paraId="7478DE22" w14:textId="0F07A175"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0.09</w:t>
            </w:r>
          </w:p>
        </w:tc>
        <w:tc>
          <w:tcPr>
            <w:tcW w:w="1417" w:type="dxa"/>
          </w:tcPr>
          <w:p w14:paraId="5BEEC080"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0.021</w:t>
            </w:r>
          </w:p>
        </w:tc>
        <w:tc>
          <w:tcPr>
            <w:tcW w:w="3884" w:type="dxa"/>
          </w:tcPr>
          <w:p w14:paraId="715BDBF8" w14:textId="382E4D6F" w:rsidR="00D85E6C" w:rsidRPr="001E3981" w:rsidRDefault="00D85E6C" w:rsidP="00C20571">
            <w:pPr>
              <w:rPr>
                <w:rFonts w:ascii="Calibri" w:hAnsi="Calibri" w:cs="Calibri"/>
                <w:sz w:val="20"/>
                <w:szCs w:val="20"/>
                <w:lang w:val="fr-FR"/>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{"citationItems":[{"id":"ITEM-1","itemData":{"DOI":"10.1124/JPET.115.225763","ISSN":"1521-0103","PMID":"26220937","abstract":"Clozapine, an atypical antipsychotic agent, is highly effective in treatment-resistant schizophrenia; however, its major side effect is constipation. Instead of laxatives, rhein is a pharmacologically active component found in Rheum palmatum L., a medicinal herbal remedy for constipation. The purpose of this study is to determine whether rhein impacts the pharmacokinetics (PK) and pharmacodynamics (PD) of clozapine in brain when used to relieve clozapine-induced constipation. Here, we have investigated not only the PK of clozapine in blood but also the effects of rhein on the PK of clozapine in blood and in brain extracellular fluid together with the PD effects on neurotransmitters in extracellular fluid. The concentrations of clozapine and norclozapine in biologic samples were measured by ultra-performance liquid chromatography-tandem mass spectrometry. The drug-drug effects of rhein on extracellular neurotransmitter efflux in the rat medial prefrontal cortex (mPFC) produced by clozapine were assayed by highperformance liquid chromatography-electrochemical detection. The results demonstrate that the clozapine PK was nonlinear. Pretreatment with rhein for 7 days increased the total blood concentration of clozapine, but significantly reduced the unbound clozapine concentrations in the mPFC by approximately 3-fold. Furthermore, 7 days of rhein pretreatment thoroughly abolished the efflux of dopamine and its metabolite (3,4-dihydroxyphenylacetic acid) and altered the profile of homovanillic acid, another metabolite of dopamine, in the mPFC. In conclusion, rhein was found to substantially decrease clozapine and norclozapine concentrations in the mPFC dialysate, and this is accompanied by lower concentrations in the neurotransmitters in the same biophase. These findings suggest that a detailed clinical study for drug-drug interactions is recommended.","author":[{"dropping-particle":"","family":"Hou","given":"Mei Ling","non-dropping-particle":"","parse-names":false,"suffix":""},{"dropping-particle":"","family":"Lin","given":"Chi Hung","non-dropping-particle":"","parse-names":false,"suffix":""},{"dropping-particle":"","family":"Lin","given":"Lie Chwen","non-dropping-particle":"","parse-names":false,"suffix":""},{"dropping-particle":"","family":"Tsai","given":"Tung Hu","non-dropping-particle":"","parse-names":false,"suffix":""}],"container-title":"The Journal of pharmacology and experimental therapeutics","id":"ITEM-1","issue":"1","issued":{"date-parts":[["2015","10"]]},"page":"125-134","publisher":"J Pharmacol Exp Ther","title":"The Drug-Drug Effects of Rhein on the Pharmacokinetics and Pharmacodynamics of Clozapine in Rat Brain Extracellular Fluid by In Vivo Microdialysis","type":"article-journal","volume":"355"},"uris":["http://www.mendeley.com/documents/?uuid=754dae2f-23a9-4752-b078-3349d4db5781"]}],"mendeley":{"formattedCitation":"(17)","plainTextFormattedCitation":"(17)","previouslyFormattedCitation":"(17)"},"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fr-FR"/>
              </w:rPr>
              <w:t>(17)</w:t>
            </w:r>
            <w:r w:rsidRPr="00A97EA2">
              <w:rPr>
                <w:rFonts w:ascii="Calibri" w:hAnsi="Calibri" w:cs="Calibri"/>
                <w:sz w:val="20"/>
                <w:szCs w:val="20"/>
                <w:lang w:val="en-US"/>
              </w:rPr>
              <w:fldChar w:fldCharType="end"/>
            </w:r>
          </w:p>
        </w:tc>
      </w:tr>
      <w:tr w:rsidR="00D85E6C" w:rsidRPr="005001B1" w14:paraId="6C7646C3" w14:textId="77777777" w:rsidTr="00543737">
        <w:tc>
          <w:tcPr>
            <w:tcW w:w="2127" w:type="dxa"/>
          </w:tcPr>
          <w:p w14:paraId="21C6738A" w14:textId="77777777" w:rsidR="00D85E6C" w:rsidRPr="001E3981" w:rsidRDefault="00D85E6C" w:rsidP="00C20571">
            <w:pPr>
              <w:rPr>
                <w:rFonts w:ascii="Calibri" w:hAnsi="Calibri" w:cs="Calibri"/>
                <w:sz w:val="20"/>
                <w:szCs w:val="20"/>
                <w:lang w:val="fr-FR"/>
              </w:rPr>
            </w:pPr>
            <w:proofErr w:type="spellStart"/>
            <w:r w:rsidRPr="001E3981">
              <w:rPr>
                <w:rFonts w:ascii="Calibri" w:hAnsi="Calibri" w:cs="Calibri"/>
                <w:sz w:val="20"/>
                <w:szCs w:val="20"/>
                <w:lang w:val="fr-FR"/>
              </w:rPr>
              <w:t>cocaine</w:t>
            </w:r>
            <w:proofErr w:type="spellEnd"/>
          </w:p>
        </w:tc>
        <w:tc>
          <w:tcPr>
            <w:tcW w:w="1559" w:type="dxa"/>
          </w:tcPr>
          <w:p w14:paraId="40DD2946" w14:textId="26B77FEF" w:rsidR="00D85E6C" w:rsidRPr="009B40F1" w:rsidRDefault="00F6138D" w:rsidP="00C20571">
            <w:pPr>
              <w:rPr>
                <w:rFonts w:ascii="Calibri" w:hAnsi="Calibri" w:cs="Calibri"/>
                <w:color w:val="0070C0"/>
                <w:sz w:val="20"/>
                <w:szCs w:val="20"/>
                <w:lang w:val="fr-FR"/>
              </w:rPr>
            </w:pPr>
            <w:r w:rsidRPr="009B40F1">
              <w:rPr>
                <w:rFonts w:ascii="Calibri" w:hAnsi="Calibri" w:cs="Calibri"/>
                <w:color w:val="0070C0"/>
                <w:sz w:val="20"/>
                <w:szCs w:val="20"/>
                <w:lang w:val="fr-FR"/>
              </w:rPr>
              <w:t>0.38</w:t>
            </w:r>
          </w:p>
        </w:tc>
        <w:tc>
          <w:tcPr>
            <w:tcW w:w="1417" w:type="dxa"/>
          </w:tcPr>
          <w:p w14:paraId="7F8534EC" w14:textId="77777777" w:rsidR="00D85E6C" w:rsidRPr="001E3981" w:rsidRDefault="00D85E6C" w:rsidP="00C20571">
            <w:pPr>
              <w:rPr>
                <w:rFonts w:ascii="Calibri" w:hAnsi="Calibri" w:cs="Calibri"/>
                <w:sz w:val="20"/>
                <w:szCs w:val="20"/>
                <w:lang w:val="fr-FR"/>
              </w:rPr>
            </w:pPr>
            <w:r w:rsidRPr="001E3981">
              <w:rPr>
                <w:rFonts w:ascii="Calibri" w:hAnsi="Calibri" w:cs="Calibri"/>
                <w:sz w:val="20"/>
                <w:szCs w:val="20"/>
                <w:lang w:val="fr-FR"/>
              </w:rPr>
              <w:t>0.37</w:t>
            </w:r>
          </w:p>
        </w:tc>
        <w:tc>
          <w:tcPr>
            <w:tcW w:w="3884" w:type="dxa"/>
          </w:tcPr>
          <w:p w14:paraId="344C416A" w14:textId="78060B75" w:rsidR="00D85E6C" w:rsidRPr="001E3981" w:rsidRDefault="00D85E6C" w:rsidP="00C20571">
            <w:pPr>
              <w:rPr>
                <w:rFonts w:ascii="Calibri" w:hAnsi="Calibri" w:cs="Calibri"/>
                <w:sz w:val="20"/>
                <w:szCs w:val="20"/>
                <w:lang w:val="fr-FR"/>
              </w:rPr>
            </w:pPr>
            <w:r w:rsidRPr="00A97EA2">
              <w:rPr>
                <w:rFonts w:ascii="Calibri" w:hAnsi="Calibri" w:cs="Calibri"/>
                <w:sz w:val="20"/>
                <w:szCs w:val="20"/>
                <w:lang w:val="en-US"/>
              </w:rPr>
              <w:fldChar w:fldCharType="begin" w:fldLock="1"/>
            </w:r>
            <w:r w:rsidR="00FB520A">
              <w:rPr>
                <w:rFonts w:ascii="Calibri" w:hAnsi="Calibri" w:cs="Calibri"/>
                <w:sz w:val="20"/>
                <w:szCs w:val="20"/>
                <w:lang w:val="fr-FR"/>
              </w:rPr>
              <w:instrText>ADDIN CSL_CITATION {"citationItems":[{"id":"ITEM-1","itemData":{"DOI":"10.1002/bmc.468","author":[{"dropping-particle":"","family":"Chen","given":"Yen-fei","non-dropping-particle":"","parse-names":false,"suffix":""},{"dropping-particle":"","family":"Chang","given":"Chun-hao","non-dropping-particle":"","parse-names":false,"suffix":""},{"dropping-particle":"","family":"Wang","given":"Shau-chun","non-dropping-particle":"","parse-names":false,"suffix":""},{"dropping-particle":"","family":"Tsai","given":"Tung-hu","non-dropping-particle":"","parse-names":false,"suffix":""}],"container-title":"Biomedical Chromatography","id":"ITEM-1","issued":{"date-parts":[["2005"]]},"page":"402-408","title":"Measurement of unbound cocaine in blood , brain and bile of anesthetized rats using microdialysis coupled with liquid chromatography and verified by tandem mass spectrometry","type":"article-journal","volume":"408"},"uris":["http://www.mendeley.com/documents/?uuid=99e812ad-c648-4715-af98-a750a3d15396"]}],"mendeley":{"formattedCitation":"(18)","plainTextFormattedCitation":"(18)","previouslyFormattedCitation":"(18)"},"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fr-FR"/>
              </w:rPr>
              <w:t>(18)</w:t>
            </w:r>
            <w:r w:rsidRPr="00A97EA2">
              <w:rPr>
                <w:rFonts w:ascii="Calibri" w:hAnsi="Calibri" w:cs="Calibri"/>
                <w:sz w:val="20"/>
                <w:szCs w:val="20"/>
                <w:lang w:val="en-US"/>
              </w:rPr>
              <w:fldChar w:fldCharType="end"/>
            </w:r>
          </w:p>
        </w:tc>
      </w:tr>
      <w:tr w:rsidR="00D85E6C" w:rsidRPr="00A97EA2" w14:paraId="70EB6E4C" w14:textId="77777777" w:rsidTr="00543737">
        <w:tc>
          <w:tcPr>
            <w:tcW w:w="2127" w:type="dxa"/>
          </w:tcPr>
          <w:p w14:paraId="10859D14" w14:textId="3BEBE8E7" w:rsidR="00D85E6C" w:rsidRPr="00F6138D" w:rsidRDefault="00F6138D" w:rsidP="00C20571">
            <w:pPr>
              <w:rPr>
                <w:rFonts w:ascii="Calibri" w:hAnsi="Calibri" w:cs="Calibri"/>
                <w:sz w:val="20"/>
                <w:szCs w:val="20"/>
                <w:vertAlign w:val="superscript"/>
                <w:lang w:val="fr-FR"/>
              </w:rPr>
            </w:pPr>
            <w:proofErr w:type="spellStart"/>
            <w:r>
              <w:rPr>
                <w:rFonts w:ascii="Calibri" w:hAnsi="Calibri" w:cs="Calibri"/>
                <w:sz w:val="20"/>
                <w:szCs w:val="20"/>
                <w:lang w:val="fr-FR"/>
              </w:rPr>
              <w:t>c</w:t>
            </w:r>
            <w:r w:rsidR="00D85E6C" w:rsidRPr="001E3981">
              <w:rPr>
                <w:rFonts w:ascii="Calibri" w:hAnsi="Calibri" w:cs="Calibri"/>
                <w:sz w:val="20"/>
                <w:szCs w:val="20"/>
                <w:lang w:val="fr-FR"/>
              </w:rPr>
              <w:t>odeine</w:t>
            </w:r>
            <w:proofErr w:type="spellEnd"/>
            <w:r>
              <w:rPr>
                <w:rFonts w:ascii="Calibri" w:hAnsi="Calibri" w:cs="Calibri"/>
                <w:sz w:val="20"/>
                <w:szCs w:val="20"/>
                <w:vertAlign w:val="superscript"/>
                <w:lang w:val="fr-FR"/>
              </w:rPr>
              <w:t>#</w:t>
            </w:r>
          </w:p>
        </w:tc>
        <w:tc>
          <w:tcPr>
            <w:tcW w:w="1559" w:type="dxa"/>
          </w:tcPr>
          <w:p w14:paraId="08BD8FCC" w14:textId="68B3C246" w:rsidR="00D85E6C" w:rsidRPr="009B40F1" w:rsidRDefault="00F6138D" w:rsidP="00C20571">
            <w:pPr>
              <w:rPr>
                <w:rFonts w:ascii="Calibri" w:hAnsi="Calibri" w:cs="Calibri"/>
                <w:color w:val="0070C0"/>
                <w:sz w:val="20"/>
                <w:szCs w:val="20"/>
                <w:lang w:val="fr-FR"/>
              </w:rPr>
            </w:pPr>
            <w:r w:rsidRPr="009B40F1">
              <w:rPr>
                <w:rFonts w:ascii="Calibri" w:hAnsi="Calibri" w:cs="Calibri"/>
                <w:color w:val="0070C0"/>
                <w:sz w:val="20"/>
                <w:szCs w:val="20"/>
                <w:lang w:val="fr-FR"/>
              </w:rPr>
              <w:t>-</w:t>
            </w:r>
          </w:p>
        </w:tc>
        <w:tc>
          <w:tcPr>
            <w:tcW w:w="1417" w:type="dxa"/>
          </w:tcPr>
          <w:p w14:paraId="6B423FC7" w14:textId="77777777" w:rsidR="00D85E6C" w:rsidRPr="001E3981" w:rsidRDefault="00D85E6C" w:rsidP="00C20571">
            <w:pPr>
              <w:rPr>
                <w:rFonts w:ascii="Calibri" w:hAnsi="Calibri" w:cs="Calibri"/>
                <w:sz w:val="20"/>
                <w:szCs w:val="20"/>
                <w:lang w:val="fr-FR"/>
              </w:rPr>
            </w:pPr>
            <w:r w:rsidRPr="001E3981">
              <w:rPr>
                <w:rFonts w:ascii="Calibri" w:hAnsi="Calibri" w:cs="Calibri"/>
                <w:sz w:val="20"/>
                <w:szCs w:val="20"/>
                <w:lang w:val="fr-FR"/>
              </w:rPr>
              <w:t>1</w:t>
            </w:r>
          </w:p>
        </w:tc>
        <w:tc>
          <w:tcPr>
            <w:tcW w:w="3884" w:type="dxa"/>
          </w:tcPr>
          <w:p w14:paraId="679597BF" w14:textId="1ADF5F32"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fr-FR"/>
              </w:rPr>
              <w:instrText>ADDIN CSL_CITATION {"citationItems":[{"id":"ITEM-1","itemData":{"DOI":"10.1016/S0169-409X(00)00109-5","ISSN":"0169409X","PMID":"11108980","abstract":"Microdialysis can give simultaneous information on unbound drug concentration-time profiles in brain extracellular fluid (ECF) and blood, separating the information on blood-brain barrier (BBB) processes from confounding factors such as binding to brain tissue or proteins in blood. This makes microdialysis suitable for studies on CNS drug delivery. It is possible to quantify influx and efflux processes at the BBB in vivo, and to relate brain ECF concentrations to central drug action. The half-life in brain ECF vs. the half-life in blood gives information on rate-limiting steps in drug delivery and elimination from the CNS. Examples are given on microdialysis studies of analgesic and antiepileptic drugs. (C) 2000 Elsevier Science B.V.","author":[{"dropping-particle":"","family":"Hammarlund-Udenaes","given":"Margareta","non-dropping-particle":"","parse-names":false,"suffix":""}],"container-title":"Advanced Drug Delivery Reviews","id":"ITEM-1","issue":"2-3","issued":{"date-parts":[["2000"]]},"page":"283-294","title":"The use of microdialysis in CNS drug delivery studies: Pharmacokinetic perspectives and results with analgesics and antiepileptics","type":"article-journal","volume":"45"},"uris":["http://www.mendeley.com/documents/?uuid=9272b364-63c4-45f6-ab60-dc451ae9e7d6"]}],"mendeley":{"formattedCitation":"(13)","plainTextFormattedCitation":"(13)","previouslyFormattedCitation":"(13)"},"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(13)</w:t>
            </w:r>
            <w:r w:rsidRPr="00A97EA2">
              <w:rPr>
                <w:rFonts w:ascii="Calibri" w:hAnsi="Calibri" w:cs="Calibri"/>
                <w:sz w:val="20"/>
                <w:szCs w:val="20"/>
                <w:lang w:val="en-US"/>
              </w:rPr>
              <w:fldChar w:fldCharType="end"/>
            </w:r>
          </w:p>
        </w:tc>
      </w:tr>
      <w:tr w:rsidR="00D85E6C" w:rsidRPr="005001B1" w14:paraId="3ED64666" w14:textId="77777777" w:rsidTr="00543737">
        <w:tc>
          <w:tcPr>
            <w:tcW w:w="2127" w:type="dxa"/>
          </w:tcPr>
          <w:p w14:paraId="12F359BD"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colchicine*</w:t>
            </w:r>
          </w:p>
        </w:tc>
        <w:tc>
          <w:tcPr>
            <w:tcW w:w="1559" w:type="dxa"/>
          </w:tcPr>
          <w:p w14:paraId="0423F70A" w14:textId="7D9EBC65"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0.07</w:t>
            </w:r>
          </w:p>
        </w:tc>
        <w:tc>
          <w:tcPr>
            <w:tcW w:w="1417" w:type="dxa"/>
          </w:tcPr>
          <w:p w14:paraId="72C9003D"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0.04</w:t>
            </w:r>
          </w:p>
        </w:tc>
        <w:tc>
          <w:tcPr>
            <w:tcW w:w="3884" w:type="dxa"/>
          </w:tcPr>
          <w:p w14:paraId="241B1A8D" w14:textId="444B2EC6"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{"citationItems":[{"id":"ITEM-1","itemData":{"author":[{"dropping-particle":"","family":"Desrayaud S, Guntz P, Scherrmann JM","given":"Lemaire M","non-dropping-particle":"","parse-names":false,"suffix":""}],"container-title":"Life Sciences","id":"ITEM-1","issue":"2","issued":{"date-parts":[["1997"]]},"page":"153-163","title":"Effect of the P-glycoprotein inhibitor, SDZ PSC 833, on the blood and brain pharmacokinetics of colchicine","type":"article-journal","volume":"61"},"uris":["http://www.mendeley.com/documents/?uuid=147df8db-f8b2-4b54-a12b-d2f8252ff638"]}],"mendeley":{"formattedCitation":"(19)","plainTextFormattedCitation":"(19)","previouslyFormattedCitation":"(19)"},"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(19)</w:t>
            </w:r>
            <w:r w:rsidRPr="00A97EA2">
              <w:rPr>
                <w:rFonts w:ascii="Calibri" w:hAnsi="Calibri" w:cs="Calibri"/>
                <w:sz w:val="20"/>
                <w:szCs w:val="20"/>
                <w:lang w:val="en-US"/>
              </w:rPr>
              <w:fldChar w:fldCharType="end"/>
            </w:r>
          </w:p>
        </w:tc>
      </w:tr>
      <w:tr w:rsidR="00D85E6C" w:rsidRPr="00A97EA2" w14:paraId="5ADD5F1C" w14:textId="77777777" w:rsidTr="00543737">
        <w:tc>
          <w:tcPr>
            <w:tcW w:w="2127" w:type="dxa"/>
          </w:tcPr>
          <w:p w14:paraId="3D579338"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DAMGO</w:t>
            </w:r>
          </w:p>
        </w:tc>
        <w:tc>
          <w:tcPr>
            <w:tcW w:w="1559" w:type="dxa"/>
          </w:tcPr>
          <w:p w14:paraId="13F0344A" w14:textId="7ADD98F3"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0.06</w:t>
            </w:r>
          </w:p>
        </w:tc>
        <w:tc>
          <w:tcPr>
            <w:tcW w:w="1417" w:type="dxa"/>
          </w:tcPr>
          <w:p w14:paraId="0112AE5D"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0.09</w:t>
            </w:r>
          </w:p>
        </w:tc>
        <w:tc>
          <w:tcPr>
            <w:tcW w:w="3884" w:type="dxa"/>
          </w:tcPr>
          <w:p w14:paraId="44B7D118" w14:textId="3A1756F0"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author":[{"dropping-particle":"","family":"Lindqvist","given":"Annika","non-dropping-particle":"","parse-names":false,"suffix":""},{"dropping-particle":"","family":"Rip","given":"Jaap","non-dropping-particle":"","parse-names":false,"suffix":""},{"dropping-particle":"","family":"Gaillard","given":"Pieter J","non-dropping-particle":"","parse-names":false,"suffix":""},{"dropping-particle":"","family":"Hammarlund-udenaes","given":"Margareta","non-dropping-particle":"","parse-names":false,"suffix":""}],"id":"ITEM-1","issued":{"date-parts":[["2013"]]},"title":"Enhanced Brain Delivery of the Opioid Peptide DAMGO in Glutathione PEGylated Liposomes: A Microdialysis Study","type":"article-journal"},"uris":["http://www.mendeley.com/documents/?uuid=529dfd3e-43bf-412b-b107-0ae3c932b18f"]}],"mendeley":{"formattedCitation":"(20)","plainTextFormattedCitation":"(20)","previouslyFormattedCitation":"(20)"},"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(20)</w:t>
            </w:r>
            <w:r w:rsidRPr="00A97EA2">
              <w:rPr>
                <w:rFonts w:ascii="Calibri" w:hAnsi="Calibri" w:cs="Calibri"/>
                <w:sz w:val="20"/>
                <w:szCs w:val="20"/>
                <w:lang w:val="en-US"/>
              </w:rPr>
              <w:fldChar w:fldCharType="end"/>
            </w:r>
          </w:p>
        </w:tc>
      </w:tr>
      <w:tr w:rsidR="00D85E6C" w:rsidRPr="00A97EA2" w14:paraId="650208F8" w14:textId="77777777" w:rsidTr="00543737">
        <w:tc>
          <w:tcPr>
            <w:tcW w:w="2127" w:type="dxa"/>
          </w:tcPr>
          <w:p w14:paraId="79968EDC"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diazepam</w:t>
            </w:r>
          </w:p>
        </w:tc>
        <w:tc>
          <w:tcPr>
            <w:tcW w:w="1559" w:type="dxa"/>
          </w:tcPr>
          <w:p w14:paraId="5A503972" w14:textId="1813AB5F" w:rsidR="00D85E6C" w:rsidRPr="009B40F1" w:rsidRDefault="00F6138D" w:rsidP="00C20571">
            <w:pPr>
              <w:rPr>
                <w:rFonts w:ascii="Calibri" w:hAnsi="Calibri" w:cs="Calibri"/>
                <w:color w:val="0070C0"/>
                <w:sz w:val="20"/>
                <w:szCs w:val="20"/>
                <w:lang w:val="en-US"/>
              </w:rPr>
            </w:pPr>
            <w:r w:rsidRPr="009B40F1">
              <w:rPr>
                <w:rFonts w:ascii="Calibri" w:hAnsi="Calibri" w:cs="Calibri"/>
                <w:color w:val="0070C0"/>
                <w:sz w:val="20"/>
                <w:szCs w:val="20"/>
                <w:lang w:val="en-US"/>
              </w:rPr>
              <w:t>0.68</w:t>
            </w:r>
          </w:p>
        </w:tc>
        <w:tc>
          <w:tcPr>
            <w:tcW w:w="1417" w:type="dxa"/>
          </w:tcPr>
          <w:p w14:paraId="52B8BE41" w14:textId="77777777"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t>0.982</w:t>
            </w:r>
          </w:p>
        </w:tc>
        <w:tc>
          <w:tcPr>
            <w:tcW w:w="3884" w:type="dxa"/>
          </w:tcPr>
          <w:p w14:paraId="14679669" w14:textId="054F849D" w:rsidR="00D85E6C" w:rsidRPr="00A97EA2" w:rsidRDefault="00D85E6C" w:rsidP="00C20571">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{"citationItems":[{"id":"ITEM-1","itemData":{"DOI":"10.1172/JCI114279","ISSN":"00219738","PMID":"2794052","abstract":"The tissue uptake of extensively plasma-bound compounds is reportedly inconsistent with the conventional free-drug hypothesis limiting transport to unbound moiety in rapid intracapillary equilibrium with bound complex. Instead, protein-mediated/cell surface enhancement of dissociation has been postulated to occur in the microvasculature. This possibility was investigated by studying the passive transport of diazepam across the blood-brain barrier. Microdialysis probes placed within the vena cava and brain cortex were used to directly compare steady-state, interstitial unbound diazepam levels in both Wistar and genetically analbuminemic rats. The absence of albumin in the latter increased the unbound fraction of diazepam by almost fivefold; however, in both groups, the ratio of unbound concentrations in brain and blood at equilibrium was equal to unity. If enhanced dissociation occurred in the microvasculature, then the unbound brain level should have been greater than that in the systemic circulation. It is probable that earlier findings suggestive of protein-mediated transport reflect a nonequilibrium phenomenon. Comparison of the extent of diazepam's in vivo binding in blood by microdialysis to that estimated in vitro using conventional equilibrium dialysis with microcells showed good agreement, thus validating a widely accepted assumption of equivalency of these two values.","author":[{"dropping-particle":"","family":"Dubey","given":"R. K.","non-dropping-particle":"","parse-names":false,"suffix":""},{"dropping-particle":"","family":"McAllister","given":"C. B.","non-dropping-particle":"","parse-names":false,"suffix":""},{"dropping-particle":"","family":"Inoue","given":"M.","non-dropping-particle":"","parse-names":false,"suffix":""},{"dropping-particle":"","family":"Wilkinson","given":"G. R.","non-dropping-particle":"","parse-names":false,"suffix":""}],"container-title":"Journal of Clinical Investigation","id":"ITEM-1","issue":"4","issued":{"date-parts":[["1989"]]},"page":"1155-1159","title":"Plasma binding and transport of diazepam across the blood-brain barrier. No evidence for in vivo enhanced dissociation","type":"article-journal","volume":"84"},"uris":["http://www.mendeley.com/documents/?uuid=645064a0-51d2-42b3-ba0b-8529751b9b16"]}],"mendeley":{"formattedCitation":"(21)","plainTextFormattedCitation":"(21)","previouslyFormattedCitation":"(21)"},"properties":{"noteIndex":0},"schema":"https://github.com/citation-style-language/schema/raw/master/csl-citation.json"}</w:instrText>
            </w:r>
            <w:r w:rsidRPr="00A97EA2">
              <w:rPr>
                <w:rFonts w:ascii="Calibri" w:hAnsi="Calibri" w:cs="Calibri"/>
                <w:sz w:val="20"/>
                <w:szCs w:val="20"/>
                <w:lang w:val="en-US"/>
              </w:rPr>
              <w:fldChar w:fldCharType="separate"/>
            </w:r>
            <w:r w:rsidR="00FD47FE" w:rsidRPr="00FD47FE">
              <w:rPr>
                <w:rFonts w:ascii="Calibri" w:hAnsi="Calibri" w:cs="Calibri"/>
                <w:noProof/>
                <w:sz w:val="20"/>
                <w:szCs w:val="20"/>
                <w:lang w:val="en-US"/>
              </w:rPr>
              <w:t>(21)</w:t>
            </w:r>
            <w:r w:rsidRPr="00A97EA2">
              <w:rPr>
                <w:rFonts w:ascii="Calibri" w:hAnsi="Calibri" w:cs="Calibri"/>
                <w:sz w:val="20"/>
                <w:szCs w:val="20"/>
                <w:lang w:val="en-US"/>
              </w:rPr>
              <w:fldChar w:fldCharType="end"/>
            </w:r>
          </w:p>
        </w:tc>
      </w:tr>
      <w:tr w:rsidR="00AD5A62" w:rsidRPr="00A97EA2" w14:paraId="3E456526" w14:textId="77777777" w:rsidTr="00405626">
        <w:tc>
          <w:tcPr>
            <w:tcW w:w="2127" w:type="dxa"/>
          </w:tcPr>
          <w:p w14:paraId="1A1EEF3B"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digoxin</w:t>
            </w:r>
          </w:p>
        </w:tc>
        <w:tc>
          <w:tcPr>
            <w:tcW w:w="1559" w:type="dxa"/>
            <w:vAlign w:val="bottom"/>
          </w:tcPr>
          <w:p w14:paraId="52B671B7" w14:textId="00076EAD"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0.02</w:t>
            </w:r>
          </w:p>
        </w:tc>
        <w:tc>
          <w:tcPr>
            <w:tcW w:w="1417" w:type="dxa"/>
          </w:tcPr>
          <w:p w14:paraId="3C355831"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0.024</w:t>
            </w:r>
          </w:p>
        </w:tc>
        <w:tc>
          <w:tcPr>
            <w:tcW w:w="3884" w:type="dxa"/>
          </w:tcPr>
          <w:p w14:paraId="65851A0E" w14:textId="64806416"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{"citationItems":[{"id":"ITEM-1","itemData":{"DOI":"10.1002/PRP2.575","ISSN":"2052-1707","PMID":"32266794","abstract":"In clinical pharmacology, the free drug hypothesis has been widely applied in the interpretation of the relationship between pharmacokinetics and pharmacodynamics (PK/PD). The free drug hypothesis assumes that the unbound drug concentration in blood is the same as that in the site of action at steady state. The objective of this study is to demonstrate whether the free drug hypothesis is universally applicable for all drugs. The unbound concentrations of the 18 compounds in blood and in brain interstitial fluids (ISF) at steady state following constant intravenous infusion were simultaneously monitored up to 6 hours via in vivo microdialysis technique. Based on the permeability and efflux ratio (ER), the test compounds can be divided into two classes. Class I includes the compounds with good membrane permeability that are not substrates of efflux transporters (eg, P-gp, BCRP, and MRPs), whereas Class II includes the compounds that are substrates of efflux transporters. The steady-state unbound drug concentrations in blood, brain, and CSF are quantitatively very similar for Class I compounds, whereas the steady-state unbound concentrations in the brain and CSF are significantly lower than those in blood for Class II compounds. These results strongly suggest that the free drug hypothesis is not universal for all drugs but is only applicable for drugs with good permeability that are not substrates of efflux transporters.","author":[{"dropping-particle":"","family":"Chen","given":"Chun","non-dropping-particle":"","parse-names":false,"suffix":""},{"dropping-particle":"","family":"Zhou","given":"Hongyu","non-dropping-particle":"","parse-names":false,"suffix":""},{"dropping-particle":"","family":"Guan","given":"Chi","non-dropping-particle":"","parse-names":false,"suffix":""},{"dropping-particle":"","family":"Zhang","given":"Huanhuan","non-dropping-particle":"","parse-names":false,"suffix":""},{"dropping-particle":"","family":"Li","given":"Yingying","non-dropping-particle":"","parse-names":false,"suffix":""},{"dropping-particle":"","family":"Jiang","given":"Xue","non-dropping-particle":"","parse-names":false,"suffix":""},{"dropping-particle":"","family":"Dong","given":"Zheng","non-dropping-particle":"","parse-names":false,"suffix":""},{"dropping-particle":"","family":"Tao","given":"Yuanyuan","non-dropping-particle":"","parse-names":false,"suffix":""},{"dropping-particle":"","family":"Du","given":"Juan","non-dropping-particle":"","parse-names":false,"suffix":""},{"dropping-particle":"","family":"Wang","given":"Shuyao","non-dropping-particle":"","parse-names":false,"suffix":""},{"dropping-particle":"","family":"Zhang","given":"Teng","non-dropping-particle":"","parse-names":false,"suffix":""},{"dropping-particle":"","family":"Du","given":"Na","non-dropping-particle":"","parse-names":false,"suffix":""},{"dropping-particle":"","family":"Guo","given":"Junyang","non-dropping-particle":"","parse-names":false,"suffix":""},{"dropping-particle":"","family":"Wu","given":"Yaqiong","non-dropping-particle":"","parse-names":false,"suffix":""},{"dropping-particle":"","family":"Song","given":"Zehai","non-dropping-particle":"","parse-names":false,"suffix":""},{"dropping-particle":"","family":"Luan","given":"Haofei","non-dropping-particle":"","parse-names":false,"suffix":""},{"dropping-particle":"","family":"Wang","given":"Yu","non-dropping-particle":"","parse-names":false,"suffix":""},{"dropping-particle":"","family":"Du","given":"Hongwen","non-dropping-particle":"","parse-names":false,"suffix":""},{"dropping-particle":"","family":"Zhang","given":"Shaofeng","non-dropping-particle":"","parse-names":false,"suffix":""},{"dropping-particle":"","family":"Li","given":"Chen","non-dropping-particle":"","parse-names":false,"suffix":""},{"dropping-particle":"","family":"Chang","given":"Hang","non-dropping-particle":"","parse-names":false,"suffix":""},{"dropping-particle":"","family":"Wang","given":"Tao","non-dropping-particle":"","parse-names":false,"suffix":""}],"container-title":"Pharmacology research &amp; perspectives","id":"ITEM-1","issue":"2","issued":{"date-parts":[["2020","4"]]},"publisher":"Pharmacol Res Perspect","title":"Applicability of free drug hypothesis to drugs with good membrane permeability that are not efflux transporter substrates: A microdialysis study in rats","type":"article-journal","volume":"8"},"uris":["http://www.mendeley.com/documents/?uuid=bd46f417-bc9d-4ffa-86a4-dec45f711fe9"]}],"mendeley":{"formattedCitation":"(7)","plainTextFormattedCitation":"(7)","previouslyFormattedCitation":"(7)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(7)</w:t>
            </w:r>
            <w:r w:rsidRPr="00A97EA2">
              <w:rPr>
                <w:rFonts w:ascii="Calibri" w:hAnsi="Calibri" w:cs="Calibri"/>
                <w:sz w:val="20"/>
                <w:szCs w:val="20"/>
                <w:lang w:val="en-US"/>
              </w:rPr>
              <w:fldChar w:fldCharType="end"/>
            </w:r>
          </w:p>
        </w:tc>
      </w:tr>
      <w:tr w:rsidR="00AD5A62" w:rsidRPr="00A97EA2" w14:paraId="5EF9B3DA" w14:textId="77777777" w:rsidTr="00405626">
        <w:tc>
          <w:tcPr>
            <w:tcW w:w="2127" w:type="dxa"/>
          </w:tcPr>
          <w:p w14:paraId="07464963"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diltiazem</w:t>
            </w:r>
          </w:p>
        </w:tc>
        <w:tc>
          <w:tcPr>
            <w:tcW w:w="1559" w:type="dxa"/>
            <w:vAlign w:val="bottom"/>
          </w:tcPr>
          <w:p w14:paraId="199D4CD7" w14:textId="7BD1F56F"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0.57</w:t>
            </w:r>
          </w:p>
        </w:tc>
        <w:tc>
          <w:tcPr>
            <w:tcW w:w="1417" w:type="dxa"/>
          </w:tcPr>
          <w:p w14:paraId="4299954B"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0.9</w:t>
            </w:r>
          </w:p>
        </w:tc>
        <w:tc>
          <w:tcPr>
            <w:tcW w:w="3884" w:type="dxa"/>
          </w:tcPr>
          <w:p w14:paraId="19013923" w14:textId="34688F5B"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{"citationItems":[{"id":"ITEM-1","itemData":{"DOI":"10.1002/PRP2.575","ISSN":"2052-1707","PMID":"32266794","abstract":"In clinical pharmacology, the free drug hypothesis has been widely applied in the interpretation of the relationship between pharmacokinetics and pharmacodynamics (PK/PD). The free drug hypothesis assumes that the unbound drug concentration in blood is the same as that in the site of action at steady state. The objective of this study is to demonstrate whether the free drug hypothesis is universally applicable for all drugs. The unbound concentrations of the 18 compounds in blood and in brain interstitial fluids (ISF) at steady state following constant intravenous infusion were simultaneously monitored up to 6 hours via in vivo microdialysis technique. Based on the permeability and efflux ratio (ER), the test compounds can be divided into two classes. Class I includes the compounds with good membrane permeability that are not substrates of efflux transporters (eg, P-gp, BCRP, and MRPs), whereas Class II includes the compounds that are substrates of efflux transporters. The steady-state unbound drug concentrations in blood, brain, and CSF are quantitatively very similar for Class I compounds, whereas the steady-state unbound concentrations in the brain and CSF are significantly lower than those in blood for Class II compounds. These results strongly suggest that the free drug hypothesis is not universal for all drugs but is only applicable for drugs with good permeability that are not substrates of efflux transporters.","author":[{"dropping-particle":"","family":"Chen","given":"Chun","non-dropping-particle":"","parse-names":false,"suffix":""},{"dropping-particle":"","family":"Zhou","given":"Hongyu","non-dropping-particle":"","parse-names":false,"suffix":""},{"dropping-particle":"","family":"Guan","given":"Chi","non-dropping-particle":"","parse-names":false,"suffix":""},{"dropping-particle":"","family":"Zhang","given":"Huanhuan","non-dropping-particle":"","parse-names":false,"suffix":""},{"dropping-particle":"","family":"Li","given":"Yingying","non-dropping-particle":"","parse-names":false,"suffix":""},{"dropping-particle":"","family":"Jiang","given":"Xue","non-dropping-particle":"","parse-names":false,"suffix":""},{"dropping-particle":"","family":"Dong","given":"Zheng","non-dropping-particle":"","parse-names":false,"suffix":""},{"dropping-particle":"","family":"Tao","given":"Yuanyuan","non-dropping-particle":"","parse-names":false,"suffix":""},{"dropping-particle":"","family":"Du","given":"Juan","non-dropping-particle":"","parse-names":false,"suffix":""},{"dropping-particle":"","family":"Wang","given":"Shuyao","non-dropping-particle":"","parse-names":false,"suffix":""},{"dropping-particle":"","family":"Zhang","given":"Teng","non-dropping-particle":"","parse-names":false,"suffix":""},{"dropping-particle":"","family":"Du","given":"Na","non-dropping-particle":"","parse-names":false,"suffix":""},{"dropping-particle":"","family":"Guo","given":"Junyang","non-dropping-particle":"","parse-names":false,"suffix":""},{"dropping-particle":"","family":"Wu","given":"Yaqiong","non-dropping-particle":"","parse-names":false,"suffix":""},{"dropping-particle":"","family":"Song","given":"Zehai","non-dropping-particle":"","parse-names":false,"suffix":""},{"dropping-particle":"","family":"Luan","given":"Haofei","non-dropping-particle":"","parse-names":false,"suffix":""},{"dropping-particle":"","family":"Wang","given":"Yu","non-dropping-particle":"","parse-names":false,"suffix":""},{"dropping-particle":"","family":"Du","given":"Hongwen","non-dropping-particle":"","parse-names":false,"suffix":""},{"dropping-particle":"","family":"Zhang","given":"Shaofeng","non-dropping-particle":"","parse-names":false,"suffix":""},{"dropping-particle":"","family":"Li","given":"Chen","non-dropping-particle":"","parse-names":false,"suffix":""},{"dropping-particle":"","family":"Chang","given":"Hang","non-dropping-particle":"","parse-names":false,"suffix":""},{"dropping-particle":"","family":"Wang","given":"Tao","non-dropping-particle":"","parse-names":false,"suffix":""}],"container-title":"Pharmacology research &amp; perspectives","id":"ITEM-1","issue":"2","issued":{"date-parts":[["2020","4"]]},"publisher":"Pharmacol Res Perspect","title":"Applicability of free drug hypothesis to drugs with good membrane permeability that are not efflux transporter substrates: A microdialysis study in rats","type":"article-journal","volume":"8"},"uris":["http://www.mendeley.com/documents/?uuid=bd46f417-bc9d-4ffa-86a4-dec45f711fe9"]}],"mendeley":{"formattedCitation":"(7)","plainTextFormattedCitation":"(7)","previouslyFormattedCitation":"(7)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(7)</w:t>
            </w:r>
            <w:r w:rsidRPr="00A97EA2">
              <w:rPr>
                <w:rFonts w:ascii="Calibri" w:hAnsi="Calibri" w:cs="Calibri"/>
                <w:sz w:val="20"/>
                <w:szCs w:val="20"/>
                <w:lang w:val="en-US"/>
              </w:rPr>
              <w:fldChar w:fldCharType="end"/>
            </w:r>
          </w:p>
        </w:tc>
      </w:tr>
      <w:tr w:rsidR="00AD5A62" w:rsidRPr="00A97EA2" w14:paraId="73341D22" w14:textId="77777777" w:rsidTr="00405626">
        <w:tc>
          <w:tcPr>
            <w:tcW w:w="2127" w:type="dxa"/>
          </w:tcPr>
          <w:p w14:paraId="2C759E9E"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diphenhydramine</w:t>
            </w:r>
          </w:p>
        </w:tc>
        <w:tc>
          <w:tcPr>
            <w:tcW w:w="1559" w:type="dxa"/>
            <w:vAlign w:val="bottom"/>
          </w:tcPr>
          <w:p w14:paraId="026FB9D4" w14:textId="310B796C"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1.40</w:t>
            </w:r>
          </w:p>
        </w:tc>
        <w:tc>
          <w:tcPr>
            <w:tcW w:w="1417" w:type="dxa"/>
          </w:tcPr>
          <w:p w14:paraId="1338B211"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3.85</w:t>
            </w:r>
          </w:p>
        </w:tc>
        <w:tc>
          <w:tcPr>
            <w:tcW w:w="3884" w:type="dxa"/>
          </w:tcPr>
          <w:p w14:paraId="0113E490" w14:textId="395B4490"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{"citationItems":[{"id":"ITEM-1","itemData":{"DOI":"10.1002/jps.24691","ISSN":"15206017","PMID":"26554532","abstract":"Brain microdialysis is a powerful tool to estimate brain-to-plasma unbound concentration ratio at the steady state (Kp,uu) of compounds by direct measurement of the unbound concentration in brain interstitial fluid. Here, we evaluated a method to estimate Kp,uu values of multiple organic-cationic drugs simultaneously, by means of brain microdialysis combined with cocktail dosing. Five cationic drugs (diphenhydramine, memantine, oxycodone, pyrilamine, and tramadol), substrates of the proton-coupled organic cation antiport system, were selected as model drugs, and compared under single-dosing and cocktail-dosing conditions. We selected doses of the drugs at which no significant drug-drug interaction occurs at the proton-coupled organic cation antiport system in the blood-brain barrier (BBB). This was confirmed by uptake studies in hCMEC/D3 cells, an in vitro BBB model. The Kp,uu values after cocktail administration were in the range of 1.8-5.2, and were in good agreement with those after single administration. These results suggest that the microdialysis method with cocktail dosing is suitable to estimate Kp,uu values of several cationic drugs simultaneously, if there is no drug-drug interaction during BBB transport. The method could be useful for evaluating drug candidates with high Kp,uu values at an early stage in the development of central nervous system-acting drugs.","author":[{"dropping-particle":"","family":"Kitamura","given":"Atsushi","non-dropping-particle":"","parse-names":false,"suffix":""},{"dropping-particle":"","family":"Okura","given":"Takashi","non-dropping-particle":"","parse-names":false,"suffix":""},{"dropping-particle":"","family":"Higuchi","given":"Kei","non-dropping-particle":"","parse-names":false,"suffix":""},{"dropping-particle":"","family":"Deguchi","given":"Yoshiharu","non-dropping-particle":"","parse-names":false,"suffix":""}],"container-title":"Journal of Pharmaceutical Sciences","id":"ITEM-1","issue":"2","issued":{"date-parts":[["2016"]]},"page":"935-940","publisher":"Elsevier Ltd","title":"Cocktail-Dosing Microdialysis Study to Simultaneously Assess Delivery of Multiple Organic-Cationic Drugs to the Brain","type":"article-journal","volume":"105"},"uris":["http://www.mendeley.com/documents/?uuid=d1bdcfcc-ff8a-4a3a-99a5-a40124ab3aec"]}],"mendeley":{"formattedCitation":"(22)","plainTextFormattedCitation":"(22)","previouslyFormattedCitation":"(22)"},"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(22)</w:t>
            </w:r>
            <w:r w:rsidRPr="00A97EA2">
              <w:rPr>
                <w:rFonts w:ascii="Calibri" w:hAnsi="Calibri" w:cs="Calibri"/>
                <w:sz w:val="20"/>
                <w:szCs w:val="20"/>
                <w:lang w:val="en-US"/>
              </w:rPr>
              <w:fldChar w:fldCharType="end"/>
            </w:r>
          </w:p>
        </w:tc>
      </w:tr>
      <w:tr w:rsidR="00AD5A62" w:rsidRPr="00A97EA2" w14:paraId="4EA6F094" w14:textId="77777777" w:rsidTr="00405626">
        <w:tc>
          <w:tcPr>
            <w:tcW w:w="2127" w:type="dxa"/>
          </w:tcPr>
          <w:p w14:paraId="314EA3BB"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duloxetine</w:t>
            </w:r>
          </w:p>
        </w:tc>
        <w:tc>
          <w:tcPr>
            <w:tcW w:w="1559" w:type="dxa"/>
            <w:vAlign w:val="bottom"/>
          </w:tcPr>
          <w:p w14:paraId="687DE647" w14:textId="4EB8FC2A"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0.81</w:t>
            </w:r>
          </w:p>
        </w:tc>
        <w:tc>
          <w:tcPr>
            <w:tcW w:w="1417" w:type="dxa"/>
          </w:tcPr>
          <w:p w14:paraId="40F81C6B"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0.6</w:t>
            </w:r>
          </w:p>
        </w:tc>
        <w:tc>
          <w:tcPr>
            <w:tcW w:w="3884" w:type="dxa"/>
          </w:tcPr>
          <w:p w14:paraId="0966FA8F" w14:textId="1F8C2F5C"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{"citationItems":[{"id":"ITEM-1","itemData":{"DOI":"10.1124/dmd.111.043554","ISSN":"1521009X","PMID":"22287668","abstract":"The central nervous system (CNS) pharmacokinetics (PK) of drugs that have pharmacological targets in the brain are not often understood during drug development, and this gap in knowledge is a limitation in providing a quantitative framework for translating non-clinical pharmacologic data to the clinical patient population. A focus of translational sciences is to improve the efficiency of clinical trial design via a more judicious selection of clinical doses on the basis of nonclinical data. We hypothesize that this can be achieved for CNS-acting drugs based on knowledge of CNS PK and brain target engagement obtained in nonclinical studies. Translating CNS PK models from rat to human can allow for the prediction of human brain PK and the human dose-brain exposure relationship, which can provide insight on the clinical dose(s) having potential brain activity and target engagement. In this study, we explored the potential utility of this translational approach using rat brain microdialysis and PK modeling techniques to predict human brain extracellular fluid PK of atomoxetine and duloxetine. The results show that this translational approach merits consideration as a means to support the clinical development of CNS-mediated drug candidates by enhancing the ability to predict pharmacologically relevant doses in humans in the absence of or in association with other biomarker approaches. Copyright © 2012 by The American Society for Pharmacology and Experimental Therapeutics.","author":[{"dropping-particle":"","family":"Kielbasa","given":"W.","non-dropping-particle":"","parse-names":false,"suffix":""},{"dropping-particle":"","family":"Stratford","given":"R. E.","non-dropping-particle":"","parse-names":false,"suffix":""}],"container-title":"Drug Metabolism and Disposition","id":"ITEM-1","issue":"5","issued":{"date-parts":[["2012"]]},"page":"877-883","title":"Exploratory translational modeling approach in drug development to predict human brain pharmacokinetics and pharmacologically relevant clinical doses","type":"article-journal","volume":"40"},"uris":["http://www.mendeley.com/documents/?uuid=49c9806b-815a-4c93-ba9a-e3eb3d106423"]}],"mendeley":{"formattedCitation":"(23)","plainTextFormattedCitation":"(23)","previouslyFormattedCitation":"(23)"},"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(23)</w:t>
            </w:r>
            <w:r w:rsidRPr="00A97EA2">
              <w:rPr>
                <w:rFonts w:ascii="Calibri" w:hAnsi="Calibri" w:cs="Calibri"/>
                <w:sz w:val="20"/>
                <w:szCs w:val="20"/>
                <w:lang w:val="en-US"/>
              </w:rPr>
              <w:fldChar w:fldCharType="end"/>
            </w:r>
          </w:p>
        </w:tc>
      </w:tr>
      <w:tr w:rsidR="00AD5A62" w:rsidRPr="00A97EA2" w14:paraId="58C2FC82" w14:textId="77777777" w:rsidTr="00405626">
        <w:tc>
          <w:tcPr>
            <w:tcW w:w="2127" w:type="dxa"/>
          </w:tcPr>
          <w:p w14:paraId="608DF4A3"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escitalopram</w:t>
            </w:r>
          </w:p>
        </w:tc>
        <w:tc>
          <w:tcPr>
            <w:tcW w:w="1559" w:type="dxa"/>
            <w:vAlign w:val="bottom"/>
          </w:tcPr>
          <w:p w14:paraId="2B0F4EFD" w14:textId="1AED9645"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0.88</w:t>
            </w:r>
          </w:p>
        </w:tc>
        <w:tc>
          <w:tcPr>
            <w:tcW w:w="1417" w:type="dxa"/>
          </w:tcPr>
          <w:p w14:paraId="0556103D"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0.78</w:t>
            </w:r>
          </w:p>
        </w:tc>
        <w:tc>
          <w:tcPr>
            <w:tcW w:w="3884" w:type="dxa"/>
          </w:tcPr>
          <w:p w14:paraId="51B99CD8" w14:textId="75A8A46B"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{"citationItems":[{"id":"ITEM-1","itemData":{"DOI":"10.1002/BDD.562","ISSN":"1099-081X","PMID":"17654695","abstract":"This study examined the pharmacokinetics and distribution of escitalopram in the brain extracellular fluid in rats by the concurrent use of intracerebral microdialysis and serial blood sampling. Following three constant intravenous infusions, drug concentrations in the hippocampus and plasma were monitored for 6h. To estimate the integrated pharmacokinetics and intercompartmental transport parameters, including blood-brain barrier (BBB) transport over the entire dose range, unbound brain and plasma escitalopram concentration data from all doses were simultaneously analysed using compartmental modelling. The pharmacokinetic analysis revealed that systemic clearance decreased as a function of dose, which was incorporated in the integrated model. Escitalopram was rapidly and extensively transported across the BBB and distributed into the brain extracellular fluid. The modelling resulted in an estimated influx clearance into the brain of 535 υl/min/g brain, resulting in an unbound brain-to-plasma AUC ratio of 0.8 independent of escitalopram dose. The model may be applied for preclinical evaluations or predictions of escitalopram concentration-time courses in plasma as well as at the target site in the CNS for various dosing scenarios. In addition, this modelling approach may also be valuable for studying BBB transport characteristics for other psychotropic agents. Copyright © 2007 John Wiley &amp; Sons, Ltd.","author":[{"dropping-particle":"","family":"Bundgaard","given":"Christoffer","non-dropping-particle":"","parse-names":false,"suffix":""},{"dropping-particle":"","family":"Jørgensen","given":"Martin","non-dropping-particle":"","parse-names":false,"suffix":""},{"dropping-particle":"","family":"Larsen","given":"Frank","non-dropping-particle":"","parse-names":false,"suffix":""}],"container-title":"Biopharmaceutics &amp; Drug Disposition","id":"ITEM-1","issue":"7","issued":{"date-parts":[["2007","10"]]},"page":"349-360","publisher":"John Wiley &amp; Sons, Ltd","title":"Pharmacokinetic modelling of blood–brain barrier transport of escitalopram in rats","type":"article-journal","volume":"28"},"uris":["http://www.mendeley.com/documents/?uuid=b46057e4-a492-462e-9de4-b807fe662407"]}],"mendeley":{"formattedCitation":"(24)","plainTextFormattedCitation":"(24)","previouslyFormattedCitation":"(24)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(24)</w:t>
            </w:r>
            <w:r w:rsidRPr="00A97EA2">
              <w:rPr>
                <w:rFonts w:ascii="Calibri" w:hAnsi="Calibri" w:cs="Calibri"/>
                <w:sz w:val="20"/>
                <w:szCs w:val="20"/>
                <w:lang w:val="en-US"/>
              </w:rPr>
              <w:fldChar w:fldCharType="end"/>
            </w:r>
          </w:p>
        </w:tc>
      </w:tr>
      <w:tr w:rsidR="00AD5A62" w:rsidRPr="005001B1" w14:paraId="7ADB5FE3" w14:textId="77777777" w:rsidTr="00405626">
        <w:tc>
          <w:tcPr>
            <w:tcW w:w="2127" w:type="dxa"/>
          </w:tcPr>
          <w:p w14:paraId="4B5DF299"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fexofenadine</w:t>
            </w:r>
          </w:p>
        </w:tc>
        <w:tc>
          <w:tcPr>
            <w:tcW w:w="1559" w:type="dxa"/>
            <w:vAlign w:val="bottom"/>
          </w:tcPr>
          <w:p w14:paraId="5EBF9AA3" w14:textId="4A665375"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0.11</w:t>
            </w:r>
          </w:p>
        </w:tc>
        <w:tc>
          <w:tcPr>
            <w:tcW w:w="1417" w:type="dxa"/>
          </w:tcPr>
          <w:p w14:paraId="779C3874"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0.104</w:t>
            </w:r>
          </w:p>
        </w:tc>
        <w:tc>
          <w:tcPr>
            <w:tcW w:w="3884" w:type="dxa"/>
          </w:tcPr>
          <w:p w14:paraId="3F2EA0CB" w14:textId="63986310" w:rsidR="00AD5A62" w:rsidRPr="001E3981" w:rsidRDefault="00AD5A62" w:rsidP="00AD5A62">
            <w:pPr>
              <w:rPr>
                <w:rFonts w:ascii="Calibri" w:hAnsi="Calibri" w:cs="Calibri"/>
                <w:sz w:val="20"/>
                <w:szCs w:val="20"/>
                <w:lang w:val="fr-FR"/>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{"citationItems":[{"id":"ITEM-1","itemData":{"DOI":"10.1002/PRP2.575","ISSN":"2052-1707","PMID":"32266794","abstract":"In clinical pharmacology, the free drug hypothesis has been widely applied in the interpretation of the relationship between pharmacokinetics and pharmacodynamics (PK/PD). The free drug hypothesis assumes that the unbound drug concentration in blood is the same as that in the site of action at steady state. The objective of this study is to demonstrate whether the free drug hypothesis is universally applicable for all drugs. The unbound concentrations of the 18 compounds in blood and in brain interstitial fluids (ISF) at steady state following constant intravenous infusion were simultaneously monitored up to 6 hours via in vivo microdialysis technique. Based on the permeability and efflux ratio (ER), the test compounds can be divided into two classes. Class I includes the compounds with good membrane permeability that are not substrates of efflux transporters (eg, P-gp, BCRP, and MRPs), whereas Class II includes the compounds that are substrates of efflux transporters. The steady-state unbound drug concentrations in blood, brain, and CSF are quantitatively very similar for Class I compounds, whereas the steady-state unbound concentrations in the brain and CSF are significantly lower than those in blood for Class II compounds. These results strongly suggest that the free drug hypothesis is not universal for all drugs but is only applicable for drugs with good permeability that are not substrates of efflux transporters.","author":[{"dropping-particle":"","family":"Chen","given":"Chun","non-dropping-particle":"","parse-names":false,"suffix":""},{"dropping-particle":"","family":"Zhou","given":"Hongyu","non-dropping-particle":"","parse-names":false,"suffix":""},{"dropping-particle":"","family":"Guan","given":"Chi","non-dropping-particle":"","parse-names":false,"suffix":""},{"dropping-particle":"","family":"Zhang","given":"Huanhuan","non-dropping-particle":"","parse-names":false,"suffix":""},{"dropping-particle":"","family":"Li","given":"Yingying","non-dropping-particle":"","parse-names":false,"suffix":""},{"dropping-particle":"","family":"Jiang","given":"Xue","non-dropping-particle":"","parse-names":false,"suffix":""},{"dropping-particle":"","family":"Dong","given":"Zheng","non-dropping-particle":"","parse-names":false,"suffix":""},{"dropping-particle":"","family":"Tao","given":"Yuanyuan","non-dropping-particle":"","parse-names":false,"suffix":""},{"dropping-particle":"","family":"Du","given":"Juan","non-dropping-particle":"","parse-names":false,"suffix":""},{"dropping-particle":"","family":"Wang","given":"Shuyao","non-dropping-particle":"","parse-names":false,"suffix":""},{"dropping-particle":"","family":"Zhang","given":"Teng","non-dropping-particle":"","parse-names":false,"suffix":""},{"dropping-particle":"","family":"Du","given":"Na","non-dropping-particle":"","parse-names":false,"suffix":""},{"dropping-particle":"","family":"Guo","given":"Junyang","non-dropping-particle":"","parse-names":false,"suffix":""},{"dropping-particle":"","family":"Wu","given":"Yaqiong","non-dropping-particle":"","parse-names":false,"suffix":""},{"dropping-particle":"","family":"Song","given":"Zehai","non-dropping-particle":"","parse-names":false,"suffix":""},{"dropping-particle":"","family":"Luan","given":"Haofei","non-dropping-particle":"","parse-names":false,"suffix":""},{"dropping-particle":"","family":"Wang","given":"Yu","non-dropping-particle":"","parse-names":false,"suffix":""},{"dropping-particle":"","family":"Du","given":"Hongwen","non-dropping-particle":"","parse-names":false,"suffix":""},{"dropping-particle":"","family":"Zhang","given":"Shaofeng","non-dropping-particle":"","parse-names":false,"suffix":""},{"dropping-particle":"","family":"Li","given":"Chen","non-dropping-particle":"","parse-names":false,"suffix":""},{"dropping-particle":"","family":"Chang","given":"Hang","non-dropping-particle":"","parse-names":false,"suffix":""},{"dropping-particle":"","family":"Wang","given":"Tao","non-dropping-particle":"","parse-names":false,"suffix":""}],"container-title":"Pharmacology research &amp; perspectives","id":"ITEM-1","issue":"2","issued":{"date-parts":[["2020","4"]]},"publisher":"Pharmacol Res Perspect","title":"Applicability of free drug hypothesis to drugs with good membrane permeability that are not efflux transporter substrates: A microdialysis study in rats","type":"article-journal","volume":"8"},"uris":["http://www.mendeley.com/documents/?uuid=bd46f417-bc9d-4ffa-86a4-dec45f711fe9"]}],"mendeley":{"formattedCitation":"(7)","plainTextFormattedCitation":"(7)","previouslyFormattedCitation":"(7)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fr-FR"/>
              </w:rPr>
              <w:t>(7)</w:t>
            </w:r>
            <w:r w:rsidRPr="00A97EA2">
              <w:rPr>
                <w:rFonts w:ascii="Calibri" w:hAnsi="Calibri" w:cs="Calibri"/>
                <w:sz w:val="20"/>
                <w:szCs w:val="20"/>
                <w:lang w:val="en-US"/>
              </w:rPr>
              <w:fldChar w:fldCharType="end"/>
            </w:r>
          </w:p>
        </w:tc>
      </w:tr>
      <w:tr w:rsidR="00AD5A62" w:rsidRPr="005001B1" w14:paraId="3FD356C4" w14:textId="77777777" w:rsidTr="00405626">
        <w:tc>
          <w:tcPr>
            <w:tcW w:w="2127" w:type="dxa"/>
          </w:tcPr>
          <w:p w14:paraId="4CFA86FE" w14:textId="77777777" w:rsidR="00AD5A62" w:rsidRPr="001E3981" w:rsidRDefault="00AD5A62" w:rsidP="00AD5A62">
            <w:pPr>
              <w:rPr>
                <w:rFonts w:ascii="Calibri" w:hAnsi="Calibri" w:cs="Calibri"/>
                <w:sz w:val="20"/>
                <w:szCs w:val="20"/>
                <w:lang w:val="fr-FR"/>
              </w:rPr>
            </w:pPr>
            <w:proofErr w:type="spellStart"/>
            <w:r w:rsidRPr="001E3981">
              <w:rPr>
                <w:rFonts w:ascii="Calibri" w:hAnsi="Calibri" w:cs="Calibri"/>
                <w:sz w:val="20"/>
                <w:szCs w:val="20"/>
                <w:lang w:val="fr-FR"/>
              </w:rPr>
              <w:t>fluorescein</w:t>
            </w:r>
            <w:proofErr w:type="spellEnd"/>
          </w:p>
        </w:tc>
        <w:tc>
          <w:tcPr>
            <w:tcW w:w="1559" w:type="dxa"/>
            <w:vAlign w:val="bottom"/>
          </w:tcPr>
          <w:p w14:paraId="6BD357DC" w14:textId="3F719C96" w:rsidR="00AD5A62" w:rsidRPr="009B40F1" w:rsidRDefault="00F6138D" w:rsidP="00AD5A62">
            <w:pPr>
              <w:rPr>
                <w:rFonts w:ascii="Calibri" w:hAnsi="Calibri" w:cs="Calibri"/>
                <w:color w:val="0070C0"/>
                <w:sz w:val="20"/>
                <w:szCs w:val="20"/>
                <w:lang w:val="fr-FR"/>
              </w:rPr>
            </w:pPr>
            <w:r w:rsidRPr="009B40F1">
              <w:rPr>
                <w:rFonts w:ascii="Calibri" w:hAnsi="Calibri" w:cs="Calibri"/>
                <w:color w:val="0070C0"/>
                <w:sz w:val="20"/>
                <w:szCs w:val="20"/>
                <w:lang w:val="fr-FR"/>
              </w:rPr>
              <w:t>0.04</w:t>
            </w:r>
          </w:p>
        </w:tc>
        <w:tc>
          <w:tcPr>
            <w:tcW w:w="1417" w:type="dxa"/>
          </w:tcPr>
          <w:p w14:paraId="25DE7BE6" w14:textId="77777777" w:rsidR="00AD5A62" w:rsidRPr="001E3981" w:rsidRDefault="00AD5A62" w:rsidP="00AD5A62">
            <w:pPr>
              <w:rPr>
                <w:rFonts w:ascii="Calibri" w:hAnsi="Calibri" w:cs="Calibri"/>
                <w:sz w:val="20"/>
                <w:szCs w:val="20"/>
                <w:lang w:val="fr-FR"/>
              </w:rPr>
            </w:pPr>
            <w:r w:rsidRPr="001E3981">
              <w:rPr>
                <w:rFonts w:ascii="Calibri" w:hAnsi="Calibri" w:cs="Calibri"/>
                <w:sz w:val="20"/>
                <w:szCs w:val="20"/>
                <w:lang w:val="fr-FR"/>
              </w:rPr>
              <w:t>0.018</w:t>
            </w:r>
          </w:p>
        </w:tc>
        <w:tc>
          <w:tcPr>
            <w:tcW w:w="3884" w:type="dxa"/>
          </w:tcPr>
          <w:p w14:paraId="6343EC76" w14:textId="00F602A5" w:rsidR="00AD5A62" w:rsidRPr="001E3981" w:rsidRDefault="00AD5A62" w:rsidP="00AD5A62">
            <w:pPr>
              <w:rPr>
                <w:rFonts w:ascii="Calibri" w:hAnsi="Calibri" w:cs="Calibri"/>
                <w:sz w:val="20"/>
                <w:szCs w:val="20"/>
                <w:lang w:val="fr-FR"/>
              </w:rPr>
            </w:pPr>
            <w:r w:rsidRPr="00A97EA2">
              <w:rPr>
                <w:rFonts w:ascii="Calibri" w:hAnsi="Calibri" w:cs="Calibri"/>
                <w:sz w:val="20"/>
                <w:szCs w:val="20"/>
                <w:lang w:val="en-US"/>
              </w:rPr>
              <w:fldChar w:fldCharType="begin" w:fldLock="1"/>
            </w:r>
            <w:r w:rsidR="00FB520A">
              <w:rPr>
                <w:rFonts w:ascii="Calibri" w:hAnsi="Calibri" w:cs="Calibri"/>
                <w:sz w:val="20"/>
                <w:szCs w:val="20"/>
                <w:lang w:val="fr-FR"/>
              </w:rPr>
              <w:instrText>ADDIN CSL_CITATION {"citationItems":[{"id":"ITEM-1","itemData":{"author":[{"dropping-particle":"","family":"Sun","given":"Haiying","non-dropping-particle":"","parse-names":false,"suffix":""},{"dropping-particle":"","family":"Miller","given":"Donald W","non-dropping-particle":"","parse-names":false,"suffix":""},{"dropping-particle":"","family":"Elmquist","given":"William F","non-dropping-particle":"","parse-names":false,"suffix":""}],"container-title":"Pharmaceutical Research","id":"ITEM-1","issue":"11","issued":{"date-parts":[["2001"]]},"page":"1542-1549","title":"Effect of Probenecid on Fluorescein Transport in the Central Nervous System Using In Vitro and In Vivo Models","type":"article-journal","volume":"18"},"uris":["http://www.mendeley.com/documents/?uuid=840652cf-557b-4fdc-80bf-5a28d7c6a73b"]}],"mendeley":{"formattedCitation":"(25)","plainTextFormattedCitation":"(25)","previouslyFormattedCitation":"(25)"},"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fr-FR"/>
              </w:rPr>
              <w:t>(25)</w:t>
            </w:r>
            <w:r w:rsidRPr="00A97EA2">
              <w:rPr>
                <w:rFonts w:ascii="Calibri" w:hAnsi="Calibri" w:cs="Calibri"/>
                <w:sz w:val="20"/>
                <w:szCs w:val="20"/>
                <w:lang w:val="en-US"/>
              </w:rPr>
              <w:fldChar w:fldCharType="end"/>
            </w:r>
          </w:p>
        </w:tc>
      </w:tr>
      <w:tr w:rsidR="00AD5A62" w:rsidRPr="00A97EA2" w14:paraId="5BD9B325" w14:textId="77777777" w:rsidTr="00405626">
        <w:tc>
          <w:tcPr>
            <w:tcW w:w="2127" w:type="dxa"/>
          </w:tcPr>
          <w:p w14:paraId="29B46643" w14:textId="5DBCC1E5" w:rsidR="00AD5A62" w:rsidRPr="00F6138D" w:rsidRDefault="00F6138D" w:rsidP="00AD5A62">
            <w:pPr>
              <w:rPr>
                <w:rFonts w:ascii="Calibri" w:hAnsi="Calibri" w:cs="Calibri"/>
                <w:sz w:val="20"/>
                <w:szCs w:val="20"/>
                <w:vertAlign w:val="superscript"/>
                <w:lang w:val="fr-FR"/>
              </w:rPr>
            </w:pPr>
            <w:proofErr w:type="spellStart"/>
            <w:r>
              <w:rPr>
                <w:rFonts w:ascii="Calibri" w:hAnsi="Calibri" w:cs="Calibri"/>
                <w:sz w:val="20"/>
                <w:szCs w:val="20"/>
                <w:lang w:val="fr-FR"/>
              </w:rPr>
              <w:t>f</w:t>
            </w:r>
            <w:r w:rsidR="00AD5A62" w:rsidRPr="001E3981">
              <w:rPr>
                <w:rFonts w:ascii="Calibri" w:hAnsi="Calibri" w:cs="Calibri"/>
                <w:sz w:val="20"/>
                <w:szCs w:val="20"/>
                <w:lang w:val="fr-FR"/>
              </w:rPr>
              <w:t>luoxetine</w:t>
            </w:r>
            <w:proofErr w:type="spellEnd"/>
            <w:r>
              <w:rPr>
                <w:rFonts w:ascii="Calibri" w:hAnsi="Calibri" w:cs="Calibri"/>
                <w:sz w:val="20"/>
                <w:szCs w:val="20"/>
                <w:vertAlign w:val="superscript"/>
                <w:lang w:val="fr-FR"/>
              </w:rPr>
              <w:t>#</w:t>
            </w:r>
          </w:p>
        </w:tc>
        <w:tc>
          <w:tcPr>
            <w:tcW w:w="1559" w:type="dxa"/>
            <w:vAlign w:val="bottom"/>
          </w:tcPr>
          <w:p w14:paraId="5B017C00" w14:textId="049104E8" w:rsidR="00AD5A62" w:rsidRPr="009B40F1" w:rsidRDefault="00F6138D" w:rsidP="00AD5A62">
            <w:pPr>
              <w:rPr>
                <w:rFonts w:ascii="Calibri" w:hAnsi="Calibri" w:cs="Calibri"/>
                <w:color w:val="0070C0"/>
                <w:sz w:val="20"/>
                <w:szCs w:val="20"/>
                <w:lang w:val="fr-FR"/>
              </w:rPr>
            </w:pPr>
            <w:r w:rsidRPr="009B40F1">
              <w:rPr>
                <w:rFonts w:ascii="Calibri" w:hAnsi="Calibri" w:cs="Calibri"/>
                <w:color w:val="0070C0"/>
                <w:sz w:val="20"/>
                <w:szCs w:val="20"/>
                <w:lang w:val="fr-FR"/>
              </w:rPr>
              <w:t>-</w:t>
            </w:r>
          </w:p>
        </w:tc>
        <w:tc>
          <w:tcPr>
            <w:tcW w:w="1417" w:type="dxa"/>
          </w:tcPr>
          <w:p w14:paraId="62FEF965" w14:textId="77777777" w:rsidR="00AD5A62" w:rsidRPr="001E3981" w:rsidRDefault="00AD5A62" w:rsidP="00AD5A62">
            <w:pPr>
              <w:rPr>
                <w:rFonts w:ascii="Calibri" w:hAnsi="Calibri" w:cs="Calibri"/>
                <w:sz w:val="20"/>
                <w:szCs w:val="20"/>
                <w:lang w:val="fr-FR"/>
              </w:rPr>
            </w:pPr>
            <w:r w:rsidRPr="001E3981">
              <w:rPr>
                <w:rFonts w:ascii="Calibri" w:hAnsi="Calibri" w:cs="Calibri"/>
                <w:sz w:val="20"/>
                <w:szCs w:val="20"/>
                <w:lang w:val="fr-FR"/>
              </w:rPr>
              <w:t>1.25</w:t>
            </w:r>
          </w:p>
        </w:tc>
        <w:tc>
          <w:tcPr>
            <w:tcW w:w="3884" w:type="dxa"/>
          </w:tcPr>
          <w:p w14:paraId="6AB27905" w14:textId="7A83E071"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fr-FR"/>
              </w:rPr>
              <w:instrText>ADDIN CSL_CITATION {"citationItems":[{"id":"ITEM-1","itemData":{"DOI":"10.1016/J.NEUROPHARM.2013.04.027","ISSN":"1873-7064","PMID":"23639435","abstract":"Inhibition of central α4b2 nAChRs by antidepressants, proposed to contribute to their clinical efficacy, was assessed for monoamine reuptake inhibitors (amitriptyline, nortriptyline, fluoxetine, sertraline, paroxetine, citalopram) by comparing projected human unbound brain drug concentrations (Cu,b) at therapeutic doses with concentrations that inhibit human α4b2 nAChRs in vitro. Inhibitory concentrations (IC50) were determined by patch clamp and ranged from 0.8e3.2 mM, except for nortriptyline (IC50 = 100 nM). Cu,b values were calculated from human unbound plasma drug concentrations (Cu,p) and rat-derived brain-to-plasma and extracellular fluid-to-plasma ratios for the unbound drug, which are near unity, due to much higher brain tissue binding than plasma protein binding of these drugs. Accordingly in humans, antidepressant Cu,b are projected to essentially equal Cu,p, with average values from 3e87 nM, which are 30-to-250-fold below their IC50 concentrations. Based on our model, monoaminergic antidepressants minimally inhibit central nAChRs and it is unlikely that α4b2 nAChR antagonism contributes to their antidepressant activity. Nortriptyline is an exception with a Cu,b that is 2-fold below its IC50, which is comparable to the nAChR antagonist (-)-mecamylamine, for which Cu,b is 4-fold below its IC50; both drugs will inhibit a substantial fraction of α4b2 nAChRs. The Cu,b of the α4b2 nAChR partial agonist varenicline, which has antidepressant-like activity in a murine model, is higher than its IC50 and varenicline is projected to cause w70% inhibition of α4b2 nAChRs. Taken together these data may help explain the negative outcome of recent antidepressant augmentation trials with mecamylamine and the partial agonist CP-601927. © 2013 Elsevier Ltd. All rights reserved.","author":[{"dropping-particle":"","family":"Weber","given":"Mark L.","non-dropping-particle":"","parse-names":false,"suffix":""},{"dropping-particle":"","family":"Hofland","given":"Corry M.","non-dropping-particle":"","parse-names":false,"suffix":""},{"dropping-particle":"","family":"Shaffer","given":"Christopher L.","non-dropping-particle":"","parse-names":false,"suffix":""},{"dropping-particle":"","family":"Flik","given":"Gunnar","non-dropping-particle":"","parse-names":false,"suffix":""},{"dropping-particle":"","family":"Cremers","given":"Thomas","non-dropping-particle":"","parse-names":false,"suffix":""},{"dropping-particle":"","family":"Hurst","given":"Raymond S.","non-dropping-particle":"","parse-names":false,"suffix":""},{"dropping-particle":"","family":"Rollema","given":"Hans","non-dropping-particle":"","parse-names":false,"suffix":""}],"container-title":"Neuropharmacology","id":"ITEM-1","issued":{"date-parts":[["2013"]]},"page":"88-95","publisher":"Neuropharmacology","title":"Therapeutic doses of antidepressants are projected not to inhibit human α4β2 nicotinic acetylcholine receptors","type":"article-journal","volume":"72"},"uris":["http://www.mendeley.com/documents/?uuid=586a4e57-8c43-470d-b44e-405e01cf553f"]}],"mendeley":{"formattedCitation":"(16)","plainTextFormattedCitation":"(16)","previouslyFormattedCitation":"(16)"},"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(16)</w:t>
            </w:r>
            <w:r w:rsidRPr="00A97EA2">
              <w:rPr>
                <w:rFonts w:ascii="Calibri" w:hAnsi="Calibri" w:cs="Calibri"/>
                <w:sz w:val="20"/>
                <w:szCs w:val="20"/>
                <w:lang w:val="en-US"/>
              </w:rPr>
              <w:fldChar w:fldCharType="end"/>
            </w:r>
          </w:p>
        </w:tc>
      </w:tr>
      <w:tr w:rsidR="00AD5A62" w:rsidRPr="00A97EA2" w14:paraId="17E1AEE3" w14:textId="77777777" w:rsidTr="00405626">
        <w:tc>
          <w:tcPr>
            <w:tcW w:w="2127" w:type="dxa"/>
          </w:tcPr>
          <w:p w14:paraId="0CA0AEBF" w14:textId="6FE6D9B2" w:rsidR="00AD5A62" w:rsidRPr="00A97EA2" w:rsidRDefault="00F6138D" w:rsidP="00AD5A62">
            <w:pPr>
              <w:rPr>
                <w:rFonts w:ascii="Calibri" w:hAnsi="Calibri" w:cs="Calibri"/>
                <w:sz w:val="20"/>
                <w:szCs w:val="20"/>
                <w:lang w:val="en-US"/>
              </w:rPr>
            </w:pPr>
            <w:r>
              <w:rPr>
                <w:rFonts w:ascii="Calibri" w:hAnsi="Calibri" w:cs="Calibri"/>
                <w:sz w:val="20"/>
                <w:szCs w:val="20"/>
                <w:lang w:val="en-US"/>
              </w:rPr>
              <w:t>g</w:t>
            </w:r>
            <w:r w:rsidR="00AD5A62" w:rsidRPr="00A97EA2">
              <w:rPr>
                <w:rFonts w:ascii="Calibri" w:hAnsi="Calibri" w:cs="Calibri"/>
                <w:sz w:val="20"/>
                <w:szCs w:val="20"/>
                <w:lang w:val="en-US"/>
              </w:rPr>
              <w:t>anciclovir</w:t>
            </w:r>
          </w:p>
        </w:tc>
        <w:tc>
          <w:tcPr>
            <w:tcW w:w="1559" w:type="dxa"/>
            <w:vAlign w:val="bottom"/>
          </w:tcPr>
          <w:p w14:paraId="75D8D48B" w14:textId="734B1899"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0.06</w:t>
            </w:r>
          </w:p>
        </w:tc>
        <w:tc>
          <w:tcPr>
            <w:tcW w:w="1417" w:type="dxa"/>
          </w:tcPr>
          <w:p w14:paraId="1A5EC6EF"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0.18</w:t>
            </w:r>
          </w:p>
        </w:tc>
        <w:tc>
          <w:tcPr>
            <w:tcW w:w="3884" w:type="dxa"/>
          </w:tcPr>
          <w:p w14:paraId="41027F7D" w14:textId="5E52D150"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{"citationItems":[{"id":"ITEM-1","itemData":{"DOI":"10.1002/PRP2.575","ISSN":"2052-1707","PMID":"32266794","abstract":"In clinical pharmacology, the free drug hypothesis has been widely applied in the interpretation of the relationship between pharmacokinetics and pharmacodynamics (PK/PD). The free drug hypothesis assumes that the unbound drug concentration in blood is the same as that in the site of action at steady state. The objective of this study is to demonstrate whether the free drug hypothesis is universally applicable for all drugs. The unbound concentrations of the 18 compounds in blood and in brain interstitial fluids (ISF) at steady state following constant intravenous infusion were simultaneously monitored up to 6 hours via in vivo microdialysis technique. Based on the permeability and efflux ratio (ER), the test compounds can be divided into two classes. Class I includes the compounds with good membrane permeability that are not substrates of efflux transporters (eg, P-gp, BCRP, and MRPs), whereas Class II includes the compounds that are substrates of efflux transporters. The steady-state unbound drug concentrations in blood, brain, and CSF are quantitatively very similar for Class I compounds, whereas the steady-state unbound concentrations in the brain and CSF are significantly lower than those in blood for Class II compounds. These results strongly suggest that the free drug hypothesis is not universal for all drugs but is only applicable for drugs with good permeability that are not substrates of efflux transporters.","author":[{"dropping-particle":"","family":"Chen","given":"Chun","non-dropping-particle":"","parse-names":false,"suffix":""},{"dropping-particle":"","family":"Zhou","given":"Hongyu","non-dropping-particle":"","parse-names":false,"suffix":""},{"dropping-particle":"","family":"Guan","given":"Chi","non-dropping-particle":"","parse-names":false,"suffix":""},{"dropping-particle":"","family":"Zhang","given":"Huanhuan","non-dropping-particle":"","parse-names":false,"suffix":""},{"dropping-particle":"","family":"Li","given":"Yingying","non-dropping-particle":"","parse-names":false,"suffix":""},{"dropping-particle":"","family":"Jiang","given":"Xue","non-dropping-particle":"","parse-names":false,"suffix":""},{"dropping-particle":"","family":"Dong","given":"Zheng","non-dropping-particle":"","parse-names":false,"suffix":""},{"dropping-particle":"","family":"Tao","given":"Yuanyuan","non-dropping-particle":"","parse-names":false,"suffix":""},{"dropping-particle":"","family":"Du","given":"Juan","non-dropping-particle":"","parse-names":false,"suffix":""},{"dropping-particle":"","family":"Wang","given":"Shuyao","non-dropping-particle":"","parse-names":false,"suffix":""},{"dropping-particle":"","family":"Zhang","given":"Teng","non-dropping-particle":"","parse-names":false,"suffix":""},{"dropping-particle":"","family":"Du","given":"Na","non-dropping-particle":"","parse-names":false,"suffix":""},{"dropping-particle":"","family":"Guo","given":"Junyang","non-dropping-particle":"","parse-names":false,"suffix":""},{"dropping-particle":"","family":"Wu","given":"Yaqiong","non-dropping-particle":"","parse-names":false,"suffix":""},{"dropping-particle":"","family":"Song","given":"Zehai","non-dropping-particle":"","parse-names":false,"suffix":""},{"dropping-particle":"","family":"Luan","given":"Haofei","non-dropping-particle":"","parse-names":false,"suffix":""},{"dropping-particle":"","family":"Wang","given":"Yu","non-dropping-particle":"","parse-names":false,"suffix":""},{"dropping-particle":"","family":"Du","given":"Hongwen","non-dropping-particle":"","parse-names":false,"suffix":""},{"dropping-particle":"","family":"Zhang","given":"Shaofeng","non-dropping-particle":"","parse-names":false,"suffix":""},{"dropping-particle":"","family":"Li","given":"Chen","non-dropping-particle":"","parse-names":false,"suffix":""},{"dropping-particle":"","family":"Chang","given":"Hang","non-dropping-particle":"","parse-names":false,"suffix":""},{"dropping-particle":"","family":"Wang","given":"Tao","non-dropping-particle":"","parse-names":false,"suffix":""}],"container-title":"Pharmacology research &amp; perspectives","id":"ITEM-1","issue":"2","issued":{"date-parts":[["2020","4"]]},"publisher":"Pharmacol Res Perspect","title":"Applicability of free drug hypothesis to drugs with good membrane permeability that are not efflux transporter substrates: A microdialysis study in rats","type":"article-journal","volume":"8"},"uris":["http://www.mendeley.com/documents/?uuid=bd46f417-bc9d-4ffa-86a4-dec45f711fe9"]}],"mendeley":{"formattedCitation":"(7)","plainTextFormattedCitation":"(7)","previouslyFormattedCitation":"(7)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(7)</w:t>
            </w:r>
            <w:r w:rsidRPr="00A97EA2">
              <w:rPr>
                <w:rFonts w:ascii="Calibri" w:hAnsi="Calibri" w:cs="Calibri"/>
                <w:sz w:val="20"/>
                <w:szCs w:val="20"/>
                <w:lang w:val="en-US"/>
              </w:rPr>
              <w:fldChar w:fldCharType="end"/>
            </w:r>
          </w:p>
        </w:tc>
      </w:tr>
      <w:tr w:rsidR="00AD5A62" w:rsidRPr="00A97EA2" w14:paraId="06B03331" w14:textId="77777777" w:rsidTr="00405626">
        <w:tc>
          <w:tcPr>
            <w:tcW w:w="2127" w:type="dxa"/>
          </w:tcPr>
          <w:p w14:paraId="47FEF116"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genistein*</w:t>
            </w:r>
          </w:p>
        </w:tc>
        <w:tc>
          <w:tcPr>
            <w:tcW w:w="1559" w:type="dxa"/>
            <w:vAlign w:val="bottom"/>
          </w:tcPr>
          <w:p w14:paraId="6604AB81" w14:textId="74E816A4"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0.03</w:t>
            </w:r>
          </w:p>
        </w:tc>
        <w:tc>
          <w:tcPr>
            <w:tcW w:w="1417" w:type="dxa"/>
          </w:tcPr>
          <w:p w14:paraId="5C3451D2"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0.04</w:t>
            </w:r>
          </w:p>
        </w:tc>
        <w:tc>
          <w:tcPr>
            <w:tcW w:w="3884" w:type="dxa"/>
          </w:tcPr>
          <w:p w14:paraId="5E33DCF3" w14:textId="7D5E4C32"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{"citationItems":[{"id":"ITEM-1","itemData":{"DOI":"10.1016/j.chroma.2004.10.048","author":[{"dropping-particle":"","family":"Tsai","given":"Tung-hu","non-dropping-particle":"","parse-names":false,"suffix":""}],"container-title":"Journal of chromatography. A","id":"ITEM-1","issued":{"date-parts":[["2005"]]},"page":"317-322","title":"Concurrent measurement of unbound genistein in the blood , brain and bile of anesthetized rats using microdialysis and its pharmacokinetic application","type":"article-journal","volume":"1073"},"uris":["http://www.mendeley.com/documents/?uuid=559a52bd-0f23-4bfe-aa68-68a1274283cf"]}],"mendeley":{"formattedCitation":"(26)","plainTextFormattedCitation":"(26)","previouslyFormattedCitation":"(26)"},"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(26)</w:t>
            </w:r>
            <w:r w:rsidRPr="00A97EA2">
              <w:rPr>
                <w:rFonts w:ascii="Calibri" w:hAnsi="Calibri" w:cs="Calibri"/>
                <w:sz w:val="20"/>
                <w:szCs w:val="20"/>
                <w:lang w:val="en-US"/>
              </w:rPr>
              <w:fldChar w:fldCharType="end"/>
            </w:r>
          </w:p>
        </w:tc>
      </w:tr>
      <w:tr w:rsidR="00AD5A62" w:rsidRPr="00A97EA2" w14:paraId="1808E196" w14:textId="77777777" w:rsidTr="00405626">
        <w:tc>
          <w:tcPr>
            <w:tcW w:w="2127" w:type="dxa"/>
          </w:tcPr>
          <w:p w14:paraId="30A89B45" w14:textId="77777777" w:rsidR="00AD5A62" w:rsidRPr="00A97EA2" w:rsidRDefault="00AD5A62" w:rsidP="00AD5A62">
            <w:pPr>
              <w:rPr>
                <w:rFonts w:ascii="Calibri" w:hAnsi="Calibri" w:cs="Calibri"/>
                <w:sz w:val="20"/>
                <w:szCs w:val="20"/>
                <w:lang w:val="en-US"/>
              </w:rPr>
            </w:pPr>
            <w:proofErr w:type="spellStart"/>
            <w:r w:rsidRPr="00A97EA2">
              <w:rPr>
                <w:rFonts w:ascii="Calibri" w:hAnsi="Calibri" w:cs="Calibri"/>
                <w:sz w:val="20"/>
                <w:szCs w:val="20"/>
                <w:lang w:val="en-US"/>
              </w:rPr>
              <w:t>granisetron</w:t>
            </w:r>
            <w:proofErr w:type="spellEnd"/>
          </w:p>
        </w:tc>
        <w:tc>
          <w:tcPr>
            <w:tcW w:w="1559" w:type="dxa"/>
            <w:vAlign w:val="bottom"/>
          </w:tcPr>
          <w:p w14:paraId="35287480" w14:textId="01189E27"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0.27</w:t>
            </w:r>
          </w:p>
        </w:tc>
        <w:tc>
          <w:tcPr>
            <w:tcW w:w="1417" w:type="dxa"/>
          </w:tcPr>
          <w:p w14:paraId="6C0A2751"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0.13</w:t>
            </w:r>
          </w:p>
        </w:tc>
        <w:tc>
          <w:tcPr>
            <w:tcW w:w="3884" w:type="dxa"/>
          </w:tcPr>
          <w:p w14:paraId="5C933FF1" w14:textId="2DA12BAA"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{"citationItems":[{"id":"ITEM-1","itemData":{"DOI":"10.1016/S0024-3205(99)00143-5","ISSN":"0024-3205","PMID":"10353590","abstract":"To characterize the pharmacokinetics of protein-free granisetron in blood and brain we implanted microdialysis probes into the jugular vein and cerebral frontal cortex of the rat. Granisetron (3 or 6 mg/kg, i.v., n=6) was then administered, and microdialysates from blood and brain were collected from both sites and assayed by a validated high-performance liquid chromatographic method. Pharmacokinetics parameters were calculated from the corrected dialysate concentrations of granisetron versus time data. The elimination half-lives of granisetron in blood and brain were 51.3±5.5 and 69.7±6.3 min for 6 mg/kg, and 50.7±4.3 and 74.3±12.5 min for 3 mg/kg, respectively. Granisetron rapidly entered the extracellular fluid of cerebral frontal cortex at Tmax of 24 min. The results suggest that simultaneous microdialysis in blood and brain can be usefully applied to study the pharmacokinetics of granisetron in the periphery and the central nervous system.","author":[{"dropping-particle":"","family":"Huang","given":"Chien Tsai","non-dropping-particle":"","parse-names":false,"suffix":""},{"dropping-particle":"","family":"Chen","given":"Chieh Fu","non-dropping-particle":"","parse-names":false,"suffix":""},{"dropping-particle":"","family":"Tsai","given":"Tung Hu","non-dropping-particle":"","parse-names":false,"suffix":""}],"container-title":"Life Sciences","id":"ITEM-1","issue":"21","issued":{"date-parts":[["1999","4"]]},"page":"1921-1931","publisher":"Pergamon","title":"Pharmacokinetics of granisetron in rat blood and brain by microdialysis","type":"article-journal","volume":"64"},"uris":["http://www.mendeley.com/documents/?uuid=d77d5691-57e5-47b7-8f5e-a87693fde22f"]}],"mendeley":{"formattedCitation":"(27)","plainTextFormattedCitation":"(27)","previouslyFormattedCitation":"(27)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(27)</w:t>
            </w:r>
            <w:r w:rsidRPr="00A97EA2">
              <w:rPr>
                <w:rFonts w:ascii="Calibri" w:hAnsi="Calibri" w:cs="Calibri"/>
                <w:sz w:val="20"/>
                <w:szCs w:val="20"/>
                <w:lang w:val="en-US"/>
              </w:rPr>
              <w:fldChar w:fldCharType="end"/>
            </w:r>
          </w:p>
        </w:tc>
      </w:tr>
      <w:tr w:rsidR="00AD5A62" w:rsidRPr="00A97EA2" w14:paraId="03DDAAD8" w14:textId="77777777" w:rsidTr="00405626">
        <w:tc>
          <w:tcPr>
            <w:tcW w:w="2127" w:type="dxa"/>
          </w:tcPr>
          <w:p w14:paraId="27C2F396"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imipramine</w:t>
            </w:r>
          </w:p>
        </w:tc>
        <w:tc>
          <w:tcPr>
            <w:tcW w:w="1559" w:type="dxa"/>
            <w:vAlign w:val="bottom"/>
          </w:tcPr>
          <w:p w14:paraId="2601B305" w14:textId="5A9FB2A4"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0.08</w:t>
            </w:r>
          </w:p>
        </w:tc>
        <w:tc>
          <w:tcPr>
            <w:tcW w:w="1417" w:type="dxa"/>
          </w:tcPr>
          <w:p w14:paraId="2A3D99C4"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0.015</w:t>
            </w:r>
          </w:p>
        </w:tc>
        <w:tc>
          <w:tcPr>
            <w:tcW w:w="3884" w:type="dxa"/>
          </w:tcPr>
          <w:p w14:paraId="1840AA9B" w14:textId="72EEE63A"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{"citationItems":[{"id":"ITEM-1","itemData":{"DOI":"10.1111/J.1476-5381.2012.01858.X","ISSN":"1476-5381","PMID":"22250926","abstract":"BACKGROUND AND PURPOSE Recent studies indicate that efflux of antidepressants by the multidrug resistance transporter P-glycoprotein (P-gp) at the blood-brain barrier (BBB) may contribute to treatment-resistant depression (TRD) by limiting intracerebral antidepressant concentrations. In addition, clinical experience shows that adjunctive treatment with the P-gp inhibitor verapamil may improve the clinical outcome in TRD. Therefore, the present study aimed to investigate the effect of P-gp inhibition on the transport of the tricyclic antidepressant imipramine and its active metabolite desipramine across the BBB. EXPERIMENTAL APPROACH Intracerebral microdialysis in rats was used to monitor brain levels of imipramine and desipramine following i.v. imipramine administration, with or without pretreatment with one of the P-gp inhibitors verapamil or cyclosporin A (CsA). Plasma drug levels were also determined at regular intervals. KEY RESULTS Pretreatment with either verapamil or CsA resulted in significant increases in imipramine concentrations in the microdialysis samples, without altering imipramine plasma pharmacokinetics. Furthermore, pretreatment with verapamil, but not CsA, led to a significant elevation in plasma and brain levels of desipramine. CONCLUSIONS AND IMPLICATIONS The present study demonstrated that P-gp inhibition enhanced the intracerebral concentration of imipramine, thus supporting the hypothesis that P-gp activity restricts brain levels of certain antidepressants, including imipramine. These findings may help to explain reports of a beneficial response to adjunctive therapy with verapamil in TRD. © 2012 The Authors. British Journal of Pharmacology © 2012 The British Pharmacological Society.","author":[{"dropping-particle":"","family":"O'Brien","given":"F. E.","non-dropping-particle":"","parse-names":false,"suffix":""},{"dropping-particle":"","family":"Clarke","given":"G.","non-dropping-particle":"","parse-names":false,"suffix":""},{"dropping-particle":"","family":"Fitzgerald","given":"P.","non-dropping-particle":"","parse-names":false,"suffix":""},{"dropping-particle":"","family":"Dinan","given":"T. G.","non-dropping-particle":"","parse-names":false,"suffix":""},{"dropping-particle":"","family":"Griffin","given":"B. T.","non-dropping-particle":"","parse-names":false,"suffix":""},{"dropping-particle":"","family":"Cryan","given":"J. F.","non-dropping-particle":"","parse-names":false,"suffix":""}],"container-title":"British journal of pharmacology","id":"ITEM-1","issue":"4","issued":{"date-parts":[["2012","6"]]},"page":"1333-1343","publisher":"Br J Pharmacol","title":"Inhibition of P-glycoprotein enhances transport of imipramine across the blood-brain barrier: microdialysis studies in conscious freely moving rats","type":"article-journal","volume":"166"},"uris":["http://www.mendeley.com/documents/?uuid=64121a56-3a20-492b-b51c-1a21d6ced8c8"]}],"mendeley":{"formattedCitation":"(28)","plainTextFormattedCitation":"(28)","previouslyFormattedCitation":"(28)"},"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(28)</w:t>
            </w:r>
            <w:r w:rsidRPr="00A97EA2">
              <w:rPr>
                <w:rFonts w:ascii="Calibri" w:hAnsi="Calibri" w:cs="Calibri"/>
                <w:sz w:val="20"/>
                <w:szCs w:val="20"/>
                <w:lang w:val="en-US"/>
              </w:rPr>
              <w:fldChar w:fldCharType="end"/>
            </w:r>
          </w:p>
        </w:tc>
      </w:tr>
      <w:tr w:rsidR="00AD5A62" w:rsidRPr="00A97EA2" w14:paraId="6F5FF8AE" w14:textId="77777777" w:rsidTr="00405626">
        <w:tc>
          <w:tcPr>
            <w:tcW w:w="2127" w:type="dxa"/>
          </w:tcPr>
          <w:p w14:paraId="69EFCC3A"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indomethacin</w:t>
            </w:r>
          </w:p>
        </w:tc>
        <w:tc>
          <w:tcPr>
            <w:tcW w:w="1559" w:type="dxa"/>
            <w:vAlign w:val="bottom"/>
          </w:tcPr>
          <w:p w14:paraId="0FD50526" w14:textId="124A8A83"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0.08</w:t>
            </w:r>
          </w:p>
        </w:tc>
        <w:tc>
          <w:tcPr>
            <w:tcW w:w="1417" w:type="dxa"/>
          </w:tcPr>
          <w:p w14:paraId="7A332A70"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0.1</w:t>
            </w:r>
          </w:p>
        </w:tc>
        <w:tc>
          <w:tcPr>
            <w:tcW w:w="3884" w:type="dxa"/>
          </w:tcPr>
          <w:p w14:paraId="17F00E44" w14:textId="158BFF0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{"citationItems":[{"id":"ITEM-1","itemData":{"DOI":"10.1007/s10928-021-09768-7","ISBN":"0123456789","ISSN":"15738744","PMID":"34142308","abstract":"Predicting brain pharmacokinetics is critical for central nervous system (CNS) drug development yet difficult due to ethical restrictions of human brain sampling. CNS pharmacokinetic (PK) profiles are often altered in CNS diseases due to disease-specific pathophysiology. We previously published a comprehensive CNS physiologically-based PK (PBPK) model that predicted the PK profiles of small drugs at brain and cerebrospinal fluid compartments. Here, we improved this model with brain non-specific binding and pH effect on drug ionization and passive transport. We refer to this improved model as Leiden CNS PBPK predictor V3.0 (LeiCNS-PK3.0). LeiCNS-PK3.0 predicted the unbound drug concentrations of brain ECF and CSF compartments in rats and humans with less than two-fold error. We then applied LeiCNS-PK3.0 to study the effect of altered cerebrospinal fluid (CSF) dynamics, CSF volume and flow, on brain extracellular fluid (ECF) pharmacokinetics. The effect of altered CSF dynamics was simulated using LeiCNS-PK3.0 for six drugs and the resulting drug exposure at brain ECF and lumbar CSF were compared. Simulation results showed that altered CSF dynamics changed the CSF PK profiles, but not the brain ECF profiles, irrespective of the drug’s physicochemical properties. Our analysis supports the notion that lumbar CSF drug concentration is not an accurate surrogate of brain ECF, particularly in CNS diseases. Systems approaches account for multiple levels of CNS complexity and are better suited to predict brain PK.","author":[{"dropping-particle":"","family":"Saleh","given":"Mohammed A.A.","non-dropping-particle":"","parse-names":false,"suffix":""},{"dropping-particle":"","family":"Loo","given":"Chi Fong","non-dropping-particle":"","parse-names":false,"suffix":""},{"dropping-particle":"","family":"Elassaiss-Schaap","given":"Jeroen","non-dropping-particle":"","parse-names":false,"suffix":""},{"dropping-particle":"","family":"Lange","given":"Elizabeth C.M.","non-dropping-particle":"De","parse-names":false,"suffix":""}],"container-title":"Journal of Pharmacokinetics and Pharmacodynamics","id":"ITEM-1","issue":"5","issued":{"date-parts":[["2021"]]},"page":"725-741","publisher":"Springer US","title":"Lumbar cerebrospinal fluid-to-brain extracellular fluid surrogacy is context-specific: insights from LeiCNS-PK3.0 simulations","type":"article-journal","volume":"48"},"uris":["http://www.mendeley.com/documents/?uuid=5af6a788-075e-4c39-a82e-e14d4cdccf28"]}],"mendeley":{"formattedCitation":"(29)","plainTextFormattedCitation":"(29)","previouslyFormattedCitation":"(29)"},"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(29)</w:t>
            </w:r>
            <w:r w:rsidRPr="00A97EA2">
              <w:rPr>
                <w:rFonts w:ascii="Calibri" w:hAnsi="Calibri" w:cs="Calibri"/>
                <w:sz w:val="20"/>
                <w:szCs w:val="20"/>
                <w:lang w:val="en-US"/>
              </w:rPr>
              <w:fldChar w:fldCharType="end"/>
            </w:r>
          </w:p>
        </w:tc>
      </w:tr>
      <w:tr w:rsidR="00AD5A62" w:rsidRPr="00A97EA2" w14:paraId="4E9D0EBA" w14:textId="77777777" w:rsidTr="00405626">
        <w:tc>
          <w:tcPr>
            <w:tcW w:w="2127" w:type="dxa"/>
          </w:tcPr>
          <w:p w14:paraId="4572E4A1"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levetiracetam</w:t>
            </w:r>
          </w:p>
        </w:tc>
        <w:tc>
          <w:tcPr>
            <w:tcW w:w="1559" w:type="dxa"/>
            <w:vAlign w:val="bottom"/>
          </w:tcPr>
          <w:p w14:paraId="684D33C8" w14:textId="30EFDE40" w:rsidR="00AD5A62" w:rsidRPr="009B40F1" w:rsidRDefault="00F6138D" w:rsidP="00AD5A62">
            <w:pPr>
              <w:rPr>
                <w:rFonts w:ascii="Calibri" w:hAnsi="Calibri" w:cs="Calibri"/>
                <w:color w:val="0070C0"/>
                <w:sz w:val="20"/>
                <w:szCs w:val="20"/>
                <w:lang w:val="en-US"/>
              </w:rPr>
            </w:pPr>
            <w:r w:rsidRPr="009B40F1">
              <w:rPr>
                <w:rFonts w:ascii="Calibri" w:hAnsi="Calibri" w:cs="Calibri"/>
                <w:color w:val="0070C0"/>
                <w:sz w:val="20"/>
                <w:szCs w:val="20"/>
                <w:lang w:val="en-US"/>
              </w:rPr>
              <w:t>0.21</w:t>
            </w:r>
          </w:p>
        </w:tc>
        <w:tc>
          <w:tcPr>
            <w:tcW w:w="1417" w:type="dxa"/>
          </w:tcPr>
          <w:p w14:paraId="74C87D15" w14:textId="77777777"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t>0.31</w:t>
            </w:r>
          </w:p>
        </w:tc>
        <w:tc>
          <w:tcPr>
            <w:tcW w:w="3884" w:type="dxa"/>
          </w:tcPr>
          <w:p w14:paraId="4A739161" w14:textId="3EEC14C1" w:rsidR="00AD5A62" w:rsidRPr="00A97EA2" w:rsidRDefault="00AD5A62" w:rsidP="00AD5A62">
            <w:pPr>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{"citationItems":[{"id":"ITEM-1","itemData":{"DOI":"10.3390/pharmaceutics13010095","ISSN":"19994923","abstract":"The blood–brain barrier (BBB) is equipped with unique physical and functional processes that control central nervous system (CNS) drug transport and the resulting concentration–time profiles (PK). In CNS diseases, the altered BBB and CNS pathophysiology may affect the CNS PK at the drug target sites in the brain extracellular fluid (brainECF) and intracellular fluid (brainICF) that may result in changes in CNS drug effects. Here, we used our human CNS physiologically-based PK model (LeiCNS-PK3.0) to investigate the impact of altered cerebral blood flow (CBF), tight junction paracellular pore radius (pararadius ), brainECF volume, and pH of brainECF (pHECF) and of brainICF (pHICF) on brainECF and brainICF PK for 46 small drugs with distinct physicochemical properties. LeiCNS-PK3.0 simulations showed a drug-dependent effect of the pathophysiological changes on the rate and extent of BBB transport and on brainECF and brainICF PK. Altered pararadius, pHECF, and pHICF affected both the rate and extent of BBB drug transport, whereas changes in CBF and brainECF volume modestly affected the rate of BBB drug transport. While the focus is often on BBB paracellular and active transport processes, this study indicates that also changes in pH should be considered for their important implications on brainECF and brainICF target site PK.","author":[{"dropping-particle":"","family":"Saleh","given":"Mohammed A.A.","non-dropping-particle":"","parse-names":false,"suffix":""},{"dropping-particle":"","family":"Lange","given":"Elizabeth C.M.","non-dropping-particle":"de","parse-names":false,"suffix":""}],"container-title":"Pharmaceutics","id":"ITEM-1","issue":"1","issued":{"date-parts":[["2021"]]},"page":"1-17","title":"Impact of cns diseases on drug delivery to brain extracellular and intracellular target sites in human: A “what-if” simulation study","type":"article-journal","volume":"13"},"uris":["http://www.mendeley.com/documents/?uuid=43825109-fbde-47cc-9ea7-f67534fb2297"]}],"mendeley":{"formattedCitation":"(30)","plainTextFormattedCitation":"(30)","previouslyFormattedCitation":"(30)"},"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(30)</w:t>
            </w:r>
            <w:r w:rsidRPr="00A97EA2">
              <w:rPr>
                <w:rFonts w:ascii="Calibri" w:hAnsi="Calibri" w:cs="Calibri"/>
                <w:sz w:val="20"/>
                <w:szCs w:val="20"/>
                <w:lang w:val="en-US"/>
              </w:rPr>
              <w:fldChar w:fldCharType="end"/>
            </w:r>
          </w:p>
        </w:tc>
      </w:tr>
      <w:tr w:rsidR="00AD5A62" w:rsidRPr="00A97EA2" w14:paraId="5A09E21A" w14:textId="77777777" w:rsidTr="00405626">
        <w:tc>
          <w:tcPr>
            <w:tcW w:w="2127" w:type="dxa"/>
          </w:tcPr>
          <w:p w14:paraId="425239AC"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levofloxacin</w:t>
            </w:r>
          </w:p>
        </w:tc>
        <w:tc>
          <w:tcPr>
            <w:tcW w:w="1559" w:type="dxa"/>
            <w:vAlign w:val="bottom"/>
          </w:tcPr>
          <w:p w14:paraId="7F23BE3D" w14:textId="66B5BEE7" w:rsidR="00AD5A62" w:rsidRPr="009B40F1" w:rsidRDefault="00F6138D"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0.16</w:t>
            </w:r>
          </w:p>
        </w:tc>
        <w:tc>
          <w:tcPr>
            <w:tcW w:w="1417" w:type="dxa"/>
          </w:tcPr>
          <w:p w14:paraId="19462139"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0.34</w:t>
            </w:r>
          </w:p>
        </w:tc>
        <w:tc>
          <w:tcPr>
            <w:tcW w:w="3884" w:type="dxa"/>
          </w:tcPr>
          <w:p w14:paraId="32755350" w14:textId="1B1722F8"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{"citationItems":[{"id":"ITEM-1","itemData":{"DOI":"10.1111/CNS.13989","ISSN":"1755-5949","PMID":"36253925","abstract":"Aims: The aim of this study was to assess the influence of the major transporters at blood–brain barrier and blood–cerebrospinal fluid barrier on levofloxacin (LVFX) pharmacokinetics in rat. To explore the different effects of transporters on drug concentrations in cerebrospinal fluid (CSF) and brain extracellular fluid (ECF). Methods: High-performance liquid chromatography coupled with microdialysis was used to continuously and synchronously measure unbound concentrations of LVFX in rat blood, hippocampal ECF, and lateral ventricle CSF for comprehensive characterization of brain pharmacokinetics. The role of transporters in the brain efflux mechanism of LVFX was analyzed in the absence and presence of various transporter inhibitors. Results: Following LVFX (50 mg/kg) administration, the unbound partition coefficient of LVFX in brain ECF and CSF (Kp,uu,ECF and Kp,uu,CSF) were 34.0 ± 1.7% and 41.2 ± 2.4%, respectively. When probenecid was coadministered with LVFX, the AUC and the mean residence time (MRT) in rat blood increased significantly (p &lt; 0.05). After MK571 intervention, 1.35-fold and 1.16-fold increases in Kp,uu,ECF and Kp,uu,CSF were observed, respectively (p &lt; 0.05). Treatment with Ko143 increased the levels of LVFX in brain ECF. The difference in LVFX concentration in brain ECF and CSF was &lt;3-fold with or without treatment with transporter inhibitors. Conclusion: Efflux of LVFX from the central nervous system (CNS) involves multidrug resistance-associated proteins (MRPs), breast cancer resistance protein (BCRP), and organic anion transporters (OATs). MRPs play an important role in mediating the brain/CSF-to-blood efflux of LVFX. LVFX concentrations in CSF can be used as a surrogate to predict the concentrations inside brain parenchyma.","author":[{"dropping-particle":"","family":"Cen","given":"Yuying","non-dropping-particle":"","parse-names":false,"suffix":""},{"dropping-particle":"","family":"Shan","given":"Yuheng","non-dropping-particle":"","parse-names":false,"suffix":""},{"dropping-particle":"","family":"Zhao","given":"Jiahua","non-dropping-particle":"","parse-names":false,"suffix":""},{"dropping-particle":"","family":"Xu","given":"Xiaojiao","non-dropping-particle":"","parse-names":false,"suffix":""},{"dropping-particle":"","family":"Nie","given":"Zhiyong","non-dropping-particle":"","parse-names":false,"suffix":""},{"dropping-particle":"","family":"Zhang","given":"Jiatang","non-dropping-particle":"","parse-names":false,"suffix":""}],"container-title":"CNS neuroscience &amp; therapeutics","id":"ITEM-1","issue":"1","issued":{"date-parts":[["2023","1"]]},"page":"445-457","publisher":"CNS Neurosci Ther","title":"Multiple drug transporters contribute to the brain transfer of levofloxacin","type":"article-journal","volume":"29"},"uris":["http://www.mendeley.com/documents/?uuid=c047b951-6fe2-423a-8723-cdc77c80c8f0"]}],"mendeley":{"formattedCitation":"(31)","plainTextFormattedCitation":"(31)","previouslyFormattedCitation":"(31)"},"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(31)</w:t>
            </w:r>
            <w:r w:rsidRPr="00A97EA2">
              <w:rPr>
                <w:rFonts w:ascii="Calibri" w:hAnsi="Calibri" w:cs="Calibri"/>
                <w:sz w:val="20"/>
                <w:szCs w:val="20"/>
                <w:lang w:val="en-US"/>
              </w:rPr>
              <w:fldChar w:fldCharType="end"/>
            </w:r>
          </w:p>
        </w:tc>
      </w:tr>
      <w:tr w:rsidR="00AD5A62" w:rsidRPr="00A97EA2" w14:paraId="33090A80" w14:textId="77777777" w:rsidTr="00405626">
        <w:tc>
          <w:tcPr>
            <w:tcW w:w="2127" w:type="dxa"/>
          </w:tcPr>
          <w:p w14:paraId="4833E892"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lidocaine</w:t>
            </w:r>
          </w:p>
        </w:tc>
        <w:tc>
          <w:tcPr>
            <w:tcW w:w="1559" w:type="dxa"/>
            <w:vAlign w:val="bottom"/>
          </w:tcPr>
          <w:p w14:paraId="38886DE3" w14:textId="50C29D91" w:rsidR="00AD5A62" w:rsidRPr="009B40F1" w:rsidRDefault="00F6138D"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0.54</w:t>
            </w:r>
          </w:p>
        </w:tc>
        <w:tc>
          <w:tcPr>
            <w:tcW w:w="1417" w:type="dxa"/>
          </w:tcPr>
          <w:p w14:paraId="64EC6B63"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0.457</w:t>
            </w:r>
          </w:p>
        </w:tc>
        <w:tc>
          <w:tcPr>
            <w:tcW w:w="3884" w:type="dxa"/>
          </w:tcPr>
          <w:p w14:paraId="5CE0B192" w14:textId="61753839"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{"citationItems":[{"id":"ITEM-1","itemData":{"DOI":"10.1097/ALN.0b013e3181d9cc54","ISSN":"15281175","PMID":"20460991","abstract":"Background: We have compared the pharmacokinetics and brain distribution of lidocaine, racemic bupivacaine (bupivacaine), and levobupivacaine in awake, spontaneously breathing rats. Methods: Lidocaine (0.5 mg • kg-1 • min-1), bupivacaine (0.1 mg • kg-1 • min-1), or levobupivacaine (0.1 mg • kg-1 • min-1) was continuously administered to rats for 2 h (n = 12, each anesthetic). Blood samples and cerebral dialysate were collected during infusion and for 2 h after termination of infusion. Concentrations of anesthetics in the cerebral extracellular fluid were measured by microdialysis using the retrodialysis calibration method. Tissue-to-plasma partition coefficients calculated from the total (protein-bound and unbound) and unbound concentrations in plasma and brain as well as pharmacokinetic parameters in plasma and cerebral extracellular fluid were compared among the three anesthetics. Results: There were no differences in plasma total or unbound concentrations between bupivacaine and levobupivacaine. Concentrations of bupivacaine in the cerebral extracellular fluid were significantly higher than levobupivacaine (P &lt; 0.001). Despite no differences in the ratio of total brain concentration to total plasma concentration among the three anesthetics, the ratio of cerebral extracellular fluid concentration to plasma unbound fraction of bupivacaine was significantly higher than lidocaine and levobupivacaine (0.58 ± 0.09, 0.47 ± 0.18, and 0.40 ± 0.09, respectively; P = 0.03 and 0.003, respectively). Conclusions: Although the ratio of total brain concentration to total plasma concentrations of lidocaine, bupivacaine, and levobupivacaine was similar, concentration ratio of bupivacaine in the cerebral extracellular fluid to plasma unbound fraction was significantly higher than lidocaine and levobupivacaine. Copyright © 2010, the American Society of Anesthesiologists, Inc. Lippincott Williams &amp; Wilkins.","author":[{"dropping-particle":"","family":"Ikeda","given":"Yuko","non-dropping-particle":"","parse-names":false,"suffix":""},{"dropping-particle":"","family":"Oda","given":"Yutaka","non-dropping-particle":"","parse-names":false,"suffix":""},{"dropping-particle":"","family":"Nakamura","given":"Taketo","non-dropping-particle":"","parse-names":false,"suffix":""},{"dropping-particle":"","family":"Takahashi","given":"Ryota","non-dropping-particle":"","parse-names":false,"suffix":""},{"dropping-particle":"","family":"Miyake","given":"Wakako","non-dropping-particle":"","parse-names":false,"suffix":""},{"dropping-particle":"","family":"Hase","given":"Ichiro","non-dropping-particle":"","parse-names":false,"suffix":""},{"dropping-particle":"","family":"Asada","given":"Akira","non-dropping-particle":"","parse-names":false,"suffix":""}],"container-title":"Anesthesiology","id":"ITEM-1","issue":"6","issued":{"date-parts":[["2010"]]},"page":"1396-1403","publisher":"Anesthesiology","title":"Pharmacokinetics of lidocaine, bupivacaine, and levobupivacaine in plasma and brain in awake rats","type":"article-journal","volume":"112"},"uris":["http://www.mendeley.com/documents/?uuid=0226f073-fe96-490d-8392-ecf12a8efd84"]}],"mendeley":{"formattedCitation":"(10)","plainTextFormattedCitation":"(10)","previouslyFormattedCitation":"(10)"},"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(10)</w:t>
            </w:r>
            <w:r w:rsidRPr="00A97EA2">
              <w:rPr>
                <w:rFonts w:ascii="Calibri" w:hAnsi="Calibri" w:cs="Calibri"/>
                <w:sz w:val="20"/>
                <w:szCs w:val="20"/>
                <w:lang w:val="en-US"/>
              </w:rPr>
              <w:fldChar w:fldCharType="end"/>
            </w:r>
          </w:p>
        </w:tc>
      </w:tr>
      <w:tr w:rsidR="00AD5A62" w:rsidRPr="00A97EA2" w14:paraId="241D4C84" w14:textId="77777777" w:rsidTr="00405626">
        <w:tc>
          <w:tcPr>
            <w:tcW w:w="2127" w:type="dxa"/>
          </w:tcPr>
          <w:p w14:paraId="7CE4AFE1"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mannitol</w:t>
            </w:r>
          </w:p>
        </w:tc>
        <w:tc>
          <w:tcPr>
            <w:tcW w:w="1559" w:type="dxa"/>
            <w:vAlign w:val="bottom"/>
          </w:tcPr>
          <w:p w14:paraId="61642217" w14:textId="3EAD9486" w:rsidR="00AD5A62" w:rsidRPr="009B40F1" w:rsidRDefault="00F6138D"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0.02</w:t>
            </w:r>
          </w:p>
        </w:tc>
        <w:tc>
          <w:tcPr>
            <w:tcW w:w="1417" w:type="dxa"/>
          </w:tcPr>
          <w:p w14:paraId="597CB661"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0.014</w:t>
            </w:r>
          </w:p>
        </w:tc>
        <w:tc>
          <w:tcPr>
            <w:tcW w:w="3884" w:type="dxa"/>
          </w:tcPr>
          <w:p w14:paraId="206D81E7" w14:textId="046382AC"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{"citationItems":[{"id":"ITEM-1","itemData":{"DOI":"10.1016/S0731-7085(01)00542-8","ISSN":"07317085","PMID":"11836058","abstract":"The studies presented in this report were designed to assess the correlation of the bovine brain microvessel endothelial cell (BBMEC) apparent permeability coefficient (Papp) and in vivo BBB penetration using microdialysis sampling. A mathematical model was developed to describe the relationship of brain extracellular fluid (ECF) concentration to free drug in plasma. The compounds studied have a broad range of physico-chemical characteristics and have widely varying in vitro and in vivo permeability across the blood-brain barrier (BBB). BBMEC permeability coefficients vary in magnitude from a low of 0.9×10-5 cm/s to a high value of 7.5×10-5 cm/s. Corresponding in vivo measurements of BBB permeability are represented by clearance (CLin) into the brain ECF and range from a low of 0.023 μl/min/g to a high of 12.9 μl/min/g. While it is apparent that in vitro data from the BBMEC model can be predictive of the in vivo permeability of a compound across the BBB, there are numerous factors both prior to and following entry into the brain which impact the ultimate uptake of a compound. Even in the presence of high BBB permeability, factors such as high plasma protein binding, active efflux across the BBB, and metabolism within the CNS can greatly limit the ultimate concentrations achieved. In addition, concentrations in the intracellular space may not be the same as concentrations in the extracellular space. While these data show that the BBMEC permeability is predictive of the in vivo BBB permeability, the complexity of the living system makes prediction of brain concentrations difficult, based solely on the in vitro measurement. © 2002 Elsevier Science B.V. All rights reserved.","author":[{"dropping-particle":"","family":"Hansen","given":"D. K.","non-dropping-particle":"","parse-names":false,"suffix":""},{"dropping-particle":"","family":"Scott","given":"D. O.","non-dropping-particle":"","parse-names":false,"suffix":""},{"dropping-particle":"","family":"Otis","given":"K. W.","non-dropping-particle":"","parse-names":false,"suffix":""},{"dropping-particle":"","family":"Lunte","given":"S. M.","non-dropping-particle":"","parse-names":false,"suffix":""}],"container-title":"Journal of Pharmaceutical and Biomedical Analysis","id":"ITEM-1","issue":"6","issued":{"date-parts":[["2002","3"]]},"page":"945-958","publisher":"J Pharm Biomed Anal","title":"Comparison of in vitro BBMEC permeability and in vivo CNS uptake by microdialysis sampling","type":"article-journal","volume":"27"},"uris":["http://www.mendeley.com/documents/?uuid=b5e04203-ef34-4df8-b035-44079cfcdaec"]}],"mendeley":{"formattedCitation":"(32)","plainTextFormattedCitation":"(32)","previouslyFormattedCitation":"(32)"},"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(32)</w:t>
            </w:r>
            <w:r w:rsidRPr="00A97EA2">
              <w:rPr>
                <w:rFonts w:ascii="Calibri" w:hAnsi="Calibri" w:cs="Calibri"/>
                <w:sz w:val="20"/>
                <w:szCs w:val="20"/>
                <w:lang w:val="en-US"/>
              </w:rPr>
              <w:fldChar w:fldCharType="end"/>
            </w:r>
          </w:p>
        </w:tc>
      </w:tr>
      <w:tr w:rsidR="00AD5A62" w:rsidRPr="00543737" w14:paraId="21FD11DB" w14:textId="77777777" w:rsidTr="00405626">
        <w:tc>
          <w:tcPr>
            <w:tcW w:w="2127" w:type="dxa"/>
          </w:tcPr>
          <w:p w14:paraId="130D3661"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mecamylamine</w:t>
            </w:r>
          </w:p>
        </w:tc>
        <w:tc>
          <w:tcPr>
            <w:tcW w:w="1559" w:type="dxa"/>
            <w:vAlign w:val="bottom"/>
          </w:tcPr>
          <w:p w14:paraId="7E12FD15" w14:textId="0068D8F1" w:rsidR="00AD5A62" w:rsidRPr="009B40F1" w:rsidRDefault="00F6138D"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0.92</w:t>
            </w:r>
          </w:p>
        </w:tc>
        <w:tc>
          <w:tcPr>
            <w:tcW w:w="1417" w:type="dxa"/>
          </w:tcPr>
          <w:p w14:paraId="398404A4"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1.05</w:t>
            </w:r>
          </w:p>
        </w:tc>
        <w:tc>
          <w:tcPr>
            <w:tcW w:w="3884" w:type="dxa"/>
          </w:tcPr>
          <w:p w14:paraId="18B2E4B7" w14:textId="79569D1F"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{"citationItems":[{"id":"ITEM-1","itemData":{"DOI":"10.1016/J.NEUROPHARM.2013.04.027","ISSN":"1873-7064","PMID":"23639435","abstract":"Inhibition of central α4b2 nAChRs by antidepressants, proposed to contribute to their clinical efficacy, was assessed for monoamine reuptake inhibitors (amitriptyline, nortriptyline, fluoxetine, sertraline, paroxetine, citalopram) by comparing projected human unbound brain drug concentrations (Cu,b) at therapeutic doses with concentrations that inhibit human α4b2 nAChRs in vitro. Inhibitory concentrations (IC50) were determined by patch clamp and ranged from 0.8e3.2 mM, except for nortriptyline (IC50 = 100 nM). Cu,b values were calculated from human unbound plasma drug concentrations (Cu,p) and rat-derived brain-to-plasma and extracellular fluid-to-plasma ratios for the unbound drug, which are near unity, due to much higher brain tissue binding than plasma protein binding of these drugs. Accordingly in humans, antidepressant Cu,b are projected to essentially equal Cu,p, with average values from 3e87 nM, which are 30-to-250-fold below their IC50 concentrations. Based on our model, monoaminergic antidepressants minimally inhibit central nAChRs and it is unlikely that α4b2 nAChR antagonism contributes to their antidepressant activity. Nortriptyline is an exception with a Cu,b that is 2-fold below its IC50, which is comparable to the nAChR antagonist (-)-mecamylamine, for which Cu,b is 4-fold below its IC50; both drugs will inhibit a substantial fraction of α4b2 nAChRs. The Cu,b of the α4b2 nAChR partial agonist varenicline, which has antidepressant-like activity in a murine model, is higher than its IC50 and varenicline is projected to cause w70% inhibition of α4b2 nAChRs. Taken together these data may help explain the negative outcome of recent antidepressant augmentation trials with mecamylamine and the partial agonist CP-601927. © 2013 Elsevier Ltd. All rights reserved.","author":[{"dropping-particle":"","family":"Weber","given":"Mark L.","non-dropping-particle":"","parse-names":false,"suffix":""},{"dropping-particle":"","family":"Hofland","given":"Corry M.","non-dropping-particle":"","parse-names":false,"suffix":""},{"dropping-particle":"","family":"Shaffer","given":"Christopher L.","non-dropping-particle":"","parse-names":false,"suffix":""},{"dropping-particle":"","family":"Flik","given":"Gunnar","non-dropping-particle":"","parse-names":false,"suffix":""},{"dropping-particle":"","family":"Cremers","given":"Thomas","non-dropping-particle":"","parse-names":false,"suffix":""},{"dropping-particle":"","family":"Hurst","given":"Raymond S.","non-dropping-particle":"","parse-names":false,"suffix":""},{"dropping-particle":"","family":"Rollema","given":"Hans","non-dropping-particle":"","parse-names":false,"suffix":""}],"container-title":"Neuropharmacology","id":"ITEM-1","issued":{"date-parts":[["2013"]]},"page":"88-95","publisher":"Neuropharmacology","title":"Therapeutic doses of antidepressants are projected not to inhibit human α4β2 nicotinic acetylcholine receptors","type":"article-journal","volume":"72"},"uris":["http://www.mendeley.com/documents/?uuid=586a4e57-8c43-470d-b44e-405e01cf553f"]}],"mendeley":{"formattedCitation":"(16)","plainTextFormattedCitation":"(16)","previouslyFormattedCitation":"(16)"},"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(16)</w:t>
            </w:r>
            <w:r w:rsidRPr="00A97EA2">
              <w:rPr>
                <w:rFonts w:ascii="Calibri" w:hAnsi="Calibri" w:cs="Calibri"/>
                <w:sz w:val="20"/>
                <w:szCs w:val="20"/>
                <w:lang w:val="en-US"/>
              </w:rPr>
              <w:fldChar w:fldCharType="end"/>
            </w:r>
          </w:p>
        </w:tc>
      </w:tr>
      <w:tr w:rsidR="00AD5A62" w:rsidRPr="005001B1" w14:paraId="6CD60395" w14:textId="77777777" w:rsidTr="00405626">
        <w:tc>
          <w:tcPr>
            <w:tcW w:w="2127" w:type="dxa"/>
          </w:tcPr>
          <w:p w14:paraId="6B395FD7"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6-mercaptopurine*</w:t>
            </w:r>
          </w:p>
        </w:tc>
        <w:tc>
          <w:tcPr>
            <w:tcW w:w="1559" w:type="dxa"/>
            <w:vAlign w:val="bottom"/>
          </w:tcPr>
          <w:p w14:paraId="189AEA59" w14:textId="68692D1A" w:rsidR="00AD5A62" w:rsidRPr="009B40F1" w:rsidRDefault="00F6138D"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0.08</w:t>
            </w:r>
          </w:p>
        </w:tc>
        <w:tc>
          <w:tcPr>
            <w:tcW w:w="1417" w:type="dxa"/>
          </w:tcPr>
          <w:p w14:paraId="0A1D219E"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0.0413</w:t>
            </w:r>
          </w:p>
        </w:tc>
        <w:tc>
          <w:tcPr>
            <w:tcW w:w="3884" w:type="dxa"/>
          </w:tcPr>
          <w:p w14:paraId="1A9F503D" w14:textId="536C705C"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{"citationItems":[{"id":"ITEM-1","itemData":{"DOI":"10.1016/s0024-3205(99)00637-2","PMID":"10794520","author":[{"dropping-particle":"","family":"Deguchi","given":"Y","non-dropping-particle":"","parse-names":false,"suffix":""},{"dropping-particle":"","family":"Y Yokoyama, T Sakamoto, H Hayashi, T Naito, S Yamada","given":"R Kimura","non-dropping-particle":"","parse-names":false,"suffix":""}],"container-title":"Life Sciences","id":"ITEM-1","issue":"7","issued":{"date-parts":[["2000"]]},"page":"649-662","title":"Brain distribution of 6-mercaptopurine is regulated by the efflux transport system in the blood-brain barrier","type":"article-journal","volume":"66"},"uris":["http://www.mendeley.com/documents/?uuid=d81a95f7-c323-4517-b15f-fb8c58e9e8b9"]}],"mendeley":{"formattedCitation":"(33)","plainTextFormattedCitation":"(33)","previouslyFormattedCitation":"(33)"},"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(33)</w:t>
            </w:r>
            <w:r w:rsidRPr="00A97EA2">
              <w:rPr>
                <w:rFonts w:ascii="Calibri" w:hAnsi="Calibri" w:cs="Calibri"/>
                <w:sz w:val="20"/>
                <w:szCs w:val="20"/>
                <w:lang w:val="en-US"/>
              </w:rPr>
              <w:fldChar w:fldCharType="end"/>
            </w:r>
          </w:p>
        </w:tc>
      </w:tr>
      <w:tr w:rsidR="00AD5A62" w:rsidRPr="00A97EA2" w14:paraId="3079C804" w14:textId="77777777" w:rsidTr="00405626">
        <w:tc>
          <w:tcPr>
            <w:tcW w:w="2127" w:type="dxa"/>
          </w:tcPr>
          <w:p w14:paraId="695459A5"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methotrexate</w:t>
            </w:r>
          </w:p>
        </w:tc>
        <w:tc>
          <w:tcPr>
            <w:tcW w:w="1559" w:type="dxa"/>
            <w:vAlign w:val="bottom"/>
          </w:tcPr>
          <w:p w14:paraId="70DED549" w14:textId="5D129E51" w:rsidR="00AD5A62" w:rsidRPr="009B40F1" w:rsidRDefault="00F6138D"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0.02</w:t>
            </w:r>
          </w:p>
        </w:tc>
        <w:tc>
          <w:tcPr>
            <w:tcW w:w="1417" w:type="dxa"/>
          </w:tcPr>
          <w:p w14:paraId="2FA9364D"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0.018</w:t>
            </w:r>
          </w:p>
        </w:tc>
        <w:tc>
          <w:tcPr>
            <w:tcW w:w="3884" w:type="dxa"/>
          </w:tcPr>
          <w:p w14:paraId="0994E74A" w14:textId="710BAE7E"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{"citationItems":[{"id":"ITEM-1","itemData":{"DOI":"10.1007/s10928-021-09768-7","ISBN":"0123456789","ISSN":"15738744","PMID":"34142308","abstract":"Predicting brain pharmacokinetics is critical for central nervous system (CNS) drug development yet difficult due to ethical restrictions of human brain sampling. CNS pharmacokinetic (PK) profiles are often altered in CNS diseases due to disease-specific pathophysiology. We previously published a comprehensive CNS physiologically-based PK (PBPK) model that predicted the PK profiles of small drugs at brain and cerebrospinal fluid compartments. Here, we improved this model with brain non-specific binding and pH effect on drug ionization and passive transport. We refer to this improved model as Leiden CNS PBPK predictor V3.0 (LeiCNS-PK3.0). LeiCNS-PK3.0 predicted the unbound drug concentrations of brain ECF and CSF compartments in rats and humans with less than two-fold error. We then applied LeiCNS-PK3.0 to study the effect of altered cerebrospinal fluid (CSF) dynamics, CSF volume and flow, on brain extracellular fluid (ECF) pharmacokinetics. The effect of altered CSF dynamics was simulated using LeiCNS-PK3.0 for six drugs and the resulting drug exposure at brain ECF and lumbar CSF were compared. Simulation results showed that altered CSF dynamics changed the CSF PK profiles, but not the brain ECF profiles, irrespective of the drug’s physicochemical properties. Our analysis supports the notion that lumbar CSF drug concentration is not an accurate surrogate of brain ECF, particularly in CNS diseases. Systems approaches account for multiple levels of CNS complexity and are better suited to predict brain PK.","author":[{"dropping-particle":"","family":"Saleh","given":"Mohammed A.A.","non-dropping-particle":"","parse-names":false,"suffix":""},{"dropping-particle":"","family":"Loo","given":"Chi Fong","non-dropping-particle":"","parse-names":false,"suffix":""},{"dropping-particle":"","family":"Elassaiss-Schaap","given":"Jeroen","non-dropping-particle":"","parse-names":false,"suffix":""},{"dropping-particle":"","family":"Lange","given":"Elizabeth C.M.","non-dropping-particle":"De","parse-names":false,"suffix":""}],"container-title":"Journal of Pharmacokinetics and Pharmacodynamics","id":"ITEM-1","issue":"5","issued":{"date-parts":[["2021"]]},"page":"725-741","publisher":"Springer US","title":"Lumbar cerebrospinal fluid-to-brain extracellular fluid surrogacy is context-specific: insights from LeiCNS-PK3.0 simulations","type":"article-journal","volume":"48"},"uris":["http://www.mendeley.com/documents/?uuid=5af6a788-075e-4c39-a82e-e14d4cdccf28"]}],"mendeley":{"formattedCitation":"(29)","plainTextFormattedCitation":"(29)","previouslyFormattedCitation":"(29)"},"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(29)</w:t>
            </w:r>
            <w:r w:rsidRPr="00A97EA2">
              <w:rPr>
                <w:rFonts w:ascii="Calibri" w:hAnsi="Calibri" w:cs="Calibri"/>
                <w:sz w:val="20"/>
                <w:szCs w:val="20"/>
                <w:lang w:val="en-US"/>
              </w:rPr>
              <w:fldChar w:fldCharType="end"/>
            </w:r>
          </w:p>
        </w:tc>
      </w:tr>
      <w:tr w:rsidR="00AD5A62" w:rsidRPr="00A97EA2" w14:paraId="0B0B64B1" w14:textId="77777777" w:rsidTr="00405626">
        <w:tc>
          <w:tcPr>
            <w:tcW w:w="2127" w:type="dxa"/>
          </w:tcPr>
          <w:p w14:paraId="4AFB1BE4"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metoclopramide</w:t>
            </w:r>
          </w:p>
        </w:tc>
        <w:tc>
          <w:tcPr>
            <w:tcW w:w="1559" w:type="dxa"/>
            <w:vAlign w:val="bottom"/>
          </w:tcPr>
          <w:p w14:paraId="5E4BA8E2" w14:textId="09AC33A3" w:rsidR="00AD5A62" w:rsidRPr="009B40F1" w:rsidRDefault="00F6138D"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0.61</w:t>
            </w:r>
          </w:p>
        </w:tc>
        <w:tc>
          <w:tcPr>
            <w:tcW w:w="1417" w:type="dxa"/>
          </w:tcPr>
          <w:p w14:paraId="179ADDB1"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0.669</w:t>
            </w:r>
          </w:p>
        </w:tc>
        <w:tc>
          <w:tcPr>
            <w:tcW w:w="3884" w:type="dxa"/>
          </w:tcPr>
          <w:p w14:paraId="2B377EE2" w14:textId="65E43593"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{"citationItems":[{"id":"ITEM-1","itemData":{"DOI":"10.1016/j.dmpk.2015.10.003","ISSN":"18800920","abstract":"In drug discovery, the cerebrospinal fluid (CSF) drug concentration (CCSF) has been used as a surrogate for the interstitial fluid (ISF) concentration (CISF). However, the CCSF-to-CISF gradient suggested for P-glycoprotein (P-gp) substrates in rodents causes uncertainty in CISF estimations and subsequent pharmacokinetic-pharmacodynamic analyses. To evaluate the utility of CCSF as a surrogate for CISF, this study directly compared the CCSF with the CISF of 12 compounds, including P-gp substrates, under steady-state conditions in wild-type and Mdr1a(-/-) rats using microdialysis coupled with cisternal CSF sampling. In wild-type rats, the ISF-to-unbound plasma (Kp,uu,ISF) and CSF-to-unbound plasma (Kp,uu,CSF) concentration ratios of the P-gp substrates, except for metoclopramide, were lower than those of the non-P-gp substrates, and the Kp,uu,CSF values were within or close to 3-fold of the Kp,uu,ISF values for all the compounds examined. The Kp,uu,CSF values of the selected P-gp substrates increased in Mdr1a(-/-) rats with a similar magnitude to the Kp,uu,ISF values, resulting in the Kp,uu,CSF-to-Kp,uu,ISF ratios being unchanged. These results suggested that P-gp-mediated active efflux at the blood-brain barrier is a major determinant not only for CISF, but also for CCSF, and that CCSF can be used as a surrogate for CISF even for P-gp substrates in rats.","author":[{"dropping-particle":"","family":"Nagaya","given":"Yoko","non-dropping-particle":"","parse-names":false,"suffix":""},{"dropping-particle":"","family":"Nozaki","given":"Yoshitane","non-dropping-particle":"","parse-names":false,"suffix":""},{"dropping-particle":"","family":"Takenaka","given":"Osamu","non-dropping-particle":"","parse-names":false,"suffix":""},{"dropping-particle":"","family":"Watari","given":"Ryuji","non-dropping-particle":"","parse-names":false,"suffix":""},{"dropping-particle":"","family":"Kusano","given":"Kazutomi","non-dropping-particle":"","parse-names":false,"suffix":""},{"dropping-particle":"","family":"Yoshimura","given":"Tsutomu","non-dropping-particle":"","parse-names":false,"suffix":""},{"dropping-particle":"","family":"Kusuhara","given":"Hiroyuki","non-dropping-particle":"","parse-names":false,"suffix":""}],"container-title":"Drug Metabolism and Pharmacokinetics","id":"ITEM-1","issue":"1","issued":{"date-parts":[["2016"]]},"page":"57-66","publisher":"Elsevier Ltd","title":"Investigation of utility of cerebrospinal fluid drug concentration as a surrogate for interstitial fluid concentration using microdialysis coupled with cisternal cerebrospinal fluid sampling in wild-type and Mdr1a(-/-) rats","type":"article-journal","volume":"31"},"uris":["http://www.mendeley.com/documents/?uuid=972b531f-44ec-4fc2-8f71-7b56f31f0048"]}],"mendeley":{"formattedCitation":"(34)","plainTextFormattedCitation":"(34)","previouslyFormattedCitation":"(34)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(34)</w:t>
            </w:r>
            <w:r w:rsidRPr="00A97EA2">
              <w:rPr>
                <w:rFonts w:ascii="Calibri" w:hAnsi="Calibri" w:cs="Calibri"/>
                <w:sz w:val="20"/>
                <w:szCs w:val="20"/>
                <w:lang w:val="en-US"/>
              </w:rPr>
              <w:fldChar w:fldCharType="end"/>
            </w:r>
          </w:p>
        </w:tc>
      </w:tr>
      <w:tr w:rsidR="00AD5A62" w:rsidRPr="00A97EA2" w14:paraId="78709A9E" w14:textId="77777777" w:rsidTr="00405626">
        <w:tc>
          <w:tcPr>
            <w:tcW w:w="2127" w:type="dxa"/>
          </w:tcPr>
          <w:p w14:paraId="4F22A3CE"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metoprolol</w:t>
            </w:r>
          </w:p>
        </w:tc>
        <w:tc>
          <w:tcPr>
            <w:tcW w:w="1559" w:type="dxa"/>
            <w:vAlign w:val="bottom"/>
          </w:tcPr>
          <w:p w14:paraId="49F864FA" w14:textId="1F7DF910" w:rsidR="00AD5A62" w:rsidRPr="009B40F1" w:rsidRDefault="00F6138D"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0.49</w:t>
            </w:r>
          </w:p>
        </w:tc>
        <w:tc>
          <w:tcPr>
            <w:tcW w:w="1417" w:type="dxa"/>
          </w:tcPr>
          <w:p w14:paraId="5946942D"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0.64</w:t>
            </w:r>
          </w:p>
        </w:tc>
        <w:tc>
          <w:tcPr>
            <w:tcW w:w="3884" w:type="dxa"/>
          </w:tcPr>
          <w:p w14:paraId="03AF5586" w14:textId="6209D194"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{"citationItems":[{"id":"ITEM-1","itemData":{"DOI":"10.1016/J.IJPHARM.2010.09.016","ISSN":"1873-3476","PMID":"20920560","abstract":"Although several in vitro models have been reported to predict the ability of drug candidates to cross the blood-brain barrier, their real in vivo relevance has rarely been evaluated. The present study demonstrates the in vivo relevance of simple unidirectional permeability coefficient (Papp) determined in three in vitro cell models (BBMEC, Caco-2 and MDCKII-MDR1) for nine model drugs (alprenolol, atenolol, metoprolol, pindolol, entacapone, tolcapone, baclofen, midazolam and ondansetron) by using dual probe microdialysis in the rat brain and blood as an in vivo measure. There was a clear correlation between the Papp and the unbound brain/blood ratios determined by in vivo microdialysis (BBMEC r=0.99, Caco-2 r=0.91 and MDCKII-MDR1 r=0.85). Despite of the substantial differences in the absolute in vitro Papp values and regardless of the method used (side-by-side vs. filter insert system), the capability of the in vitro models to rank order drugs was similar. By this approach, thus, the additional value offered by the true endothelial cell model (BBMEC) remains obscure. The present results also highlight the need of both in vitro as well as in vivo methods in characterization of blood-brain barrier passage of new drug candidates. © 2010 Elsevier B.V.","author":[{"dropping-particle":"","family":"Hakkarainen","given":"Jenni J.","non-dropping-particle":"","parse-names":false,"suffix":""},{"dropping-particle":"","family":"Jalkanen","given":"Aaro J.","non-dropping-particle":"","parse-names":false,"suffix":""},{"dropping-particle":"","family":"Kääriäinen","given":"Tiina M.","non-dropping-particle":"","parse-names":false,"suffix":""},{"dropping-particle":"","family":"Keski-Rahkonen","given":"Pekka","non-dropping-particle":"","parse-names":false,"suffix":""},{"dropping-particle":"","family":"Venäläinen","given":"Tetta","non-dropping-particle":"","parse-names":false,"suffix":""},{"dropping-particle":"","family":"Hokkanen","given":"Juho","non-dropping-particle":"","parse-names":false,"suffix":""},{"dropping-particle":"","family":"Mönkkönen","given":"Jukka","non-dropping-particle":"","parse-names":false,"suffix":""},{"dropping-particle":"","family":"Suhonen","given":"Marjukka","non-dropping-particle":"","parse-names":false,"suffix":""},{"dropping-particle":"","family":"Forsberg","given":"Markus M.","non-dropping-particle":"","parse-names":false,"suffix":""}],"container-title":"International journal of pharmaceutics","id":"ITEM-1","issue":"1-2","issued":{"date-parts":[["2010","12"]]},"page":"27-36","publisher":"Int J Pharm","title":"Comparison of in vitro cell models in predicting in vivo brain entry of drugs","type":"article-journal","volume":"402"},"uris":["http://www.mendeley.com/documents/?uuid=868a41a3-2bbd-4732-ad2c-2054108ce6c9"]}],"mendeley":{"formattedCitation":"(4)","plainTextFormattedCitation":"(4)","previouslyFormattedCitation":"(4)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w:t>
            </w:r>
            <w:r w:rsidRPr="00A97EA2">
              <w:rPr>
                <w:rFonts w:ascii="Calibri" w:hAnsi="Calibri" w:cs="Calibri"/>
                <w:sz w:val="20"/>
                <w:szCs w:val="20"/>
                <w:lang w:val="en-US"/>
              </w:rPr>
              <w:fldChar w:fldCharType="end"/>
            </w:r>
          </w:p>
        </w:tc>
      </w:tr>
      <w:tr w:rsidR="00AD5A62" w:rsidRPr="005001B1" w14:paraId="50DF4E6F" w14:textId="77777777" w:rsidTr="00405626">
        <w:tc>
          <w:tcPr>
            <w:tcW w:w="2127" w:type="dxa"/>
          </w:tcPr>
          <w:p w14:paraId="12E88E4C"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midazolam</w:t>
            </w:r>
          </w:p>
        </w:tc>
        <w:tc>
          <w:tcPr>
            <w:tcW w:w="1559" w:type="dxa"/>
            <w:vAlign w:val="bottom"/>
          </w:tcPr>
          <w:p w14:paraId="00AB020D" w14:textId="086E8A3D" w:rsidR="00AD5A62" w:rsidRPr="009B40F1" w:rsidRDefault="00F6138D"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0.44</w:t>
            </w:r>
          </w:p>
        </w:tc>
        <w:tc>
          <w:tcPr>
            <w:tcW w:w="1417" w:type="dxa"/>
          </w:tcPr>
          <w:p w14:paraId="3B7A4AEB"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0.652</w:t>
            </w:r>
          </w:p>
        </w:tc>
        <w:tc>
          <w:tcPr>
            <w:tcW w:w="3884" w:type="dxa"/>
          </w:tcPr>
          <w:p w14:paraId="5D98FAED" w14:textId="2EA05A14" w:rsidR="00AD5A62" w:rsidRPr="001E3981" w:rsidRDefault="00AD5A62" w:rsidP="00AD5A62">
            <w:pPr>
              <w:spacing w:line="276" w:lineRule="auto"/>
              <w:rPr>
                <w:rFonts w:ascii="Calibri" w:hAnsi="Calibri" w:cs="Calibri"/>
                <w:sz w:val="20"/>
                <w:szCs w:val="20"/>
                <w:lang w:val="fr-FR"/>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{"citationItems":[{"id":"ITEM-1","itemData":{"DOI":"10.1016/j.dmpk.2015.10.003","ISSN":"18800920","abstract":"In drug discovery, the cerebrospinal fluid (CSF) drug concentration (CCSF) has been used as a surrogate for the interstitial fluid (ISF) concentration (CISF). However, the CCSF-to-CISF gradient suggested for P-glycoprotein (P-gp) substrates in rodents causes uncertainty in CISF estimations and subsequent pharmacokinetic-pharmacodynamic analyses. To evaluate the utility of CCSF as a surrogate for CISF, this study directly compared the CCSF with the CISF of 12 compounds, including P-gp substrates, under steady-state conditions in wild-type and Mdr1a(-/-) rats using microdialysis coupled with cisternal CSF sampling. In wild-type rats, the ISF-to-unbound plasma (Kp,uu,ISF) and CSF-to-unbound plasma (Kp,uu,CSF) concentration ratios of the P-gp substrates, except for metoclopramide, were lower than those of the non-P-gp substrates, and the Kp,uu,CSF values were within or close to 3-fold of the Kp,uu,ISF values for all the compounds examined. The Kp,uu,CSF values of the selected P-gp substrates increased in Mdr1a(-/-) rats with a similar magnitude to the Kp,uu,ISF values, resulting in the Kp,uu,CSF-to-Kp,uu,ISF ratios being unchanged. These results suggested that P-gp-mediated active efflux at the blood-brain barrier is a major determinant not only for CISF, but also for CCSF, and that CCSF can be used as a surrogate for CISF even for P-gp substrates in rats.","author":[{"dropping-particle":"","family":"Nagaya","given":"Yoko","non-dropping-particle":"","parse-names":false,"suffix":""},{"dropping-particle":"","family":"Nozaki","given":"Yoshitane","non-dropping-particle":"","parse-names":false,"suffix":""},{"dropping-particle":"","family":"Takenaka","given":"Osamu","non-dropping-particle":"","parse-names":false,"suffix":""},{"dropping-particle":"","family":"Watari","given":"Ryuji","non-dropping-particle":"","parse-names":false,"suffix":""},{"dropping-particle":"","family":"Kusano","given":"Kazutomi","non-dropping-particle":"","parse-names":false,"suffix":""},{"dropping-particle":"","family":"Yoshimura","given":"Tsutomu","non-dropping-particle":"","parse-names":false,"suffix":""},{"dropping-particle":"","family":"Kusuhara","given":"Hiroyuki","non-dropping-particle":"","parse-names":false,"suffix":""}],"container-title":"Drug Metabolism and Pharmacokinetics","id":"ITEM-1","issue":"1","issued":{"date-parts":[["2016"]]},"page":"57-66","publisher":"Elsevier Ltd","title":"Investigation of utility of cerebrospinal fluid drug concentration as a surrogate for interstitial fluid concentration using microdialysis coupled with cisternal cerebrospinal fluid sampling in wild-type and Mdr1a(-/-) rats","type":"article-journal","volume":"31"},"uris":["http://www.mendeley.com/documents/?uuid=972b531f-44ec-4fc2-8f71-7b56f31f0048"]}],"mendeley":{"formattedCitation":"(34)","plainTextFormattedCitation":"(34)","previouslyFormattedCitation":"(34)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fr-FR"/>
              </w:rPr>
              <w:t>(34)</w:t>
            </w:r>
            <w:r w:rsidRPr="00A97EA2">
              <w:rPr>
                <w:rFonts w:ascii="Calibri" w:hAnsi="Calibri" w:cs="Calibri"/>
                <w:sz w:val="20"/>
                <w:szCs w:val="20"/>
                <w:lang w:val="en-US"/>
              </w:rPr>
              <w:fldChar w:fldCharType="end"/>
            </w:r>
          </w:p>
        </w:tc>
      </w:tr>
      <w:tr w:rsidR="00AD5A62" w:rsidRPr="005001B1" w14:paraId="3E3F359F" w14:textId="77777777" w:rsidTr="00405626">
        <w:tc>
          <w:tcPr>
            <w:tcW w:w="2127" w:type="dxa"/>
          </w:tcPr>
          <w:p w14:paraId="21D0C73A" w14:textId="77777777" w:rsidR="00AD5A62" w:rsidRPr="001E3981" w:rsidRDefault="00AD5A62" w:rsidP="00AD5A62">
            <w:pPr>
              <w:spacing w:line="276" w:lineRule="auto"/>
              <w:rPr>
                <w:rFonts w:ascii="Calibri" w:hAnsi="Calibri" w:cs="Calibri"/>
                <w:sz w:val="20"/>
                <w:szCs w:val="20"/>
                <w:lang w:val="fr-FR"/>
              </w:rPr>
            </w:pPr>
            <w:proofErr w:type="spellStart"/>
            <w:r w:rsidRPr="001E3981">
              <w:rPr>
                <w:rFonts w:ascii="Calibri" w:hAnsi="Calibri" w:cs="Calibri"/>
                <w:sz w:val="20"/>
                <w:szCs w:val="20"/>
                <w:lang w:val="fr-FR"/>
              </w:rPr>
              <w:t>mitragynine</w:t>
            </w:r>
            <w:proofErr w:type="spellEnd"/>
          </w:p>
        </w:tc>
        <w:tc>
          <w:tcPr>
            <w:tcW w:w="1559" w:type="dxa"/>
            <w:vAlign w:val="bottom"/>
          </w:tcPr>
          <w:p w14:paraId="49202DD0" w14:textId="77A12468" w:rsidR="00AD5A62" w:rsidRPr="009B40F1" w:rsidRDefault="00F6138D" w:rsidP="00AD5A62">
            <w:pPr>
              <w:spacing w:line="276" w:lineRule="auto"/>
              <w:rPr>
                <w:rFonts w:ascii="Calibri" w:hAnsi="Calibri" w:cs="Calibri"/>
                <w:color w:val="0070C0"/>
                <w:sz w:val="20"/>
                <w:szCs w:val="20"/>
                <w:lang w:val="fr-FR"/>
              </w:rPr>
            </w:pPr>
            <w:r w:rsidRPr="009B40F1">
              <w:rPr>
                <w:rFonts w:ascii="Calibri" w:hAnsi="Calibri" w:cs="Calibri"/>
                <w:color w:val="0070C0"/>
                <w:sz w:val="20"/>
                <w:szCs w:val="20"/>
                <w:lang w:val="fr-FR"/>
              </w:rPr>
              <w:t>0.67</w:t>
            </w:r>
          </w:p>
        </w:tc>
        <w:tc>
          <w:tcPr>
            <w:tcW w:w="1417" w:type="dxa"/>
          </w:tcPr>
          <w:p w14:paraId="728A68D0" w14:textId="77777777" w:rsidR="00AD5A62" w:rsidRPr="001E3981" w:rsidRDefault="00AD5A62" w:rsidP="00AD5A62">
            <w:pPr>
              <w:spacing w:line="276" w:lineRule="auto"/>
              <w:rPr>
                <w:rFonts w:ascii="Calibri" w:hAnsi="Calibri" w:cs="Calibri"/>
                <w:sz w:val="20"/>
                <w:szCs w:val="20"/>
                <w:lang w:val="fr-FR"/>
              </w:rPr>
            </w:pPr>
            <w:r w:rsidRPr="001E3981">
              <w:rPr>
                <w:rFonts w:ascii="Calibri" w:hAnsi="Calibri" w:cs="Calibri"/>
                <w:sz w:val="20"/>
                <w:szCs w:val="20"/>
                <w:lang w:val="fr-FR"/>
              </w:rPr>
              <w:t>0.579</w:t>
            </w:r>
          </w:p>
        </w:tc>
        <w:tc>
          <w:tcPr>
            <w:tcW w:w="3884" w:type="dxa"/>
          </w:tcPr>
          <w:p w14:paraId="42E3F51D" w14:textId="745B906F" w:rsidR="00AD5A62" w:rsidRPr="001E3981" w:rsidRDefault="00AD5A62" w:rsidP="00AD5A62">
            <w:pPr>
              <w:spacing w:line="276" w:lineRule="auto"/>
              <w:rPr>
                <w:rFonts w:ascii="Calibri" w:hAnsi="Calibri" w:cs="Calibri"/>
                <w:sz w:val="20"/>
                <w:szCs w:val="20"/>
                <w:lang w:val="fr-FR"/>
              </w:rPr>
            </w:pPr>
            <w:r w:rsidRPr="00A97EA2">
              <w:rPr>
                <w:rFonts w:ascii="Calibri" w:hAnsi="Calibri" w:cs="Calibri"/>
                <w:sz w:val="20"/>
                <w:szCs w:val="20"/>
                <w:lang w:val="en-US"/>
              </w:rPr>
              <w:fldChar w:fldCharType="begin" w:fldLock="1"/>
            </w:r>
            <w:r w:rsidR="00FB520A">
              <w:rPr>
                <w:rFonts w:ascii="Calibri" w:hAnsi="Calibri" w:cs="Calibri"/>
                <w:sz w:val="20"/>
                <w:szCs w:val="20"/>
                <w:lang w:val="fr-FR"/>
              </w:rPr>
              <w:instrText>ADDIN CSL_CITATION {"citationItems":[{"id":"ITEM-1","itemData":{"DOI":"10.1016/j.jpba.2017.05.020","ISSN":"0731-7085","author":[{"dropping-particle":"","family":"Kong","given":"Wai Mun","non-dropping-particle":"","parse-names":false,"suffix":""},{"dropping-particle":"","family":"Mohamed","given":"Zahurin","non-dropping-particle":"","parse-names":false,"suffix":""},{"dropping-particle":"","family":"Alshawsh","given":"Mohammed A","non-dropping-particle":"","parse-names":false,"suffix":""},{"dropping-particle":"","family":"Chik","given":"Zamri","non-dropping-particle":"","parse-names":false,"suffix":""}],"container-title":"Journal of Pharmaceutical and Biomedical Analysis","id":"ITEM-1","issued":{"date-parts":[["2017"]]},"page":"43-47","publisher":"Elsevier B.V.","title":"Evaluation of pharmacokinetics and blood-brain barrier permeability of mitragynine using in vivo microdialysis technique","type":"article-journal","volume":"143"},"uris":["http://www.mendeley.com/documents/?uuid=9a2a773e-c1d1-4c81-a4ab-7c0cd078e28d"]}],"mendeley":{"formattedCitation":"(35)","plainTextFormattedCitation":"(35)","previouslyFormattedCitation":"(35)"},"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fr-FR"/>
              </w:rPr>
              <w:t>(35)</w:t>
            </w:r>
            <w:r w:rsidRPr="00A97EA2">
              <w:rPr>
                <w:rFonts w:ascii="Calibri" w:hAnsi="Calibri" w:cs="Calibri"/>
                <w:sz w:val="20"/>
                <w:szCs w:val="20"/>
                <w:lang w:val="en-US"/>
              </w:rPr>
              <w:fldChar w:fldCharType="end"/>
            </w:r>
          </w:p>
        </w:tc>
      </w:tr>
      <w:tr w:rsidR="00AD5A62" w:rsidRPr="00A97EA2" w14:paraId="1398650A" w14:textId="77777777" w:rsidTr="00405626">
        <w:tc>
          <w:tcPr>
            <w:tcW w:w="2127" w:type="dxa"/>
          </w:tcPr>
          <w:p w14:paraId="19F8F7AB" w14:textId="1772C8B1" w:rsidR="00AD5A62" w:rsidRPr="006E15B3" w:rsidRDefault="006E15B3" w:rsidP="00AD5A62">
            <w:pPr>
              <w:spacing w:line="276" w:lineRule="auto"/>
              <w:rPr>
                <w:rFonts w:ascii="Calibri" w:hAnsi="Calibri" w:cs="Calibri"/>
                <w:sz w:val="20"/>
                <w:szCs w:val="20"/>
                <w:vertAlign w:val="superscript"/>
                <w:lang w:val="fr-FR"/>
              </w:rPr>
            </w:pPr>
            <w:r>
              <w:rPr>
                <w:rFonts w:ascii="Calibri" w:hAnsi="Calibri" w:cs="Calibri"/>
                <w:sz w:val="20"/>
                <w:szCs w:val="20"/>
                <w:lang w:val="fr-FR"/>
              </w:rPr>
              <w:t>m</w:t>
            </w:r>
            <w:r w:rsidR="00AD5A62" w:rsidRPr="001E3981">
              <w:rPr>
                <w:rFonts w:ascii="Calibri" w:hAnsi="Calibri" w:cs="Calibri"/>
                <w:sz w:val="20"/>
                <w:szCs w:val="20"/>
                <w:lang w:val="fr-FR"/>
              </w:rPr>
              <w:t>orphine</w:t>
            </w:r>
            <w:r>
              <w:rPr>
                <w:rFonts w:ascii="Calibri" w:hAnsi="Calibri" w:cs="Calibri"/>
                <w:sz w:val="20"/>
                <w:szCs w:val="20"/>
                <w:vertAlign w:val="superscript"/>
                <w:lang w:val="fr-FR"/>
              </w:rPr>
              <w:t>#</w:t>
            </w:r>
          </w:p>
        </w:tc>
        <w:tc>
          <w:tcPr>
            <w:tcW w:w="1559" w:type="dxa"/>
            <w:vAlign w:val="bottom"/>
          </w:tcPr>
          <w:p w14:paraId="289DA28F" w14:textId="7BFEAE07" w:rsidR="00AD5A62" w:rsidRPr="009B40F1" w:rsidRDefault="00F6138D" w:rsidP="00AD5A62">
            <w:pPr>
              <w:spacing w:line="276" w:lineRule="auto"/>
              <w:rPr>
                <w:rFonts w:ascii="Calibri" w:hAnsi="Calibri" w:cs="Calibri"/>
                <w:color w:val="0070C0"/>
                <w:sz w:val="20"/>
                <w:szCs w:val="20"/>
                <w:lang w:val="fr-FR"/>
              </w:rPr>
            </w:pPr>
            <w:r w:rsidRPr="009B40F1">
              <w:rPr>
                <w:rFonts w:ascii="Calibri" w:hAnsi="Calibri" w:cs="Calibri"/>
                <w:color w:val="0070C0"/>
                <w:sz w:val="20"/>
                <w:szCs w:val="20"/>
                <w:lang w:val="fr-FR"/>
              </w:rPr>
              <w:t>-</w:t>
            </w:r>
          </w:p>
        </w:tc>
        <w:tc>
          <w:tcPr>
            <w:tcW w:w="1417" w:type="dxa"/>
          </w:tcPr>
          <w:p w14:paraId="42721D4B" w14:textId="77777777" w:rsidR="00AD5A62" w:rsidRPr="001E3981" w:rsidRDefault="00AD5A62" w:rsidP="00AD5A62">
            <w:pPr>
              <w:spacing w:line="276" w:lineRule="auto"/>
              <w:rPr>
                <w:rFonts w:ascii="Calibri" w:hAnsi="Calibri" w:cs="Calibri"/>
                <w:sz w:val="20"/>
                <w:szCs w:val="20"/>
                <w:lang w:val="fr-FR"/>
              </w:rPr>
            </w:pPr>
            <w:r w:rsidRPr="001E3981">
              <w:rPr>
                <w:rFonts w:ascii="Calibri" w:hAnsi="Calibri" w:cs="Calibri"/>
                <w:sz w:val="20"/>
                <w:szCs w:val="20"/>
                <w:lang w:val="fr-FR"/>
              </w:rPr>
              <w:t>0.38</w:t>
            </w:r>
          </w:p>
        </w:tc>
        <w:tc>
          <w:tcPr>
            <w:tcW w:w="3884" w:type="dxa"/>
          </w:tcPr>
          <w:p w14:paraId="2EDA9BD1" w14:textId="68184EDB"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fr-FR"/>
              </w:rPr>
              <w:instrText>ADDIN CSL_CITATION {"citationItems":[{"id":"ITEM-1","itemData":{"DOI":"10.1007/s10928-021-09768-7","ISBN":"0123456789","ISSN":"15738744","PMID":"34142308","abstract":"Predicting brain pharmacokinetics is critical for central nervous system (CNS) drug development yet difficult due to ethical restrictions of human brain sampling. CNS pharmacokinetic (PK) profiles are often altered in CNS diseases due to disease-specific pathophysiology. We previously published a comprehensive CNS physiologically-based PK (PBPK) model that predicted the PK profiles of small drugs at brain and cerebrospinal fluid compartments. Here, we improved this model with brain non-specific binding and pH effect on drug ionization and passive transport. We refer to this improved model as Leiden CNS PBPK predictor V3.0 (LeiCNS-PK3.0). LeiCNS-PK3.0 predicted the unbound drug concentrations of brain ECF and CSF compartments in rats and humans with less than two-fold error. We then applied LeiCNS-PK3.0 to study the effect of altered cerebrospinal fluid (CSF) dynamics, CSF volume and flow, on brain extracellular fluid (ECF) pharmacokinetics. The effect of altered CSF dynamics was simulated using LeiCNS-PK3.0 for six drugs and the resulting drug exposure at brain ECF and lumbar CSF were compared. Simulation results showed that altered CSF dynamics changed the CSF PK profiles, but not the brain ECF profiles, irrespective of the drug’s physicochemical properties. Our analysis supports the notion that lumbar CSF drug concentration is not an accurate surrogate of brain ECF, particularly in CNS diseases. Systems approaches account for multiple levels of CNS complexity and are better suited to predict brain PK.","author":[{"dropping-particle":"","family":"Saleh","given":"Mohammed A.A.","non-dropping-particle":"","parse-names":false,"suffix":""},{"dropping-particle":"","family":"Loo","given":"Chi Fong","non-dropping-particle":"","parse-names":false,"suffix":""},{"dropping-particle":"","family":"Elassaiss-Schaap","given":"Jeroen","non-dropping-particle":"","parse-names":false,"suffix":""},{"dropping-particle":"","family":"Lange","given":"Elizabeth C.M.","non-dropping-particle":"De","parse-names":false,"suffix":""}],"container-title":"Journal of Pharmacokinetics and Pharmacodynamics","id":"ITEM-1","issue":"5","issued":{"date-parts":[["2021"]]},"page":"725-741","publisher":"Springer US","title":"Lumbar cerebrospinal fluid-to-brain extracellular fluid surrogacy is context-specific: insights from LeiCNS-PK3.0 simulations","type":"article-journal","volume":"48"},"uris":["http://www.mendeley.com/documents/?uuid=5af6a788-075e-4c39-a82e-e14d4cdccf28"]}],"mendeley":{"formattedCitation":"(29)","plainTextFormattedCitation":"(29)","previouslyFormattedCitation":"(29)"},"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(29)</w:t>
            </w:r>
            <w:r w:rsidRPr="00A97EA2">
              <w:rPr>
                <w:rFonts w:ascii="Calibri" w:hAnsi="Calibri" w:cs="Calibri"/>
                <w:sz w:val="20"/>
                <w:szCs w:val="20"/>
                <w:lang w:val="en-US"/>
              </w:rPr>
              <w:fldChar w:fldCharType="end"/>
            </w:r>
          </w:p>
        </w:tc>
      </w:tr>
      <w:tr w:rsidR="00AD5A62" w:rsidRPr="00A97EA2" w14:paraId="3D2D2768" w14:textId="77777777" w:rsidTr="00405626">
        <w:tc>
          <w:tcPr>
            <w:tcW w:w="2127" w:type="dxa"/>
          </w:tcPr>
          <w:p w14:paraId="2FD941AD" w14:textId="683BDB52" w:rsidR="00AD5A62" w:rsidRPr="006E15B3" w:rsidRDefault="00AD5A62" w:rsidP="00AD5A62">
            <w:pPr>
              <w:spacing w:line="276" w:lineRule="auto"/>
              <w:rPr>
                <w:rFonts w:ascii="Calibri" w:hAnsi="Calibri" w:cs="Calibri"/>
                <w:sz w:val="20"/>
                <w:szCs w:val="20"/>
                <w:vertAlign w:val="superscript"/>
                <w:lang w:val="en-US"/>
              </w:rPr>
            </w:pPr>
            <w:r w:rsidRPr="00A97EA2">
              <w:rPr>
                <w:rFonts w:ascii="Calibri" w:hAnsi="Calibri" w:cs="Calibri"/>
                <w:sz w:val="20"/>
                <w:szCs w:val="20"/>
                <w:lang w:val="en-US"/>
              </w:rPr>
              <w:t>M6G</w:t>
            </w:r>
            <w:r w:rsidR="006E15B3">
              <w:rPr>
                <w:rFonts w:ascii="Calibri" w:hAnsi="Calibri" w:cs="Calibri"/>
                <w:sz w:val="20"/>
                <w:szCs w:val="20"/>
                <w:vertAlign w:val="superscript"/>
                <w:lang w:val="en-US"/>
              </w:rPr>
              <w:t>#</w:t>
            </w:r>
          </w:p>
        </w:tc>
        <w:tc>
          <w:tcPr>
            <w:tcW w:w="1559" w:type="dxa"/>
            <w:vAlign w:val="bottom"/>
          </w:tcPr>
          <w:p w14:paraId="2D85DBE1" w14:textId="176534B8"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w:t>
            </w:r>
          </w:p>
        </w:tc>
        <w:tc>
          <w:tcPr>
            <w:tcW w:w="1417" w:type="dxa"/>
          </w:tcPr>
          <w:p w14:paraId="0351205B"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0.29</w:t>
            </w:r>
          </w:p>
        </w:tc>
        <w:tc>
          <w:tcPr>
            <w:tcW w:w="3884" w:type="dxa"/>
          </w:tcPr>
          <w:p w14:paraId="5A52FFD3" w14:textId="1BBF6EF9"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{"citationItems":[{"id":"ITEM-1","itemData":{"DOI":"10.1016/j.ejps.2004.09.009","ISSN":"09280987","abstract":"The objective was to evaluate the influence of probenecid on the blood-brain barrier (BBB) transport of morphine-6-glucuronide (M6G). Microdialysis probes were placed in the striatum and into the jugular vein of Sprague-Dawley rats. Each probe was calibrated in vivo using retrodialysis by drug. M6G was administered as a 4-h exponential i.v. infusion, and the experiment was repeated the following day with the addition of probenecid. The data were analysed using NONMEM. An integrated model including the total arterial concentrations, the dialysate concentrations in brain and blood, and the recovery measurements, was developed. The extent of BBB transport, expressed as the ratio between clearance into the brain and clearance out of the brain (CL in/CL out), was estimated as 0.29 on both days, indicating that efflux transporters act on M6G at the BBB. However, the probenecid-sensitive transporters are not involved in the brain efflux, as the ratio was unaltered although probenecid was co-administered. In contrast, the systemic elimination of M6G decreased by 22% (p &lt; 0.05) upon probenecid co-administration. The half-life of M6G was longer in the brain than in blood on both experimental days (p &lt; 0.05). In conclusion, probenecid decreased the systemic elimination of M6G, but had no effect on the BBB transport of M6G. © 2004 Elsevier B.V. All rights reserved.","author":[{"dropping-particle":"","family":"Tunblad","given":"Karin","non-dropping-particle":"","parse-names":false,"suffix":""},{"dropping-particle":"","family":"Hammarlund-Udenaes","given":"Margareta","non-dropping-particle":"","parse-names":false,"suffix":""},{"dropping-particle":"","family":"Jonsson","given":"E. Niclas","non-dropping-particle":"","parse-names":false,"suffix":""}],"container-title":"European Journal of Pharmaceutical Sciences","id":"ITEM-1","issue":"1","issued":{"date-parts":[["2005"]]},"page":"49-57","title":"Influence of probenecid on the delivery of morphine-6-glucuronide to the brain","type":"article-journal","volume":"24"},"uris":["http://www.mendeley.com/documents/?uuid=304f9464-2f82-4d95-afb8-aa82816d6cb6"]}],"mendeley":{"formattedCitation":"(36)","plainTextFormattedCitation":"(36)","previouslyFormattedCitation":"(36)"},"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(36)</w:t>
            </w:r>
            <w:r w:rsidRPr="00A97EA2">
              <w:rPr>
                <w:rFonts w:ascii="Calibri" w:hAnsi="Calibri" w:cs="Calibri"/>
                <w:sz w:val="20"/>
                <w:szCs w:val="20"/>
                <w:lang w:val="en-US"/>
              </w:rPr>
              <w:fldChar w:fldCharType="end"/>
            </w:r>
          </w:p>
        </w:tc>
      </w:tr>
      <w:tr w:rsidR="00AD5A62" w:rsidRPr="00A97EA2" w14:paraId="408CAC63" w14:textId="77777777" w:rsidTr="00405626">
        <w:tc>
          <w:tcPr>
            <w:tcW w:w="2127" w:type="dxa"/>
          </w:tcPr>
          <w:p w14:paraId="084DA4E4" w14:textId="3AB7CBDF" w:rsidR="00AD5A62" w:rsidRPr="006E15B3" w:rsidRDefault="006E15B3" w:rsidP="00AD5A62">
            <w:pPr>
              <w:spacing w:line="276" w:lineRule="auto"/>
              <w:rPr>
                <w:rFonts w:ascii="Calibri" w:hAnsi="Calibri" w:cs="Calibri"/>
                <w:sz w:val="20"/>
                <w:szCs w:val="20"/>
                <w:vertAlign w:val="superscript"/>
                <w:lang w:val="en-US"/>
              </w:rPr>
            </w:pPr>
            <w:r>
              <w:rPr>
                <w:rFonts w:ascii="Calibri" w:hAnsi="Calibri" w:cs="Calibri"/>
                <w:sz w:val="20"/>
                <w:szCs w:val="20"/>
                <w:lang w:val="en-US"/>
              </w:rPr>
              <w:t>n</w:t>
            </w:r>
            <w:r w:rsidR="00AD5A62" w:rsidRPr="00A97EA2">
              <w:rPr>
                <w:rFonts w:ascii="Calibri" w:hAnsi="Calibri" w:cs="Calibri"/>
                <w:sz w:val="20"/>
                <w:szCs w:val="20"/>
                <w:lang w:val="en-US"/>
              </w:rPr>
              <w:t>altrexone</w:t>
            </w:r>
            <w:r>
              <w:rPr>
                <w:rFonts w:ascii="Calibri" w:hAnsi="Calibri" w:cs="Calibri"/>
                <w:sz w:val="20"/>
                <w:szCs w:val="20"/>
                <w:vertAlign w:val="superscript"/>
                <w:lang w:val="en-US"/>
              </w:rPr>
              <w:t>#</w:t>
            </w:r>
          </w:p>
        </w:tc>
        <w:tc>
          <w:tcPr>
            <w:tcW w:w="1559" w:type="dxa"/>
            <w:vAlign w:val="bottom"/>
          </w:tcPr>
          <w:p w14:paraId="213A01BD" w14:textId="20A43D0E"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w:t>
            </w:r>
          </w:p>
        </w:tc>
        <w:tc>
          <w:tcPr>
            <w:tcW w:w="1417" w:type="dxa"/>
          </w:tcPr>
          <w:p w14:paraId="4961647C"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0.407</w:t>
            </w:r>
          </w:p>
        </w:tc>
        <w:tc>
          <w:tcPr>
            <w:tcW w:w="3884" w:type="dxa"/>
          </w:tcPr>
          <w:p w14:paraId="3858C50F" w14:textId="7CFFE2B4"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{"citationItems":[{"id":"ITEM-1","itemData":{"DOI":"10.1124/dmd.118.080697","ISSN":"1521009X","PMID":"29700231","abstract":"Microdialysis is a powerful technique allowing for real-time measurement of unbound drug concentrations in brain interstitial fluid in conscious animals. Use of microdialysis in drug discovery is limited by high resource requirement and low throughput, but this may be improved by cassette dosing. Administering multiple compounds intravenously of diverse physiochemical properties, it is often very challenging and time consuming to identify a vehicle that can dissolve all of the compounds. To overcome this limitation, the present study explores the possibility of administering a cassette dose of nine diverse compounds (carbamazepine, citalopram, desmethylclozapine, diphenhydramine, gabapentin, metoclopramide, naltrexone, quinidine, and risperidone) in suspension, rather than in solution, by intraperitoneal and subcutaneous routes, and determining if this is a viable option for assessing blood-brain barrier penetration in microdialysis studies. Repeated hourly subcutaneous dosing during the 6-hour microdialysis study allowed for the best attainment of distributional equilibrium between brain and plasma, resulting in less than a 2-fold difference in the unbound brain to unbound plasma concentration ratio for the cassette dosing method versus discrete dosing. Both subcutaneous and intraperitoneal repeated dosing can provide amore practical substitute for intravenous dosing in determining brain penetration of a cassette of diverse compounds in brain microdialysis studies. The results from the present study demonstrate that dosing compounds in suspension represents a practical approach to eliminating the technical challenge and labor-intensive step of preparation of solutions of a mixture of compounds andwill enable the use of the cassette brain microdialysis method in a central nervous system drug discovery setting.","author":[{"dropping-particle":"","family":"Durk","given":"Matthew R.","non-dropping-particle":"","parse-names":false,"suffix":""},{"dropping-particle":"","family":"Deshmukh","given":"Gauri","non-dropping-particle":"","parse-names":false,"suffix":""},{"dropping-particle":"","family":"Valle","given":"Nicole","non-dropping-particle":"","parse-names":false,"suffix":""},{"dropping-particle":"","family":"Ding","given":"Xiao","non-dropping-particle":"","parse-names":false,"suffix":""},{"dropping-particle":"","family":"Liederer","given":"Bianca M.","non-dropping-particle":"","parse-names":false,"suffix":""},{"dropping-particle":"","family":"Liu","given":"Xingrong","non-dropping-particle":"","parse-names":false,"suffix":""}],"container-title":"Drug Metabolism and Disposition","id":"ITEM-1","issue":"7","issued":{"date-parts":[["2018"]]},"page":"964-969","title":"Use of subcutaneous and intraperitoneal administration methods to facilitate cassette dosing in microdialysis studies in rats","type":"article-journal","volume":"46"},"uris":["http://www.mendeley.com/documents/?uuid=ad8936d7-1154-4f85-9863-15bee8c264be"]}],"mendeley":{"formattedCitation":"(37)","plainTextFormattedCitation":"(37)","previouslyFormattedCitation":"(37)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(37)</w:t>
            </w:r>
            <w:r w:rsidRPr="00A97EA2">
              <w:rPr>
                <w:rFonts w:ascii="Calibri" w:hAnsi="Calibri" w:cs="Calibri"/>
                <w:sz w:val="20"/>
                <w:szCs w:val="20"/>
                <w:lang w:val="en-US"/>
              </w:rPr>
              <w:fldChar w:fldCharType="end"/>
            </w:r>
          </w:p>
        </w:tc>
      </w:tr>
      <w:tr w:rsidR="00AD5A62" w:rsidRPr="00A97EA2" w14:paraId="1C3587E5" w14:textId="77777777" w:rsidTr="00405626">
        <w:tc>
          <w:tcPr>
            <w:tcW w:w="2127" w:type="dxa"/>
          </w:tcPr>
          <w:p w14:paraId="6FBE26EE"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naringin</w:t>
            </w:r>
          </w:p>
        </w:tc>
        <w:tc>
          <w:tcPr>
            <w:tcW w:w="1559" w:type="dxa"/>
            <w:vAlign w:val="bottom"/>
          </w:tcPr>
          <w:p w14:paraId="2D4D24CD" w14:textId="6FB42BE4"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0.01</w:t>
            </w:r>
          </w:p>
        </w:tc>
        <w:tc>
          <w:tcPr>
            <w:tcW w:w="1417" w:type="dxa"/>
          </w:tcPr>
          <w:p w14:paraId="03898965"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0.0068</w:t>
            </w:r>
          </w:p>
        </w:tc>
        <w:tc>
          <w:tcPr>
            <w:tcW w:w="3884" w:type="dxa"/>
          </w:tcPr>
          <w:p w14:paraId="4E688EA7" w14:textId="54816C76"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{"citationItems":[{"id":"ITEM-1","itemData":{"author":[{"dropping-particle":"","family":"Tsai","given":"T. H.","non-dropping-particle":"","parse-names":false,"suffix":""}],"container-title":"Journal of Agricultural and Food Chemsitry","id":"ITEM-1","issue":"23","issued":{"date-parts":[["2002"]]},"page":"6669-6674","title":"Determination of Naringin in Rat Blood , Brain , Liver , and Bile Using Microdialysis and Its Interaction with Cyclosporin A , a P-Glycoprotein Modulator","type":"article-journal","volume":"50"},"uris":["http://www.mendeley.com/documents/?uuid=82740cdd-5518-4f01-8836-dde86702c8f0"]}],"mendeley":{"formattedCitation":"(38)","plainTextFormattedCitation":"(38)","previouslyFormattedCitation":"(38)"},"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(38)</w:t>
            </w:r>
            <w:r w:rsidRPr="00A97EA2">
              <w:rPr>
                <w:rFonts w:ascii="Calibri" w:hAnsi="Calibri" w:cs="Calibri"/>
                <w:sz w:val="20"/>
                <w:szCs w:val="20"/>
                <w:lang w:val="en-US"/>
              </w:rPr>
              <w:fldChar w:fldCharType="end"/>
            </w:r>
          </w:p>
        </w:tc>
      </w:tr>
      <w:tr w:rsidR="00AD5A62" w:rsidRPr="00A97EA2" w14:paraId="11AD5EEE" w14:textId="77777777" w:rsidTr="00405626">
        <w:tc>
          <w:tcPr>
            <w:tcW w:w="2127" w:type="dxa"/>
          </w:tcPr>
          <w:p w14:paraId="4CAB0CE5"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lastRenderedPageBreak/>
              <w:t>norfloxacin</w:t>
            </w:r>
          </w:p>
        </w:tc>
        <w:tc>
          <w:tcPr>
            <w:tcW w:w="1559" w:type="dxa"/>
            <w:vAlign w:val="bottom"/>
          </w:tcPr>
          <w:p w14:paraId="6A1CCB2E" w14:textId="278089E4"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0.07</w:t>
            </w:r>
          </w:p>
        </w:tc>
        <w:tc>
          <w:tcPr>
            <w:tcW w:w="1417" w:type="dxa"/>
          </w:tcPr>
          <w:p w14:paraId="6DAB8A6F"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0.034</w:t>
            </w:r>
          </w:p>
        </w:tc>
        <w:tc>
          <w:tcPr>
            <w:tcW w:w="3884" w:type="dxa"/>
          </w:tcPr>
          <w:p w14:paraId="68EAC5A6" w14:textId="39DCCAB8"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{"citationItems":[{"id":"ITEM-1","itemData":{"author":[{"dropping-particle":"","family":"Ooie","given":"T","non-dropping-particle":"","parse-names":false,"suffix":""},{"dropping-particle":"","family":"Terasaki T, Suzuki H","given":"Sugiyama Y","non-dropping-particle":"","parse-names":false,"suffix":""}],"container-title":"Drug Metabolism and Disposition","id":"ITEM-1","issue":"7","issued":{"date-parts":[["1997"]]},"page":"784-789","title":"Quantitative brain microdialysis study on the mechanism of quinolones distribution in the central nervous system","type":"article-journal","volume":"25"},"uris":["http://www.mendeley.com/documents/?uuid=951dff67-a4f0-4189-aba8-ce4871b3b50f"]}],"mendeley":{"formattedCitation":"(39)","plainTextFormattedCitation":"(39)","previouslyFormattedCitation":"(39)"},"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(39)</w:t>
            </w:r>
            <w:r w:rsidRPr="00A97EA2">
              <w:rPr>
                <w:rFonts w:ascii="Calibri" w:hAnsi="Calibri" w:cs="Calibri"/>
                <w:sz w:val="20"/>
                <w:szCs w:val="20"/>
                <w:lang w:val="en-US"/>
              </w:rPr>
              <w:fldChar w:fldCharType="end"/>
            </w:r>
          </w:p>
        </w:tc>
      </w:tr>
      <w:tr w:rsidR="00AD5A62" w:rsidRPr="005001B1" w14:paraId="266C97A3" w14:textId="77777777" w:rsidTr="00405626">
        <w:tc>
          <w:tcPr>
            <w:tcW w:w="2127" w:type="dxa"/>
          </w:tcPr>
          <w:p w14:paraId="431F79F9"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nortriptyline</w:t>
            </w:r>
          </w:p>
        </w:tc>
        <w:tc>
          <w:tcPr>
            <w:tcW w:w="1559" w:type="dxa"/>
            <w:vAlign w:val="bottom"/>
          </w:tcPr>
          <w:p w14:paraId="237650DB" w14:textId="154D0D95"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0.94</w:t>
            </w:r>
          </w:p>
        </w:tc>
        <w:tc>
          <w:tcPr>
            <w:tcW w:w="1417" w:type="dxa"/>
          </w:tcPr>
          <w:p w14:paraId="0D08A453"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0.85</w:t>
            </w:r>
          </w:p>
        </w:tc>
        <w:tc>
          <w:tcPr>
            <w:tcW w:w="3884" w:type="dxa"/>
          </w:tcPr>
          <w:p w14:paraId="1F94B190" w14:textId="10819D4D"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{"citationItems":[{"id":"ITEM-1","itemData":{"DOI":"10.1016/J.NEUROPHARM.2013.04.027","ISSN":"1873-7064","PMID":"23639435","abstract":"Inhibition of central α4b2 nAChRs by antidepressants, proposed to contribute to their clinical efficacy, was assessed for monoamine reuptake inhibitors (amitriptyline, nortriptyline, fluoxetine, sertraline, paroxetine, citalopram) by comparing projected human unbound brain drug concentrations (Cu,b) at therapeutic doses with concentrations that inhibit human α4b2 nAChRs in vitro. Inhibitory concentrations (IC50) were determined by patch clamp and ranged from 0.8e3.2 mM, except for nortriptyline (IC50 = 100 nM). Cu,b values were calculated from human unbound plasma drug concentrations (Cu,p) and rat-derived brain-to-plasma and extracellular fluid-to-plasma ratios for the unbound drug, which are near unity, due to much higher brain tissue binding than plasma protein binding of these drugs. Accordingly in humans, antidepressant Cu,b are projected to essentially equal Cu,p, with average values from 3e87 nM, which are 30-to-250-fold below their IC50 concentrations. Based on our model, monoaminergic antidepressants minimally inhibit central nAChRs and it is unlikely that α4b2 nAChR antagonism contributes to their antidepressant activity. Nortriptyline is an exception with a Cu,b that is 2-fold below its IC50, which is comparable to the nAChR antagonist (-)-mecamylamine, for which Cu,b is 4-fold below its IC50; both drugs will inhibit a substantial fraction of α4b2 nAChRs. The Cu,b of the α4b2 nAChR partial agonist varenicline, which has antidepressant-like activity in a murine model, is higher than its IC50 and varenicline is projected to cause w70% inhibition of α4b2 nAChRs. Taken together these data may help explain the negative outcome of recent antidepressant augmentation trials with mecamylamine and the partial agonist CP-601927. © 2013 Elsevier Ltd. All rights reserved.","author":[{"dropping-particle":"","family":"Weber","given":"Mark L.","non-dropping-particle":"","parse-names":false,"suffix":""},{"dropping-particle":"","family":"Hofland","given":"Corry M.","non-dropping-particle":"","parse-names":false,"suffix":""},{"dropping-particle":"","family":"Shaffer","given":"Christopher L.","non-dropping-particle":"","parse-names":false,"suffix":""},{"dropping-particle":"","family":"Flik","given":"Gunnar","non-dropping-particle":"","parse-names":false,"suffix":""},{"dropping-particle":"","family":"Cremers","given":"Thomas","non-dropping-particle":"","parse-names":false,"suffix":""},{"dropping-particle":"","family":"Hurst","given":"Raymond S.","non-dropping-particle":"","parse-names":false,"suffix":""},{"dropping-particle":"","family":"Rollema","given":"Hans","non-dropping-particle":"","parse-names":false,"suffix":""}],"container-title":"Neuropharmacology","id":"ITEM-1","issued":{"date-parts":[["2013"]]},"page":"88-95","publisher":"Neuropharmacology","title":"Therapeutic doses of antidepressants are projected not to inhibit human α4β2 nicotinic acetylcholine receptors","type":"article-journal","volume":"72"},"uris":["http://www.mendeley.com/documents/?uuid=586a4e57-8c43-470d-b44e-405e01cf553f"]}],"mendeley":{"formattedCitation":"(16)","plainTextFormattedCitation":"(16)","previouslyFormattedCitation":"(16)"},"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(16)</w:t>
            </w:r>
            <w:r w:rsidRPr="00A97EA2">
              <w:rPr>
                <w:rFonts w:ascii="Calibri" w:hAnsi="Calibri" w:cs="Calibri"/>
                <w:sz w:val="20"/>
                <w:szCs w:val="20"/>
                <w:lang w:val="en-US"/>
              </w:rPr>
              <w:fldChar w:fldCharType="end"/>
            </w:r>
          </w:p>
        </w:tc>
      </w:tr>
      <w:tr w:rsidR="00AD5A62" w:rsidRPr="005001B1" w14:paraId="0BE520A1" w14:textId="77777777" w:rsidTr="00405626">
        <w:tc>
          <w:tcPr>
            <w:tcW w:w="2127" w:type="dxa"/>
          </w:tcPr>
          <w:p w14:paraId="2F021624"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ofloxacin</w:t>
            </w:r>
          </w:p>
        </w:tc>
        <w:tc>
          <w:tcPr>
            <w:tcW w:w="1559" w:type="dxa"/>
            <w:vAlign w:val="bottom"/>
          </w:tcPr>
          <w:p w14:paraId="025BDB41" w14:textId="7DEB1943"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0.14</w:t>
            </w:r>
          </w:p>
        </w:tc>
        <w:tc>
          <w:tcPr>
            <w:tcW w:w="1417" w:type="dxa"/>
          </w:tcPr>
          <w:p w14:paraId="18F705C9"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0.118</w:t>
            </w:r>
          </w:p>
        </w:tc>
        <w:tc>
          <w:tcPr>
            <w:tcW w:w="3884" w:type="dxa"/>
          </w:tcPr>
          <w:p w14:paraId="57A5BA33" w14:textId="7948A2AA"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{"citationItems":[{"id":"ITEM-1","itemData":{"author":[{"dropping-particle":"","family":"Ooie","given":"T","non-dropping-particle":"","parse-names":false,"suffix":""},{"dropping-particle":"","family":"Terasaki T, Suzuki H","given":"Sugiyama Y","non-dropping-particle":"","parse-names":false,"suffix":""}],"container-title":"Drug Metabolism and Disposition","id":"ITEM-1","issue":"7","issued":{"date-parts":[["1997"]]},"page":"784-789","title":"Quantitative brain microdialysis study on the mechanism of quinolones distribution in the central nervous system","type":"article-journal","volume":"25"},"uris":["http://www.mendeley.com/documents/?uuid=951dff67-a4f0-4189-aba8-ce4871b3b50f"]}],"mendeley":{"formattedCitation":"(39)","plainTextFormattedCitation":"(39)","previouslyFormattedCitation":"(39)"},"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(39)</w:t>
            </w:r>
            <w:r w:rsidRPr="00A97EA2">
              <w:rPr>
                <w:rFonts w:ascii="Calibri" w:hAnsi="Calibri" w:cs="Calibri"/>
                <w:sz w:val="20"/>
                <w:szCs w:val="20"/>
                <w:lang w:val="en-US"/>
              </w:rPr>
              <w:fldChar w:fldCharType="end"/>
            </w:r>
          </w:p>
        </w:tc>
      </w:tr>
      <w:tr w:rsidR="00AD5A62" w:rsidRPr="00A97EA2" w14:paraId="36838359" w14:textId="77777777" w:rsidTr="00405626">
        <w:tc>
          <w:tcPr>
            <w:tcW w:w="2127" w:type="dxa"/>
          </w:tcPr>
          <w:p w14:paraId="70217BC1"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omeprazole</w:t>
            </w:r>
          </w:p>
        </w:tc>
        <w:tc>
          <w:tcPr>
            <w:tcW w:w="1559" w:type="dxa"/>
            <w:vAlign w:val="bottom"/>
          </w:tcPr>
          <w:p w14:paraId="3799F996" w14:textId="5D2383A4"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0.13</w:t>
            </w:r>
          </w:p>
        </w:tc>
        <w:tc>
          <w:tcPr>
            <w:tcW w:w="1417" w:type="dxa"/>
          </w:tcPr>
          <w:p w14:paraId="2908CC41"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0.15</w:t>
            </w:r>
          </w:p>
        </w:tc>
        <w:tc>
          <w:tcPr>
            <w:tcW w:w="3884" w:type="dxa"/>
          </w:tcPr>
          <w:p w14:paraId="5190AE82" w14:textId="1750C086"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{"citationItems":[{"id":"ITEM-1","itemData":{"DOI":"10.1016/S0021-9673(01)01225-0","ISSN":"0021-9673","PMID":"11999751","abstract":"The disposition and biliary excretion of omeprazole was investigated following i.v. administration to rats at 10 mg/kg. We used a microdialysis technique coupled to a validated microbore HPLC system to monitor the levels of protein-unbound omeprazole in rat blood, brain and bile, constructing the relationship of the time course of the presence of omeprazole. Microdialysis probes were simultaneously inserted into the jugular vein toward right atrium, the brain striatum and the bile duct of the male Sprague-Dawley rats for biological fluid sampling after the administration of omeprazole (10 mg/kg) through the femoral vein. The concentration-response relationship from the present method indicated linearity (r2&gt;0.995) over a concentration range of 0.01-50 μg/ml for omeprazole. Intra-assay and inter-assay precision and accuracy of omeprazole fell well within the predefined limits of acceptability. Following omeprazole administration, the blood-to-brain coefficient of distribution was 0.15, which was calculated as the area under the concentration versus time curve (AUC) in the brain divided by the AUC in blood (k=AUCbrain/AUCblood). The blood-to-bile coefficient of distribution (k=AUCbile/AUCblood) was 0.58. The decline of unbound omeprazole in the brain striatum, blood and bile fluid suggests that there was rapid exchange and equilibration between the compartments of the peripheral and central nervous systems. In addition, the results indicated that omeprazole was able to penetrate the blood-brain barrier and undergo hepatobiliary excretion. © 2002 Elsevier, Science B.V. All rights reserved.","author":[{"dropping-particle":"","family":"Cheng","given":"F. C.","non-dropping-particle":"","parse-names":false,"suffix":""},{"dropping-particle":"","family":"Ho","given":"Y. F.","non-dropping-particle":"","parse-names":false,"suffix":""},{"dropping-particle":"","family":"Hung","given":"L. C.","non-dropping-particle":"","parse-names":false,"suffix":""},{"dropping-particle":"","family":"Chen","given":"C. F.","non-dropping-particle":"","parse-names":false,"suffix":""},{"dropping-particle":"","family":"Tsai","given":"T. H.","non-dropping-particle":"","parse-names":false,"suffix":""}],"container-title":"Journal of chromatography. A","id":"ITEM-1","issue":"1-2","issued":{"date-parts":[["2002","3"]]},"page":"35-42","publisher":"J Chromatogr A","title":"Determination and pharmacokinetic profile of omeprazole in rat blood, brain and bile by microdialysis and high-performance liquid chromatography","type":"article-journal","volume":"949"},"uris":["http://www.mendeley.com/documents/?uuid=39da65f1-939a-4abe-a843-da694956839a"]}],"mendeley":{"formattedCitation":"(40)","plainTextFormattedCitation":"(40)","previouslyFormattedCitation":"(40)"},"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(40)</w:t>
            </w:r>
            <w:r w:rsidRPr="00A97EA2">
              <w:rPr>
                <w:rFonts w:ascii="Calibri" w:hAnsi="Calibri" w:cs="Calibri"/>
                <w:sz w:val="20"/>
                <w:szCs w:val="20"/>
                <w:lang w:val="en-US"/>
              </w:rPr>
              <w:fldChar w:fldCharType="end"/>
            </w:r>
          </w:p>
        </w:tc>
      </w:tr>
      <w:tr w:rsidR="00AD5A62" w:rsidRPr="00A97EA2" w14:paraId="1B04274C" w14:textId="77777777" w:rsidTr="00405626">
        <w:tc>
          <w:tcPr>
            <w:tcW w:w="2127" w:type="dxa"/>
          </w:tcPr>
          <w:p w14:paraId="6E52CA2A"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ondansetron</w:t>
            </w:r>
          </w:p>
        </w:tc>
        <w:tc>
          <w:tcPr>
            <w:tcW w:w="1559" w:type="dxa"/>
            <w:vAlign w:val="bottom"/>
          </w:tcPr>
          <w:p w14:paraId="42B2F632" w14:textId="4B4BCD65"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0.24</w:t>
            </w:r>
          </w:p>
        </w:tc>
        <w:tc>
          <w:tcPr>
            <w:tcW w:w="1417" w:type="dxa"/>
          </w:tcPr>
          <w:p w14:paraId="669BC762"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0.19</w:t>
            </w:r>
          </w:p>
        </w:tc>
        <w:tc>
          <w:tcPr>
            <w:tcW w:w="3884" w:type="dxa"/>
          </w:tcPr>
          <w:p w14:paraId="013CF809" w14:textId="684DFD50"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{"citationItems":[{"id":"ITEM-1","itemData":{"DOI":"10.1016/J.IJPHARM.2010.09.016","ISSN":"1873-3476","PMID":"20920560","abstract":"Although several in vitro models have been reported to predict the ability of drug candidates to cross the blood-brain barrier, their real in vivo relevance has rarely been evaluated. The present study demonstrates the in vivo relevance of simple unidirectional permeability coefficient (Papp) determined in three in vitro cell models (BBMEC, Caco-2 and MDCKII-MDR1) for nine model drugs (alprenolol, atenolol, metoprolol, pindolol, entacapone, tolcapone, baclofen, midazolam and ondansetron) by using dual probe microdialysis in the rat brain and blood as an in vivo measure. There was a clear correlation between the Papp and the unbound brain/blood ratios determined by in vivo microdialysis (BBMEC r=0.99, Caco-2 r=0.91 and MDCKII-MDR1 r=0.85). Despite of the substantial differences in the absolute in vitro Papp values and regardless of the method used (side-by-side vs. filter insert system), the capability of the in vitro models to rank order drugs was similar. By this approach, thus, the additional value offered by the true endothelial cell model (BBMEC) remains obscure. The present results also highlight the need of both in vitro as well as in vivo methods in characterization of blood-brain barrier passage of new drug candidates. © 2010 Elsevier B.V.","author":[{"dropping-particle":"","family":"Hakkarainen","given":"Jenni J.","non-dropping-particle":"","parse-names":false,"suffix":""},{"dropping-particle":"","family":"Jalkanen","given":"Aaro J.","non-dropping-particle":"","parse-names":false,"suffix":""},{"dropping-particle":"","family":"Kääriäinen","given":"Tiina M.","non-dropping-particle":"","parse-names":false,"suffix":""},{"dropping-particle":"","family":"Keski-Rahkonen","given":"Pekka","non-dropping-particle":"","parse-names":false,"suffix":""},{"dropping-particle":"","family":"Venäläinen","given":"Tetta","non-dropping-particle":"","parse-names":false,"suffix":""},{"dropping-particle":"","family":"Hokkanen","given":"Juho","non-dropping-particle":"","parse-names":false,"suffix":""},{"dropping-particle":"","family":"Mönkkönen","given":"Jukka","non-dropping-particle":"","parse-names":false,"suffix":""},{"dropping-particle":"","family":"Suhonen","given":"Marjukka","non-dropping-particle":"","parse-names":false,"suffix":""},{"dropping-particle":"","family":"Forsberg","given":"Markus M.","non-dropping-particle":"","parse-names":false,"suffix":""}],"container-title":"International journal of pharmaceutics","id":"ITEM-1","issue":"1-2","issued":{"date-parts":[["2010","12"]]},"page":"27-36","publisher":"Int J Pharm","title":"Comparison of in vitro cell models in predicting in vivo brain entry of drugs","type":"article-journal","volume":"402"},"uris":["http://www.mendeley.com/documents/?uuid=868a41a3-2bbd-4732-ad2c-2054108ce6c9"]}],"mendeley":{"formattedCitation":"(4)","plainTextFormattedCitation":"(4)","previouslyFormattedCitation":"(4)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w:t>
            </w:r>
            <w:r w:rsidRPr="00A97EA2">
              <w:rPr>
                <w:rFonts w:ascii="Calibri" w:hAnsi="Calibri" w:cs="Calibri"/>
                <w:sz w:val="20"/>
                <w:szCs w:val="20"/>
                <w:lang w:val="en-US"/>
              </w:rPr>
              <w:fldChar w:fldCharType="end"/>
            </w:r>
          </w:p>
        </w:tc>
      </w:tr>
      <w:tr w:rsidR="00AD5A62" w:rsidRPr="00A97EA2" w14:paraId="13604259" w14:textId="77777777" w:rsidTr="00405626">
        <w:tc>
          <w:tcPr>
            <w:tcW w:w="2127" w:type="dxa"/>
          </w:tcPr>
          <w:p w14:paraId="096440AB" w14:textId="01463AE9" w:rsidR="00AD5A62" w:rsidRPr="006E15B3" w:rsidRDefault="006E15B3" w:rsidP="00AD5A62">
            <w:pPr>
              <w:spacing w:line="276" w:lineRule="auto"/>
              <w:rPr>
                <w:rFonts w:ascii="Calibri" w:hAnsi="Calibri" w:cs="Calibri"/>
                <w:sz w:val="20"/>
                <w:szCs w:val="20"/>
                <w:vertAlign w:val="superscript"/>
                <w:lang w:val="en-US"/>
              </w:rPr>
            </w:pPr>
            <w:r>
              <w:rPr>
                <w:rFonts w:ascii="Calibri" w:hAnsi="Calibri" w:cs="Calibri"/>
                <w:sz w:val="20"/>
                <w:szCs w:val="20"/>
                <w:lang w:val="en-US"/>
              </w:rPr>
              <w:t>o</w:t>
            </w:r>
            <w:r w:rsidR="00AD5A62" w:rsidRPr="00A97EA2">
              <w:rPr>
                <w:rFonts w:ascii="Calibri" w:hAnsi="Calibri" w:cs="Calibri"/>
                <w:sz w:val="20"/>
                <w:szCs w:val="20"/>
                <w:lang w:val="en-US"/>
              </w:rPr>
              <w:t>xycodone</w:t>
            </w:r>
            <w:r>
              <w:rPr>
                <w:rFonts w:ascii="Calibri" w:hAnsi="Calibri" w:cs="Calibri"/>
                <w:sz w:val="20"/>
                <w:szCs w:val="20"/>
                <w:vertAlign w:val="superscript"/>
                <w:lang w:val="en-US"/>
              </w:rPr>
              <w:t>#</w:t>
            </w:r>
          </w:p>
        </w:tc>
        <w:tc>
          <w:tcPr>
            <w:tcW w:w="1559" w:type="dxa"/>
            <w:vAlign w:val="bottom"/>
          </w:tcPr>
          <w:p w14:paraId="49400E5F" w14:textId="36137E26"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w:t>
            </w:r>
          </w:p>
        </w:tc>
        <w:tc>
          <w:tcPr>
            <w:tcW w:w="1417" w:type="dxa"/>
          </w:tcPr>
          <w:p w14:paraId="3974405B"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2.9</w:t>
            </w:r>
          </w:p>
        </w:tc>
        <w:tc>
          <w:tcPr>
            <w:tcW w:w="3884" w:type="dxa"/>
          </w:tcPr>
          <w:p w14:paraId="3BD5C7D6" w14:textId="11FA194F"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{"citationItems":[{"id":"ITEM-1","itemData":{"DOI":"10.1016/j.neuroimage.2017.04.068","ISSN":"10959572","PMID":"28467891","abstract":"Methods to investigate blood-brain barrier transport and pharmacologically active drug concentrations in the human brain are limited and data translation between species is challenging. Hence, there is a need to further develop the read-out of techniques like positron emission tomography (PET) for studying neuropharmacokinetics. PET has a high translational applicability from rodents to man and measures total drug concentrations in vivo. The aim of the present study was to investigate the possibility of translating total drug concentrations, acquired through PET, to unbound concentrations, resembling those measured in the interstitial fluid by microdialysis sampling. Simultaneous PET scanning and brain microdialysis sampling were performed in rats throughout a 60 min infusion of [N-methyl-11C]oxycodone in combination with a therapeutic dose of oxycodone and during a 60 min follow up period after the end of infusion. The oxycodone concentrations acquired with PET were converted into unbound concentrations by compensating for brain tissue binding and brain intracellular distribution, using the unbound volume of distribution in brain (Vu,brain), and were compared to microdialysis measurements of unbound concentrations. A good congruence between the methods was observed throughout the infusion. However, an accumulating divergence in the acquired PET and microdialysis data was apparent and became more pronounced during the elimination phase, most likely due to the passage of radioactive metabolites into the brain. In conclusion, the study showed that PET can be used to translate non-invasively measured total drug concentrations into unbound concentrations as long as the contribution of radiolabelled metabolites is minor or can be compensated for.","author":[{"dropping-particle":"","family":"Gustafsson","given":"Sofia","non-dropping-particle":"","parse-names":false,"suffix":""},{"dropping-particle":"","family":"Eriksson","given":"Jonas","non-dropping-particle":"","parse-names":false,"suffix":""},{"dropping-particle":"","family":"Syvänen","given":"Stina","non-dropping-particle":"","parse-names":false,"suffix":""},{"dropping-particle":"","family":"Eriksson","given":"Olof","non-dropping-particle":"","parse-names":false,"suffix":""},{"dropping-particle":"","family":"Hammarlund-Udenaes","given":"Margareta","non-dropping-particle":"","parse-names":false,"suffix":""},{"dropping-particle":"","family":"Antoni","given":"Gunnar","non-dropping-particle":"","parse-names":false,"suffix":""}],"container-title":"NeuroImage","id":"ITEM-1","issued":{"date-parts":[["2017"]]},"page":"177-186","publisher":"Elsevier","title":"Combined PET and microdialysis for in vivo estimation of drug blood-brain barrier transport and brain unbound concentrations","type":"article-journal","volume":"155"},"uris":["http://www.mendeley.com/documents/?uuid=923b814e-5de3-4d69-893a-d35da7c7b60a"]}],"mendeley":{"formattedCitation":"(41)","plainTextFormattedCitation":"(41)","previouslyFormattedCitation":"(41)"},"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(41)</w:t>
            </w:r>
            <w:r w:rsidRPr="00A97EA2">
              <w:rPr>
                <w:rFonts w:ascii="Calibri" w:hAnsi="Calibri" w:cs="Calibri"/>
                <w:sz w:val="20"/>
                <w:szCs w:val="20"/>
                <w:lang w:val="en-US"/>
              </w:rPr>
              <w:fldChar w:fldCharType="end"/>
            </w:r>
          </w:p>
        </w:tc>
      </w:tr>
      <w:tr w:rsidR="00AD5A62" w:rsidRPr="00A97EA2" w14:paraId="564CE573" w14:textId="77777777" w:rsidTr="00405626">
        <w:tc>
          <w:tcPr>
            <w:tcW w:w="2127" w:type="dxa"/>
          </w:tcPr>
          <w:p w14:paraId="6EDE0F7E"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paliperidone</w:t>
            </w:r>
          </w:p>
        </w:tc>
        <w:tc>
          <w:tcPr>
            <w:tcW w:w="1559" w:type="dxa"/>
            <w:vAlign w:val="bottom"/>
          </w:tcPr>
          <w:p w14:paraId="604EE47E" w14:textId="49C1BA2A"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0.26</w:t>
            </w:r>
          </w:p>
        </w:tc>
        <w:tc>
          <w:tcPr>
            <w:tcW w:w="1417" w:type="dxa"/>
          </w:tcPr>
          <w:p w14:paraId="4DA0A604"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0.5</w:t>
            </w:r>
          </w:p>
        </w:tc>
        <w:tc>
          <w:tcPr>
            <w:tcW w:w="3884" w:type="dxa"/>
          </w:tcPr>
          <w:p w14:paraId="270DC50A" w14:textId="461EBBFA"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{"citationItems":[{"id":"ITEM-1","itemData":{"DOI":"10.1007/s10928-021-09768-7","ISBN":"0123456789","ISSN":"15738744","PMID":"34142308","abstract":"Predicting brain pharmacokinetics is critical for central nervous system (CNS) drug development yet difficult due to ethical restrictions of human brain sampling. CNS pharmacokinetic (PK) profiles are often altered in CNS diseases due to disease-specific pathophysiology. We previously published a comprehensive CNS physiologically-based PK (PBPK) model that predicted the PK profiles of small drugs at brain and cerebrospinal fluid compartments. Here, we improved this model with brain non-specific binding and pH effect on drug ionization and passive transport. We refer to this improved model as Leiden CNS PBPK predictor V3.0 (LeiCNS-PK3.0). LeiCNS-PK3.0 predicted the unbound drug concentrations of brain ECF and CSF compartments in rats and humans with less than two-fold error. We then applied LeiCNS-PK3.0 to study the effect of altered cerebrospinal fluid (CSF) dynamics, CSF volume and flow, on brain extracellular fluid (ECF) pharmacokinetics. The effect of altered CSF dynamics was simulated using LeiCNS-PK3.0 for six drugs and the resulting drug exposure at brain ECF and lumbar CSF were compared. Simulation results showed that altered CSF dynamics changed the CSF PK profiles, but not the brain ECF profiles, irrespective of the drug’s physicochemical properties. Our analysis supports the notion that lumbar CSF drug concentration is not an accurate surrogate of brain ECF, particularly in CNS diseases. Systems approaches account for multiple levels of CNS complexity and are better suited to predict brain PK.","author":[{"dropping-particle":"","family":"Saleh","given":"Mohammed A.A.","non-dropping-particle":"","parse-names":false,"suffix":""},{"dropping-particle":"","family":"Loo","given":"Chi Fong","non-dropping-particle":"","parse-names":false,"suffix":""},{"dropping-particle":"","family":"Elassaiss-Schaap","given":"Jeroen","non-dropping-particle":"","parse-names":false,"suffix":""},{"dropping-particle":"","family":"Lange","given":"Elizabeth C.M.","non-dropping-particle":"De","parse-names":false,"suffix":""}],"container-title":"Journal of Pharmacokinetics and Pharmacodynamics","id":"ITEM-1","issue":"5","issued":{"date-parts":[["2021"]]},"page":"725-741","publisher":"Springer US","title":"Lumbar cerebrospinal fluid-to-brain extracellular fluid surrogacy is context-specific: insights from LeiCNS-PK3.0 simulations","type":"article-journal","volume":"48"},"uris":["http://www.mendeley.com/documents/?uuid=5af6a788-075e-4c39-a82e-e14d4cdccf28"]}],"mendeley":{"formattedCitation":"(29)","plainTextFormattedCitation":"(29)","previouslyFormattedCitation":"(29)"},"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(29)</w:t>
            </w:r>
            <w:r w:rsidRPr="00A97EA2">
              <w:rPr>
                <w:rFonts w:ascii="Calibri" w:hAnsi="Calibri" w:cs="Calibri"/>
                <w:sz w:val="20"/>
                <w:szCs w:val="20"/>
                <w:lang w:val="en-US"/>
              </w:rPr>
              <w:fldChar w:fldCharType="end"/>
            </w:r>
          </w:p>
        </w:tc>
      </w:tr>
      <w:tr w:rsidR="00AD5A62" w:rsidRPr="005001B1" w14:paraId="1E46F3B7" w14:textId="77777777" w:rsidTr="00405626">
        <w:tc>
          <w:tcPr>
            <w:tcW w:w="2127" w:type="dxa"/>
          </w:tcPr>
          <w:p w14:paraId="5F0B5E4B"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paroxetine</w:t>
            </w:r>
          </w:p>
        </w:tc>
        <w:tc>
          <w:tcPr>
            <w:tcW w:w="1559" w:type="dxa"/>
            <w:vAlign w:val="bottom"/>
          </w:tcPr>
          <w:p w14:paraId="2D9E5A61" w14:textId="2175A9C8"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0.87</w:t>
            </w:r>
          </w:p>
        </w:tc>
        <w:tc>
          <w:tcPr>
            <w:tcW w:w="1417" w:type="dxa"/>
          </w:tcPr>
          <w:p w14:paraId="2EFE0CC3"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1.29</w:t>
            </w:r>
          </w:p>
        </w:tc>
        <w:tc>
          <w:tcPr>
            <w:tcW w:w="3884" w:type="dxa"/>
          </w:tcPr>
          <w:p w14:paraId="633C604A" w14:textId="78A77B5B"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{"citationItems":[{"id":"ITEM-1","itemData":{"DOI":"10.1016/J.NEUROPHARM.2013.04.027","ISSN":"1873-7064","PMID":"23639435","abstract":"Inhibition of central α4b2 nAChRs by antidepressants, proposed to contribute to their clinical efficacy, was assessed for monoamine reuptake inhibitors (amitriptyline, nortriptyline, fluoxetine, sertraline, paroxetine, citalopram) by comparing projected human unbound brain drug concentrations (Cu,b) at therapeutic doses with concentrations that inhibit human α4b2 nAChRs in vitro. Inhibitory concentrations (IC50) were determined by patch clamp and ranged from 0.8e3.2 mM, except for nortriptyline (IC50 = 100 nM). Cu,b values were calculated from human unbound plasma drug concentrations (Cu,p) and rat-derived brain-to-plasma and extracellular fluid-to-plasma ratios for the unbound drug, which are near unity, due to much higher brain tissue binding than plasma protein binding of these drugs. Accordingly in humans, antidepressant Cu,b are projected to essentially equal Cu,p, with average values from 3e87 nM, which are 30-to-250-fold below their IC50 concentrations. Based on our model, monoaminergic antidepressants minimally inhibit central nAChRs and it is unlikely that α4b2 nAChR antagonism contributes to their antidepressant activity. Nortriptyline is an exception with a Cu,b that is 2-fold below its IC50, which is comparable to the nAChR antagonist (-)-mecamylamine, for which Cu,b is 4-fold below its IC50; both drugs will inhibit a substantial fraction of α4b2 nAChRs. The Cu,b of the α4b2 nAChR partial agonist varenicline, which has antidepressant-like activity in a murine model, is higher than its IC50 and varenicline is projected to cause w70% inhibition of α4b2 nAChRs. Taken together these data may help explain the negative outcome of recent antidepressant augmentation trials with mecamylamine and the partial agonist CP-601927. © 2013 Elsevier Ltd. All rights reserved.","author":[{"dropping-particle":"","family":"Weber","given":"Mark L.","non-dropping-particle":"","parse-names":false,"suffix":""},{"dropping-particle":"","family":"Hofland","given":"Corry M.","non-dropping-particle":"","parse-names":false,"suffix":""},{"dropping-particle":"","family":"Shaffer","given":"Christopher L.","non-dropping-particle":"","parse-names":false,"suffix":""},{"dropping-particle":"","family":"Flik","given":"Gunnar","non-dropping-particle":"","parse-names":false,"suffix":""},{"dropping-particle":"","family":"Cremers","given":"Thomas","non-dropping-particle":"","parse-names":false,"suffix":""},{"dropping-particle":"","family":"Hurst","given":"Raymond S.","non-dropping-particle":"","parse-names":false,"suffix":""},{"dropping-particle":"","family":"Rollema","given":"Hans","non-dropping-particle":"","parse-names":false,"suffix":""}],"container-title":"Neuropharmacology","id":"ITEM-1","issued":{"date-parts":[["2013"]]},"page":"88-95","publisher":"Neuropharmacology","title":"Therapeutic doses of antidepressants are projected not to inhibit human α4β2 nicotinic acetylcholine receptors","type":"article-journal","volume":"72"},"uris":["http://www.mendeley.com/documents/?uuid=586a4e57-8c43-470d-b44e-405e01cf553f"]}],"mendeley":{"formattedCitation":"(16)","plainTextFormattedCitation":"(16)","previouslyFormattedCitation":"(16)"},"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(16)</w:t>
            </w:r>
            <w:r w:rsidRPr="00A97EA2">
              <w:rPr>
                <w:rFonts w:ascii="Calibri" w:hAnsi="Calibri" w:cs="Calibri"/>
                <w:sz w:val="20"/>
                <w:szCs w:val="20"/>
                <w:lang w:val="en-US"/>
              </w:rPr>
              <w:fldChar w:fldCharType="end"/>
            </w:r>
          </w:p>
        </w:tc>
      </w:tr>
      <w:tr w:rsidR="00AD5A62" w:rsidRPr="005001B1" w14:paraId="0D510230" w14:textId="77777777" w:rsidTr="00405626">
        <w:tc>
          <w:tcPr>
            <w:tcW w:w="2127" w:type="dxa"/>
          </w:tcPr>
          <w:p w14:paraId="23007E7C"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pefloxacin</w:t>
            </w:r>
          </w:p>
        </w:tc>
        <w:tc>
          <w:tcPr>
            <w:tcW w:w="1559" w:type="dxa"/>
            <w:vAlign w:val="bottom"/>
          </w:tcPr>
          <w:p w14:paraId="795125E7" w14:textId="36D12BE7"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0.13</w:t>
            </w:r>
          </w:p>
        </w:tc>
        <w:tc>
          <w:tcPr>
            <w:tcW w:w="1417" w:type="dxa"/>
          </w:tcPr>
          <w:p w14:paraId="3928060E"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0.147</w:t>
            </w:r>
          </w:p>
        </w:tc>
        <w:tc>
          <w:tcPr>
            <w:tcW w:w="3884" w:type="dxa"/>
          </w:tcPr>
          <w:p w14:paraId="4F7D19BB" w14:textId="6FDE98C5"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{"citationItems":[{"id":"ITEM-1","itemData":{"author":[{"dropping-particle":"","family":"Ooie","given":"T","non-dropping-particle":"","parse-names":false,"suffix":""},{"dropping-particle":"","family":"Terasaki T, Suzuki H","given":"Sugiyama Y","non-dropping-particle":"","parse-names":false,"suffix":""}],"container-title":"Drug Metabolism and Disposition","id":"ITEM-1","issue":"7","issued":{"date-parts":[["1997"]]},"page":"784-789","title":"Quantitative brain microdialysis study on the mechanism of quinolones distribution in the central nervous system","type":"article-journal","volume":"25"},"uris":["http://www.mendeley.com/documents/?uuid=951dff67-a4f0-4189-aba8-ce4871b3b50f"]}],"mendeley":{"formattedCitation":"(39)","plainTextFormattedCitation":"(39)","previouslyFormattedCitation":"(39)"},"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(39)</w:t>
            </w:r>
            <w:r w:rsidRPr="00A97EA2">
              <w:rPr>
                <w:rFonts w:ascii="Calibri" w:hAnsi="Calibri" w:cs="Calibri"/>
                <w:sz w:val="20"/>
                <w:szCs w:val="20"/>
                <w:lang w:val="en-US"/>
              </w:rPr>
              <w:fldChar w:fldCharType="end"/>
            </w:r>
          </w:p>
        </w:tc>
      </w:tr>
      <w:tr w:rsidR="00AD5A62" w:rsidRPr="00A97EA2" w14:paraId="41FC2B3B" w14:textId="77777777" w:rsidTr="00405626">
        <w:tc>
          <w:tcPr>
            <w:tcW w:w="2127" w:type="dxa"/>
          </w:tcPr>
          <w:p w14:paraId="77CDAA73"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pemetrexed</w:t>
            </w:r>
          </w:p>
        </w:tc>
        <w:tc>
          <w:tcPr>
            <w:tcW w:w="1559" w:type="dxa"/>
            <w:vAlign w:val="bottom"/>
          </w:tcPr>
          <w:p w14:paraId="2D8AC7C4" w14:textId="658503D2"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0.03</w:t>
            </w:r>
          </w:p>
        </w:tc>
        <w:tc>
          <w:tcPr>
            <w:tcW w:w="1417" w:type="dxa"/>
          </w:tcPr>
          <w:p w14:paraId="401E6566"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0.012</w:t>
            </w:r>
          </w:p>
        </w:tc>
        <w:tc>
          <w:tcPr>
            <w:tcW w:w="3884" w:type="dxa"/>
          </w:tcPr>
          <w:p w14:paraId="6924C08F" w14:textId="72423409"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{"citationItems":[{"id":"ITEM-1","itemData":{"DOI":"10.1002/PRP2.575","ISSN":"2052-1707","PMID":"32266794","abstract":"In clinical pharmacology, the free drug hypothesis has been widely applied in the interpretation of the relationship between pharmacokinetics and pharmacodynamics (PK/PD). The free drug hypothesis assumes that the unbound drug concentration in blood is the same as that in the site of action at steady state. The objective of this study is to demonstrate whether the free drug hypothesis is universally applicable for all drugs. The unbound concentrations of the 18 compounds in blood and in brain interstitial fluids (ISF) at steady state following constant intravenous infusion were simultaneously monitored up to 6 hours via in vivo microdialysis technique. Based on the permeability and efflux ratio (ER), the test compounds can be divided into two classes. Class I includes the compounds with good membrane permeability that are not substrates of efflux transporters (eg, P-gp, BCRP, and MRPs), whereas Class II includes the compounds that are substrates of efflux transporters. The steady-state unbound drug concentrations in blood, brain, and CSF are quantitatively very similar for Class I compounds, whereas the steady-state unbound concentrations in the brain and CSF are significantly lower than those in blood for Class II compounds. These results strongly suggest that the free drug hypothesis is not universal for all drugs but is only applicable for drugs with good permeability that are not substrates of efflux transporters.","author":[{"dropping-particle":"","family":"Chen","given":"Chun","non-dropping-particle":"","parse-names":false,"suffix":""},{"dropping-particle":"","family":"Zhou","given":"Hongyu","non-dropping-particle":"","parse-names":false,"suffix":""},{"dropping-particle":"","family":"Guan","given":"Chi","non-dropping-particle":"","parse-names":false,"suffix":""},{"dropping-particle":"","family":"Zhang","given":"Huanhuan","non-dropping-particle":"","parse-names":false,"suffix":""},{"dropping-particle":"","family":"Li","given":"Yingying","non-dropping-particle":"","parse-names":false,"suffix":""},{"dropping-particle":"","family":"Jiang","given":"Xue","non-dropping-particle":"","parse-names":false,"suffix":""},{"dropping-particle":"","family":"Dong","given":"Zheng","non-dropping-particle":"","parse-names":false,"suffix":""},{"dropping-particle":"","family":"Tao","given":"Yuanyuan","non-dropping-particle":"","parse-names":false,"suffix":""},{"dropping-particle":"","family":"Du","given":"Juan","non-dropping-particle":"","parse-names":false,"suffix":""},{"dropping-particle":"","family":"Wang","given":"Shuyao","non-dropping-particle":"","parse-names":false,"suffix":""},{"dropping-particle":"","family":"Zhang","given":"Teng","non-dropping-particle":"","parse-names":false,"suffix":""},{"dropping-particle":"","family":"Du","given":"Na","non-dropping-particle":"","parse-names":false,"suffix":""},{"dropping-particle":"","family":"Guo","given":"Junyang","non-dropping-particle":"","parse-names":false,"suffix":""},{"dropping-particle":"","family":"Wu","given":"Yaqiong","non-dropping-particle":"","parse-names":false,"suffix":""},{"dropping-particle":"","family":"Song","given":"Zehai","non-dropping-particle":"","parse-names":false,"suffix":""},{"dropping-particle":"","family":"Luan","given":"Haofei","non-dropping-particle":"","parse-names":false,"suffix":""},{"dropping-particle":"","family":"Wang","given":"Yu","non-dropping-particle":"","parse-names":false,"suffix":""},{"dropping-particle":"","family":"Du","given":"Hongwen","non-dropping-particle":"","parse-names":false,"suffix":""},{"dropping-particle":"","family":"Zhang","given":"Shaofeng","non-dropping-particle":"","parse-names":false,"suffix":""},{"dropping-particle":"","family":"Li","given":"Chen","non-dropping-particle":"","parse-names":false,"suffix":""},{"dropping-particle":"","family":"Chang","given":"Hang","non-dropping-particle":"","parse-names":false,"suffix":""},{"dropping-particle":"","family":"Wang","given":"Tao","non-dropping-particle":"","parse-names":false,"suffix":""}],"container-title":"Pharmacology research &amp; perspectives","id":"ITEM-1","issue":"2","issued":{"date-parts":[["2020","4"]]},"publisher":"Pharmacol Res Perspect","title":"Applicability of free drug hypothesis to drugs with good membrane permeability that are not efflux transporter substrates: A microdialysis study in rats","type":"article-journal","volume":"8"},"uris":["http://www.mendeley.com/documents/?uuid=bd46f417-bc9d-4ffa-86a4-dec45f711fe9"]}],"mendeley":{"formattedCitation":"(7)","plainTextFormattedCitation":"(7)","previouslyFormattedCitation":"(7)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(7)</w:t>
            </w:r>
            <w:r w:rsidRPr="00A97EA2">
              <w:rPr>
                <w:rFonts w:ascii="Calibri" w:hAnsi="Calibri" w:cs="Calibri"/>
                <w:sz w:val="20"/>
                <w:szCs w:val="20"/>
                <w:lang w:val="en-US"/>
              </w:rPr>
              <w:fldChar w:fldCharType="end"/>
            </w:r>
          </w:p>
        </w:tc>
      </w:tr>
      <w:tr w:rsidR="00AD5A62" w:rsidRPr="00A97EA2" w14:paraId="0F7E078C" w14:textId="77777777" w:rsidTr="00405626">
        <w:tc>
          <w:tcPr>
            <w:tcW w:w="2127" w:type="dxa"/>
          </w:tcPr>
          <w:p w14:paraId="021344E3"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phenytoin</w:t>
            </w:r>
          </w:p>
        </w:tc>
        <w:tc>
          <w:tcPr>
            <w:tcW w:w="1559" w:type="dxa"/>
            <w:vAlign w:val="bottom"/>
          </w:tcPr>
          <w:p w14:paraId="01AD6276" w14:textId="7E5CC048"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0.21</w:t>
            </w:r>
          </w:p>
        </w:tc>
        <w:tc>
          <w:tcPr>
            <w:tcW w:w="1417" w:type="dxa"/>
          </w:tcPr>
          <w:p w14:paraId="73A6F526"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0.26</w:t>
            </w:r>
          </w:p>
        </w:tc>
        <w:tc>
          <w:tcPr>
            <w:tcW w:w="3884" w:type="dxa"/>
          </w:tcPr>
          <w:p w14:paraId="67179A0E" w14:textId="02A58613"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{"citationItems":[{"id":"ITEM-1","itemData":{"DOI":"10.1007/s10928-021-09768-7","ISBN":"0123456789","ISSN":"15738744","PMID":"34142308","abstract":"Predicting brain pharmacokinetics is critical for central nervous system (CNS) drug development yet difficult due to ethical restrictions of human brain sampling. CNS pharmacokinetic (PK) profiles are often altered in CNS diseases due to disease-specific pathophysiology. We previously published a comprehensive CNS physiologically-based PK (PBPK) model that predicted the PK profiles of small drugs at brain and cerebrospinal fluid compartments. Here, we improved this model with brain non-specific binding and pH effect on drug ionization and passive transport. We refer to this improved model as Leiden CNS PBPK predictor V3.0 (LeiCNS-PK3.0). LeiCNS-PK3.0 predicted the unbound drug concentrations of brain ECF and CSF compartments in rats and humans with less than two-fold error. We then applied LeiCNS-PK3.0 to study the effect of altered cerebrospinal fluid (CSF) dynamics, CSF volume and flow, on brain extracellular fluid (ECF) pharmacokinetics. The effect of altered CSF dynamics was simulated using LeiCNS-PK3.0 for six drugs and the resulting drug exposure at brain ECF and lumbar CSF were compared. Simulation results showed that altered CSF dynamics changed the CSF PK profiles, but not the brain ECF profiles, irrespective of the drug’s physicochemical properties. Our analysis supports the notion that lumbar CSF drug concentration is not an accurate surrogate of brain ECF, particularly in CNS diseases. Systems approaches account for multiple levels of CNS complexity and are better suited to predict brain PK.","author":[{"dropping-particle":"","family":"Saleh","given":"Mohammed A.A.","non-dropping-particle":"","parse-names":false,"suffix":""},{"dropping-particle":"","family":"Loo","given":"Chi Fong","non-dropping-particle":"","parse-names":false,"suffix":""},{"dropping-particle":"","family":"Elassaiss-Schaap","given":"Jeroen","non-dropping-particle":"","parse-names":false,"suffix":""},{"dropping-particle":"","family":"Lange","given":"Elizabeth C.M.","non-dropping-particle":"De","parse-names":false,"suffix":""}],"container-title":"Journal of Pharmacokinetics and Pharmacodynamics","id":"ITEM-1","issue":"5","issued":{"date-parts":[["2021"]]},"page":"725-741","publisher":"Springer US","title":"Lumbar cerebrospinal fluid-to-brain extracellular fluid surrogacy is context-specific: insights from LeiCNS-PK3.0 simulations","type":"article-journal","volume":"48"},"uris":["http://www.mendeley.com/documents/?uuid=5af6a788-075e-4c39-a82e-e14d4cdccf28"]}],"mendeley":{"formattedCitation":"(29)","plainTextFormattedCitation":"(29)","previouslyFormattedCitation":"(29)"},"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(29)</w:t>
            </w:r>
            <w:r w:rsidRPr="00A97EA2">
              <w:rPr>
                <w:rFonts w:ascii="Calibri" w:hAnsi="Calibri" w:cs="Calibri"/>
                <w:sz w:val="20"/>
                <w:szCs w:val="20"/>
                <w:lang w:val="en-US"/>
              </w:rPr>
              <w:fldChar w:fldCharType="end"/>
            </w:r>
          </w:p>
        </w:tc>
      </w:tr>
      <w:tr w:rsidR="00AD5A62" w:rsidRPr="00A97EA2" w14:paraId="66FF0AF3" w14:textId="77777777" w:rsidTr="00405626">
        <w:tc>
          <w:tcPr>
            <w:tcW w:w="2127" w:type="dxa"/>
          </w:tcPr>
          <w:p w14:paraId="70F42E05"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pindolol</w:t>
            </w:r>
          </w:p>
        </w:tc>
        <w:tc>
          <w:tcPr>
            <w:tcW w:w="1559" w:type="dxa"/>
            <w:vAlign w:val="bottom"/>
          </w:tcPr>
          <w:p w14:paraId="3D8B99FC" w14:textId="2E151C51"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0.33</w:t>
            </w:r>
          </w:p>
        </w:tc>
        <w:tc>
          <w:tcPr>
            <w:tcW w:w="1417" w:type="dxa"/>
          </w:tcPr>
          <w:p w14:paraId="2F9F1B89"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0.34</w:t>
            </w:r>
          </w:p>
        </w:tc>
        <w:tc>
          <w:tcPr>
            <w:tcW w:w="3884" w:type="dxa"/>
          </w:tcPr>
          <w:p w14:paraId="05F01916" w14:textId="3492C075"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{"citationItems":[{"id":"ITEM-1","itemData":{"DOI":"10.1016/J.IJPHARM.2010.09.016","ISSN":"1873-3476","PMID":"20920560","abstract":"Although several in vitro models have been reported to predict the ability of drug candidates to cross the blood-brain barrier, their real in vivo relevance has rarely been evaluated. The present study demonstrates the in vivo relevance of simple unidirectional permeability coefficient (Papp) determined in three in vitro cell models (BBMEC, Caco-2 and MDCKII-MDR1) for nine model drugs (alprenolol, atenolol, metoprolol, pindolol, entacapone, tolcapone, baclofen, midazolam and ondansetron) by using dual probe microdialysis in the rat brain and blood as an in vivo measure. There was a clear correlation between the Papp and the unbound brain/blood ratios determined by in vivo microdialysis (BBMEC r=0.99, Caco-2 r=0.91 and MDCKII-MDR1 r=0.85). Despite of the substantial differences in the absolute in vitro Papp values and regardless of the method used (side-by-side vs. filter insert system), the capability of the in vitro models to rank order drugs was similar. By this approach, thus, the additional value offered by the true endothelial cell model (BBMEC) remains obscure. The present results also highlight the need of both in vitro as well as in vivo methods in characterization of blood-brain barrier passage of new drug candidates. © 2010 Elsevier B.V.","author":[{"dropping-particle":"","family":"Hakkarainen","given":"Jenni J.","non-dropping-particle":"","parse-names":false,"suffix":""},{"dropping-particle":"","family":"Jalkanen","given":"Aaro J.","non-dropping-particle":"","parse-names":false,"suffix":""},{"dropping-particle":"","family":"Kääriäinen","given":"Tiina M.","non-dropping-particle":"","parse-names":false,"suffix":""},{"dropping-particle":"","family":"Keski-Rahkonen","given":"Pekka","non-dropping-particle":"","parse-names":false,"suffix":""},{"dropping-particle":"","family":"Venäläinen","given":"Tetta","non-dropping-particle":"","parse-names":false,"suffix":""},{"dropping-particle":"","family":"Hokkanen","given":"Juho","non-dropping-particle":"","parse-names":false,"suffix":""},{"dropping-particle":"","family":"Mönkkönen","given":"Jukka","non-dropping-particle":"","parse-names":false,"suffix":""},{"dropping-particle":"","family":"Suhonen","given":"Marjukka","non-dropping-particle":"","parse-names":false,"suffix":""},{"dropping-particle":"","family":"Forsberg","given":"Markus M.","non-dropping-particle":"","parse-names":false,"suffix":""}],"container-title":"International journal of pharmaceutics","id":"ITEM-1","issue":"1-2","issued":{"date-parts":[["2010","12"]]},"page":"27-36","publisher":"Int J Pharm","title":"Comparison of in vitro cell models in predicting in vivo brain entry of drugs","type":"article-journal","volume":"402"},"uris":["http://www.mendeley.com/documents/?uuid=868a41a3-2bbd-4732-ad2c-2054108ce6c9"]}],"mendeley":{"formattedCitation":"(4)","plainTextFormattedCitation":"(4)","previouslyFormattedCitation":"(4)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w:t>
            </w:r>
            <w:r w:rsidRPr="00A97EA2">
              <w:rPr>
                <w:rFonts w:ascii="Calibri" w:hAnsi="Calibri" w:cs="Calibri"/>
                <w:sz w:val="20"/>
                <w:szCs w:val="20"/>
                <w:lang w:val="en-US"/>
              </w:rPr>
              <w:fldChar w:fldCharType="end"/>
            </w:r>
          </w:p>
        </w:tc>
      </w:tr>
      <w:tr w:rsidR="00AD5A62" w:rsidRPr="00A97EA2" w14:paraId="1CB37E1D" w14:textId="77777777" w:rsidTr="00405626">
        <w:tc>
          <w:tcPr>
            <w:tcW w:w="2127" w:type="dxa"/>
          </w:tcPr>
          <w:p w14:paraId="615401B0"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pregabalin</w:t>
            </w:r>
          </w:p>
        </w:tc>
        <w:tc>
          <w:tcPr>
            <w:tcW w:w="1559" w:type="dxa"/>
            <w:vAlign w:val="bottom"/>
          </w:tcPr>
          <w:p w14:paraId="7D329830" w14:textId="458C687D"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0.10</w:t>
            </w:r>
          </w:p>
        </w:tc>
        <w:tc>
          <w:tcPr>
            <w:tcW w:w="1417" w:type="dxa"/>
          </w:tcPr>
          <w:p w14:paraId="190574E2"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0.1</w:t>
            </w:r>
          </w:p>
        </w:tc>
        <w:tc>
          <w:tcPr>
            <w:tcW w:w="3884" w:type="dxa"/>
          </w:tcPr>
          <w:p w14:paraId="0161B6EE" w14:textId="247503ED"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{"citationItems":[{"id":"ITEM-1","itemData":{"DOI":"10.1007/BF03190385","ISSN":"03787966","PMID":"11554426","abstract":"Pregabalin [PGB, (S)-3-isobutyl GABA, CI-1008] is a derivative of the inhibitory neurotransmitter g-aminobutyric acid (GABA). It has shown anticonvulsant, analgesia and anxiety activity in animal models. In this report, blood-brain barrier (BBB) influx and efflux of PGB were investigated with microdialysis at efficacious doses in rats. BBB influx (CLin) and efflux (CLout) permeability for pregabalin were 4.8 and 37.2 μL/min/g brain, respectively, following an intravenous infusion to rats. The results indicate that PGB is brain penetrable, supporting its anti-epilepsy and other CNS pharmacology. Significant anticonvulsant action of PGB was detected between 2 and 8 hr post oral dose, which is lag behind ECF drug concentrations lees. A PK/PD link model was used to describe the counter-clockwise hysteresis relationship between pregabalin brain ECF concentration and the anticonvulsant effect in rats. The resulting Ce (concentration in effect compartment) versus effect profile exhibits a sigmoidal curve and the calculated ECe50 and Keo values were 95.3 ng/mL and 0.0092 min-1, respectively. The small Keo value suggests that the effect is not directly proportional to the amount of pregabalin in the ECF compartment possibly due to inherent delay.","author":[{"dropping-particle":"","family":"Feng","given":"M. R.","non-dropping-particle":"","parse-names":false,"suffix":""},{"dropping-particle":"","family":"Turluck","given":"D.","non-dropping-particle":"","parse-names":false,"suffix":""},{"dropping-particle":"","family":"Burleigh","given":"J.","non-dropping-particle":"","parse-names":false,"suffix":""},{"dropping-particle":"","family":"Lister","given":"R.","non-dropping-particle":"","parse-names":false,"suffix":""},{"dropping-particle":"","family":"Fan","given":"C.","non-dropping-particle":"","parse-names":false,"suffix":""},{"dropping-particle":"","family":"Middlebrook","given":"A.","non-dropping-particle":"","parse-names":false,"suffix":""},{"dropping-particle":"","family":"Taylor","given":"C.","non-dropping-particle":"","parse-names":false,"suffix":""},{"dropping-particle":"","family":"Su","given":"T.","non-dropping-particle":"","parse-names":false,"suffix":""}],"container-title":"European Journal of Drug Metabolism and Pharmacokinetics","id":"ITEM-1","issue":"1-2","issued":{"date-parts":[["2001"]]},"page":"123-128","title":"Brain microdialysis and PK/PD correlation of pregabalin in rats","type":"article-journal","volume":"26"},"uris":["http://www.mendeley.com/documents/?uuid=db4315f0-65e3-4927-91ad-831de88b67c7"]}],"mendeley":{"formattedCitation":"(42)","plainTextFormattedCitation":"(42)","previouslyFormattedCitation":"(42)"},"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(42)</w:t>
            </w:r>
            <w:r w:rsidRPr="00A97EA2">
              <w:rPr>
                <w:rFonts w:ascii="Calibri" w:hAnsi="Calibri" w:cs="Calibri"/>
                <w:sz w:val="20"/>
                <w:szCs w:val="20"/>
                <w:lang w:val="en-US"/>
              </w:rPr>
              <w:fldChar w:fldCharType="end"/>
            </w:r>
          </w:p>
        </w:tc>
      </w:tr>
      <w:tr w:rsidR="00AD5A62" w:rsidRPr="00A97EA2" w14:paraId="5C869A5E" w14:textId="77777777" w:rsidTr="00405626">
        <w:tc>
          <w:tcPr>
            <w:tcW w:w="2127" w:type="dxa"/>
          </w:tcPr>
          <w:p w14:paraId="2CF9D41D"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probenecid</w:t>
            </w:r>
          </w:p>
        </w:tc>
        <w:tc>
          <w:tcPr>
            <w:tcW w:w="1559" w:type="dxa"/>
            <w:vAlign w:val="bottom"/>
          </w:tcPr>
          <w:p w14:paraId="66B07950" w14:textId="0AE3F0BB"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0.04</w:t>
            </w:r>
          </w:p>
        </w:tc>
        <w:tc>
          <w:tcPr>
            <w:tcW w:w="1417" w:type="dxa"/>
          </w:tcPr>
          <w:p w14:paraId="1B2AF18E"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0.02</w:t>
            </w:r>
          </w:p>
        </w:tc>
        <w:tc>
          <w:tcPr>
            <w:tcW w:w="3884" w:type="dxa"/>
          </w:tcPr>
          <w:p w14:paraId="59819D91" w14:textId="0D3D0775"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{"citationItems":[{"id":"ITEM-1","itemData":{"ISSN":"00223565","PMID":"9023263","abstract":"This study was performed to evaluate quantitatively the brain distribution and the efflux transport across the blood-brain barrier of probenecid, using in vivo microdialysis and in situ brain perfusion techniques. The brain interstitial fluid (ISF)-to-plasma cerebrospinal fluid (CSF)-to-plasma and brain tissue-to-plasma unbound concentration ratios of probenecid at steady state were less than unity, which suggests restricted distribution in the brain. An uphill concentration gradient from ISF to plasma and a downhill concentration gradient from CSF to ISF were observed. Kinetic analysis revealed that the efflux clearance from brain ISF to plasma (0.0373 ml/min/g brain) was significantly greater than the influx clearance from plasma to brain (0.00733 ml/min/g brain). The ratio of the ISF concentration (C(isf)) to the plasma unbound concentration (C(p,f)) of probenecid was increased 2- to 3-fold by salicylate (3.7 mM) and benzoate (3.6 mM), which are accepted as substrates of the monocarboxylic acid transport system, compared with the same ratio for the control. In addition, the ratio C(isf)/C(p,f) was increased by treatment with N-ethylmaleimide, a sulfhydryl-modifying agent, whereas p-aminohippuric acid and choline did not produce increasing effects on C(isf)/C(p,f). These data suggest that the restricted distribution of probenecid in the brain may be ascribed to efficient efflux from the brain ISF, which may be regulated by the monocarboxylic acid transport system at a relatively high ISF concentration.","author":[{"dropping-particle":"","family":"Deguchi","given":"Yoshiharu","non-dropping-particle":"","parse-names":false,"suffix":""},{"dropping-particle":"","family":"Nozawa","given":"Kenji","non-dropping-particle":"","parse-names":false,"suffix":""},{"dropping-particle":"","family":"Yamada","given":"Shizuo","non-dropping-particle":"","parse-names":false,"suffix":""},{"dropping-particle":"","family":"Yokoyama","given":"Yoshinari","non-dropping-particle":"","parse-names":false,"suffix":""},{"dropping-particle":"","family":"Kimura","given":"Ryohei","non-dropping-particle":"","parse-names":false,"suffix":""}],"container-title":"Journal of Pharmacology and Experimental Therapeutics","id":"ITEM-1","issue":"2","issued":{"date-parts":[["1997"]]},"page":"551-560","title":"Quantitative evaluation of brain distribution and blood-brain barrier efflux transport of probenecid in rats by microdialysis: Possible involvement of the monocarboxylic acid transport system","type":"article-journal","volume":"280"},"uris":["http://www.mendeley.com/documents/?uuid=069b92d0-cd88-4e02-8fa1-9d49564cf5e4"]}],"mendeley":{"formattedCitation":"(43)","plainTextFormattedCitation":"(43)","previouslyFormattedCitation":"(43)"},"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(43)</w:t>
            </w:r>
            <w:r w:rsidRPr="00A97EA2">
              <w:rPr>
                <w:rFonts w:ascii="Calibri" w:hAnsi="Calibri" w:cs="Calibri"/>
                <w:sz w:val="20"/>
                <w:szCs w:val="20"/>
                <w:lang w:val="en-US"/>
              </w:rPr>
              <w:fldChar w:fldCharType="end"/>
            </w:r>
          </w:p>
        </w:tc>
      </w:tr>
      <w:tr w:rsidR="00AD5A62" w:rsidRPr="00A97EA2" w14:paraId="42126E9E" w14:textId="77777777" w:rsidTr="00405626">
        <w:tc>
          <w:tcPr>
            <w:tcW w:w="2127" w:type="dxa"/>
          </w:tcPr>
          <w:p w14:paraId="11047678"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quinidine</w:t>
            </w:r>
          </w:p>
        </w:tc>
        <w:tc>
          <w:tcPr>
            <w:tcW w:w="1559" w:type="dxa"/>
            <w:vAlign w:val="bottom"/>
          </w:tcPr>
          <w:p w14:paraId="32FC122A" w14:textId="7E2BC26D"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0.29</w:t>
            </w:r>
          </w:p>
        </w:tc>
        <w:tc>
          <w:tcPr>
            <w:tcW w:w="1417" w:type="dxa"/>
          </w:tcPr>
          <w:p w14:paraId="0B5197B9"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0.173</w:t>
            </w:r>
          </w:p>
        </w:tc>
        <w:tc>
          <w:tcPr>
            <w:tcW w:w="3884" w:type="dxa"/>
          </w:tcPr>
          <w:p w14:paraId="54364C1A" w14:textId="3DC30A45"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{"citationItems":[{"id":"ITEM-1","itemData":{"DOI":"10.1124/dmd.118.080697","ISSN":"1521009X","PMID":"29700231","abstract":"Microdialysis is a powerful technique allowing for real-time measurement of unbound drug concentrations in brain interstitial fluid in conscious animals. Use of microdialysis in drug discovery is limited by high resource requirement and low throughput, but this may be improved by cassette dosing. Administering multiple compounds intravenously of diverse physiochemical properties, it is often very challenging and time consuming to identify a vehicle that can dissolve all of the compounds. To overcome this limitation, the present study explores the possibility of administering a cassette dose of nine diverse compounds (carbamazepine, citalopram, desmethylclozapine, diphenhydramine, gabapentin, metoclopramide, naltrexone, quinidine, and risperidone) in suspension, rather than in solution, by intraperitoneal and subcutaneous routes, and determining if this is a viable option for assessing blood-brain barrier penetration in microdialysis studies. Repeated hourly subcutaneous dosing during the 6-hour microdialysis study allowed for the best attainment of distributional equilibrium between brain and plasma, resulting in less than a 2-fold difference in the unbound brain to unbound plasma concentration ratio for the cassette dosing method versus discrete dosing. Both subcutaneous and intraperitoneal repeated dosing can provide amore practical substitute for intravenous dosing in determining brain penetration of a cassette of diverse compounds in brain microdialysis studies. The results from the present study demonstrate that dosing compounds in suspension represents a practical approach to eliminating the technical challenge and labor-intensive step of preparation of solutions of a mixture of compounds andwill enable the use of the cassette brain microdialysis method in a central nervous system drug discovery setting.","author":[{"dropping-particle":"","family":"Durk","given":"Matthew R.","non-dropping-particle":"","parse-names":false,"suffix":""},{"dropping-particle":"","family":"Deshmukh","given":"Gauri","non-dropping-particle":"","parse-names":false,"suffix":""},{"dropping-particle":"","family":"Valle","given":"Nicole","non-dropping-particle":"","parse-names":false,"suffix":""},{"dropping-particle":"","family":"Ding","given":"Xiao","non-dropping-particle":"","parse-names":false,"suffix":""},{"dropping-particle":"","family":"Liederer","given":"Bianca M.","non-dropping-particle":"","parse-names":false,"suffix":""},{"dropping-particle":"","family":"Liu","given":"Xingrong","non-dropping-particle":"","parse-names":false,"suffix":""}],"container-title":"Drug Metabolism and Disposition","id":"ITEM-1","issue":"7","issued":{"date-parts":[["2018"]]},"page":"964-969","title":"Use of subcutaneous and intraperitoneal administration methods to facilitate cassette dosing in microdialysis studies in rats","type":"article-journal","volume":"46"},"uris":["http://www.mendeley.com/documents/?uuid=ad8936d7-1154-4f85-9863-15bee8c264be"]}],"mendeley":{"formattedCitation":"(37)","plainTextFormattedCitation":"(37)","previouslyFormattedCitation":"(37)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(37)</w:t>
            </w:r>
            <w:r w:rsidRPr="00A97EA2">
              <w:rPr>
                <w:rFonts w:ascii="Calibri" w:hAnsi="Calibri" w:cs="Calibri"/>
                <w:sz w:val="20"/>
                <w:szCs w:val="20"/>
                <w:lang w:val="en-US"/>
              </w:rPr>
              <w:fldChar w:fldCharType="end"/>
            </w:r>
          </w:p>
        </w:tc>
      </w:tr>
      <w:tr w:rsidR="00AD5A62" w:rsidRPr="00A97EA2" w14:paraId="2C5D80E5" w14:textId="77777777" w:rsidTr="00405626">
        <w:tc>
          <w:tcPr>
            <w:tcW w:w="2127" w:type="dxa"/>
          </w:tcPr>
          <w:p w14:paraId="5FC881D9" w14:textId="77777777" w:rsidR="00AD5A62" w:rsidRPr="00A97EA2" w:rsidRDefault="00AD5A62" w:rsidP="00AD5A62">
            <w:pPr>
              <w:spacing w:line="276" w:lineRule="auto"/>
              <w:rPr>
                <w:rFonts w:ascii="Calibri" w:hAnsi="Calibri" w:cs="Calibri"/>
                <w:sz w:val="20"/>
                <w:szCs w:val="20"/>
                <w:lang w:val="en-US"/>
              </w:rPr>
            </w:pPr>
            <w:proofErr w:type="spellStart"/>
            <w:r w:rsidRPr="00A97EA2">
              <w:rPr>
                <w:rFonts w:ascii="Calibri" w:hAnsi="Calibri" w:cs="Calibri"/>
                <w:sz w:val="20"/>
                <w:szCs w:val="20"/>
                <w:lang w:val="en-US"/>
              </w:rPr>
              <w:t>remoxipride</w:t>
            </w:r>
            <w:proofErr w:type="spellEnd"/>
          </w:p>
        </w:tc>
        <w:tc>
          <w:tcPr>
            <w:tcW w:w="1559" w:type="dxa"/>
            <w:vAlign w:val="bottom"/>
          </w:tcPr>
          <w:p w14:paraId="361CAF29" w14:textId="403BFA02"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0.77</w:t>
            </w:r>
          </w:p>
        </w:tc>
        <w:tc>
          <w:tcPr>
            <w:tcW w:w="1417" w:type="dxa"/>
          </w:tcPr>
          <w:p w14:paraId="05787D95"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0.8</w:t>
            </w:r>
          </w:p>
        </w:tc>
        <w:tc>
          <w:tcPr>
            <w:tcW w:w="3884" w:type="dxa"/>
          </w:tcPr>
          <w:p w14:paraId="7A766DC1" w14:textId="59F38368"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{"citationItems":[{"id":"ITEM-1","itemData":{"DOI":"10.1002/psp4.12250","ISSN":"21638306","PMID":"28891201","abstract":"Drug development targeting the central nervous system (CNS) is challenging due to poor predictability of drug concentrations in various CNS compartments. We developed a generic physiologically based pharmacokinetic (PBPK) model for prediction of drug concentrations in physiologically relevant CNS compartments. System-specific and drug-specific model parameters were derived from literature and in silico predictions. The model was validated using detailed concentration-time profiles from 10 drugs in rat plasma, brain extracellular fluid, 2 cerebrospinal fluid sites, and total brain tissue. These drugs, all small molecules, were selected to cover a wide range of physicochemical properties. The concentration-time profiles for these drugs were adequately predicted across the CNS compartments (symmetric mean absolute percentage error for the model prediction was &lt;91%). In conclusion, the developed PBPK model can be used to predict temporal concentration profiles of drugs in multiple relevant CNS compartments, which we consider valuable information for efficient CNS drug development.","author":[{"dropping-particle":"","family":"Yamamoto","given":"Yumi","non-dropping-particle":"","parse-names":false,"suffix":""},{"dropping-particle":"","family":"Välitalo","given":"Pyry A.","non-dropping-particle":"","parse-names":false,"suffix":""},{"dropping-particle":"","family":"Huntjens","given":"Dymphy R.","non-dropping-particle":"","parse-names":false,"suffix":""},{"dropping-particle":"","family":"Proost","given":"Johannes H.","non-dropping-particle":"","parse-names":false,"suffix":""},{"dropping-particle":"","family":"Vermeulen","given":"An","non-dropping-particle":"","parse-names":false,"suffix":""},{"dropping-particle":"","family":"Krauwinkel","given":"Walter","non-dropping-particle":"","parse-names":false,"suffix":""},{"dropping-particle":"","family":"Beukers","given":"Margot W.","non-dropping-particle":"","parse-names":false,"suffix":""},{"dropping-particle":"","family":"Berg","given":"Dirk Jan","non-dropping-particle":"Van Den","parse-names":false,"suffix":""},{"dropping-particle":"","family":"Hartman","given":"Robin","non-dropping-particle":"","parse-names":false,"suffix":""},{"dropping-particle":"","family":"Wong","given":"Yin Cheong","non-dropping-particle":"","parse-names":false,"suffix":""},{"dropping-particle":"","family":"Danhof","given":"Meindert","non-dropping-particle":"","parse-names":false,"suffix":""},{"dropping-particle":"","family":"Hasselt","given":"John G.C.","non-dropping-particle":"Van","parse-names":false,"suffix":""},{"dropping-particle":"","family":"Lange","given":"Elizabeth C.M.","non-dropping-particle":"De","parse-names":false,"suffix":""}],"container-title":"CPT: Pharmacometrics and Systems Pharmacology","id":"ITEM-1","issue":"11","issued":{"date-parts":[["2017"]]},"page":"765-777","title":"Predicting drug concentration-time profiles in multiple CNS compartments using a comprehensive physiologically-based pharmacokinetic model","type":"article-journal","volume":"6"},"uris":["http://www.mendeley.com/documents/?uuid=9268abe4-137c-4963-8186-f6c995bfb878"]}],"mendeley":{"formattedCitation":"(44)","plainTextFormattedCitation":"(44)","previouslyFormattedCitation":"(44)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(44)</w:t>
            </w:r>
            <w:r w:rsidRPr="00A97EA2">
              <w:rPr>
                <w:rFonts w:ascii="Calibri" w:hAnsi="Calibri" w:cs="Calibri"/>
                <w:sz w:val="20"/>
                <w:szCs w:val="20"/>
                <w:lang w:val="en-US"/>
              </w:rPr>
              <w:fldChar w:fldCharType="end"/>
            </w:r>
          </w:p>
        </w:tc>
      </w:tr>
      <w:tr w:rsidR="00AD5A62" w:rsidRPr="00A97EA2" w14:paraId="6E93940A" w14:textId="77777777" w:rsidTr="00405626">
        <w:tc>
          <w:tcPr>
            <w:tcW w:w="2127" w:type="dxa"/>
          </w:tcPr>
          <w:p w14:paraId="1A26ADBB"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risperidone</w:t>
            </w:r>
          </w:p>
        </w:tc>
        <w:tc>
          <w:tcPr>
            <w:tcW w:w="1559" w:type="dxa"/>
            <w:vAlign w:val="bottom"/>
          </w:tcPr>
          <w:p w14:paraId="2F54A238" w14:textId="58E73B93"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0.44</w:t>
            </w:r>
          </w:p>
        </w:tc>
        <w:tc>
          <w:tcPr>
            <w:tcW w:w="1417" w:type="dxa"/>
          </w:tcPr>
          <w:p w14:paraId="5CE01A0E"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0.97</w:t>
            </w:r>
          </w:p>
        </w:tc>
        <w:tc>
          <w:tcPr>
            <w:tcW w:w="3884" w:type="dxa"/>
          </w:tcPr>
          <w:p w14:paraId="1C547184" w14:textId="3B6F422E"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{"citationItems":[{"id":"ITEM-1","itemData":{"DOI":"10.1007/s10928-021-09768-7","ISBN":"0123456789","ISSN":"15738744","PMID":"34142308","abstract":"Predicting brain pharmacokinetics is critical for central nervous system (CNS) drug development yet difficult due to ethical restrictions of human brain sampling. CNS pharmacokinetic (PK) profiles are often altered in CNS diseases due to disease-specific pathophysiology. We previously published a comprehensive CNS physiologically-based PK (PBPK) model that predicted the PK profiles of small drugs at brain and cerebrospinal fluid compartments. Here, we improved this model with brain non-specific binding and pH effect on drug ionization and passive transport. We refer to this improved model as Leiden CNS PBPK predictor V3.0 (LeiCNS-PK3.0). LeiCNS-PK3.0 predicted the unbound drug concentrations of brain ECF and CSF compartments in rats and humans with less than two-fold error. We then applied LeiCNS-PK3.0 to study the effect of altered cerebrospinal fluid (CSF) dynamics, CSF volume and flow, on brain extracellular fluid (ECF) pharmacokinetics. The effect of altered CSF dynamics was simulated using LeiCNS-PK3.0 for six drugs and the resulting drug exposure at brain ECF and lumbar CSF were compared. Simulation results showed that altered CSF dynamics changed the CSF PK profiles, but not the brain ECF profiles, irrespective of the drug’s physicochemical properties. Our analysis supports the notion that lumbar CSF drug concentration is not an accurate surrogate of brain ECF, particularly in CNS diseases. Systems approaches account for multiple levels of CNS complexity and are better suited to predict brain PK.","author":[{"dropping-particle":"","family":"Saleh","given":"Mohammed A.A.","non-dropping-particle":"","parse-names":false,"suffix":""},{"dropping-particle":"","family":"Loo","given":"Chi Fong","non-dropping-particle":"","parse-names":false,"suffix":""},{"dropping-particle":"","family":"Elassaiss-Schaap","given":"Jeroen","non-dropping-particle":"","parse-names":false,"suffix":""},{"dropping-particle":"","family":"Lange","given":"Elizabeth C.M.","non-dropping-particle":"De","parse-names":false,"suffix":""}],"container-title":"Journal of Pharmacokinetics and Pharmacodynamics","id":"ITEM-1","issue":"5","issued":{"date-parts":[["2021"]]},"page":"725-741","publisher":"Springer US","title":"Lumbar cerebrospinal fluid-to-brain extracellular fluid surrogacy is context-specific: insights from LeiCNS-PK3.0 simulations","type":"article-journal","volume":"48"},"uris":["http://www.mendeley.com/documents/?uuid=5af6a788-075e-4c39-a82e-e14d4cdccf28"]}],"mendeley":{"formattedCitation":"(29)","plainTextFormattedCitation":"(29)","previouslyFormattedCitation":"(29)"},"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(29)</w:t>
            </w:r>
            <w:r w:rsidRPr="00A97EA2">
              <w:rPr>
                <w:rFonts w:ascii="Calibri" w:hAnsi="Calibri" w:cs="Calibri"/>
                <w:sz w:val="20"/>
                <w:szCs w:val="20"/>
                <w:lang w:val="en-US"/>
              </w:rPr>
              <w:fldChar w:fldCharType="end"/>
            </w:r>
          </w:p>
        </w:tc>
      </w:tr>
      <w:tr w:rsidR="00AD5A62" w:rsidRPr="00A97EA2" w14:paraId="07A1BAF8" w14:textId="77777777" w:rsidTr="00405626">
        <w:tc>
          <w:tcPr>
            <w:tcW w:w="2127" w:type="dxa"/>
          </w:tcPr>
          <w:p w14:paraId="0308466C"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sertraline</w:t>
            </w:r>
          </w:p>
        </w:tc>
        <w:tc>
          <w:tcPr>
            <w:tcW w:w="1559" w:type="dxa"/>
            <w:vAlign w:val="bottom"/>
          </w:tcPr>
          <w:p w14:paraId="7387BCFF" w14:textId="4BADCEA7"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0.89</w:t>
            </w:r>
          </w:p>
        </w:tc>
        <w:tc>
          <w:tcPr>
            <w:tcW w:w="1417" w:type="dxa"/>
          </w:tcPr>
          <w:p w14:paraId="396A8AC8"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1.27</w:t>
            </w:r>
          </w:p>
        </w:tc>
        <w:tc>
          <w:tcPr>
            <w:tcW w:w="3884" w:type="dxa"/>
          </w:tcPr>
          <w:p w14:paraId="475AF625" w14:textId="2EBFD8EA"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{"citationItems":[{"id":"ITEM-1","itemData":{"DOI":"10.1016/J.NEUROPHARM.2013.04.027","ISSN":"1873-7064","PMID":"23639435","abstract":"Inhibition of central α4b2 nAChRs by antidepressants, proposed to contribute to their clinical efficacy, was assessed for monoamine reuptake inhibitors (amitriptyline, nortriptyline, fluoxetine, sertraline, paroxetine, citalopram) by comparing projected human unbound brain drug concentrations (Cu,b) at therapeutic doses with concentrations that inhibit human α4b2 nAChRs in vitro. Inhibitory concentrations (IC50) were determined by patch clamp and ranged from 0.8e3.2 mM, except for nortriptyline (IC50 = 100 nM). Cu,b values were calculated from human unbound plasma drug concentrations (Cu,p) and rat-derived brain-to-plasma and extracellular fluid-to-plasma ratios for the unbound drug, which are near unity, due to much higher brain tissue binding than plasma protein binding of these drugs. Accordingly in humans, antidepressant Cu,b are projected to essentially equal Cu,p, with average values from 3e87 nM, which are 30-to-250-fold below their IC50 concentrations. Based on our model, monoaminergic antidepressants minimally inhibit central nAChRs and it is unlikely that α4b2 nAChR antagonism contributes to their antidepressant activity. Nortriptyline is an exception with a Cu,b that is 2-fold below its IC50, which is comparable to the nAChR antagonist (-)-mecamylamine, for which Cu,b is 4-fold below its IC50; both drugs will inhibit a substantial fraction of α4b2 nAChRs. The Cu,b of the α4b2 nAChR partial agonist varenicline, which has antidepressant-like activity in a murine model, is higher than its IC50 and varenicline is projected to cause w70% inhibition of α4b2 nAChRs. Taken together these data may help explain the negative outcome of recent antidepressant augmentation trials with mecamylamine and the partial agonist CP-601927. © 2013 Elsevier Ltd. All rights reserved.","author":[{"dropping-particle":"","family":"Weber","given":"Mark L.","non-dropping-particle":"","parse-names":false,"suffix":""},{"dropping-particle":"","family":"Hofland","given":"Corry M.","non-dropping-particle":"","parse-names":false,"suffix":""},{"dropping-particle":"","family":"Shaffer","given":"Christopher L.","non-dropping-particle":"","parse-names":false,"suffix":""},{"dropping-particle":"","family":"Flik","given":"Gunnar","non-dropping-particle":"","parse-names":false,"suffix":""},{"dropping-particle":"","family":"Cremers","given":"Thomas","non-dropping-particle":"","parse-names":false,"suffix":""},{"dropping-particle":"","family":"Hurst","given":"Raymond S.","non-dropping-particle":"","parse-names":false,"suffix":""},{"dropping-particle":"","family":"Rollema","given":"Hans","non-dropping-particle":"","parse-names":false,"suffix":""}],"container-title":"Neuropharmacology","id":"ITEM-1","issued":{"date-parts":[["2013"]]},"page":"88-95","publisher":"Neuropharmacology","title":"Therapeutic doses of antidepressants are projected not to inhibit human α4β2 nicotinic acetylcholine receptors","type":"article-journal","volume":"72"},"uris":["http://www.mendeley.com/documents/?uuid=586a4e57-8c43-470d-b44e-405e01cf553f"]}],"mendeley":{"formattedCitation":"(16)","plainTextFormattedCitation":"(16)","previouslyFormattedCitation":"(16)"},"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(16)</w:t>
            </w:r>
            <w:r w:rsidRPr="00A97EA2">
              <w:rPr>
                <w:rFonts w:ascii="Calibri" w:hAnsi="Calibri" w:cs="Calibri"/>
                <w:sz w:val="20"/>
                <w:szCs w:val="20"/>
                <w:lang w:val="en-US"/>
              </w:rPr>
              <w:fldChar w:fldCharType="end"/>
            </w:r>
          </w:p>
        </w:tc>
      </w:tr>
      <w:tr w:rsidR="00AD5A62" w:rsidRPr="00A97EA2" w14:paraId="4FB24922" w14:textId="77777777" w:rsidTr="00405626">
        <w:tc>
          <w:tcPr>
            <w:tcW w:w="2127" w:type="dxa"/>
          </w:tcPr>
          <w:p w14:paraId="628E612E"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stavudine</w:t>
            </w:r>
          </w:p>
        </w:tc>
        <w:tc>
          <w:tcPr>
            <w:tcW w:w="1559" w:type="dxa"/>
            <w:vAlign w:val="bottom"/>
          </w:tcPr>
          <w:p w14:paraId="43278580" w14:textId="37E655BA"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0.20</w:t>
            </w:r>
          </w:p>
        </w:tc>
        <w:tc>
          <w:tcPr>
            <w:tcW w:w="1417" w:type="dxa"/>
          </w:tcPr>
          <w:p w14:paraId="5E395285"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0.33</w:t>
            </w:r>
          </w:p>
        </w:tc>
        <w:tc>
          <w:tcPr>
            <w:tcW w:w="3884" w:type="dxa"/>
          </w:tcPr>
          <w:p w14:paraId="581F9C0B" w14:textId="52D78D35"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{"citationItems":[{"id":"ITEM-1","itemData":{"DOI":"10.1023/A:1012191515035","ISSN":"07248741","PMID":"9244142","abstract":"Purpose. To study the extent and time course of distribution of stavudine (d4T) into the central nervous system (CNS) and to investigate the transport mechanisms of antiviral nucleosides in the CNS. Methods. Microdialysis with on-line HPLC analysis was used to measure drug concentrations in the brain extracellular fluid (ECF) and cerebrospinal fluid (CSF) in the freely-moving rat. The in vivo recovery of d4T and zidovudine (AZT) was estimated by retrodialysis, which was validated by the zero-net flux method. The CNS distribution of d4T was investigated during iv and intracerebroventricular (icv) infusion. In the subsequent studies, the effect of AZT on CNS distribution of d4T was examined. Results. During iv infusion, d4T distributed rapidly into the CNS. Its brain ECF/plasma and CSF/plasma steady-state concentration ratios were 0.33 ± 0.06 and 0.49 ± 0.12, respectively (n = 15). During icv infusion, the steady-state d4T concentrations in the brain ECF were 23-fold higher than those during iv infusion, whereas its steady-state plasma levels were about the same for these two routes. Coadministration of AZT with d4T did not alter their respective brain distribution and systemic clearance at the concentrations examined. More importantly, the steady-state brain ECF/plasma and CSF/plasma concentration ratios of d4T were about 2-fold higher than those of AZT (0.15 ± 0.04 and 0.25 ± 0.08) determined in the same animals. Conclusions. d4T readily crosses the brood-brain barrier (BBB) and blood-CSF barrier. An active efflux transport system in the BBB and blood-CSF barrier may be involved in transporting d4T out of the CNS. Direct icv administration of d4T can be used to enhance its brain delivery. Moreover, d4T exhibits a more favorable penetration into the CNS than AZT and therefore may be useful in the treatment of AIDS dementia complex.","author":[{"dropping-particle":"","family":"Yang","given":"Zheng","non-dropping-particle":"","parse-names":false,"suffix":""},{"dropping-particle":"","family":"Brundage","given":"Richard C.","non-dropping-particle":"","parse-names":false,"suffix":""},{"dropping-particle":"","family":"Barbhaiya","given":"Rashmi H.","non-dropping-particle":"","parse-names":false,"suffix":""},{"dropping-particle":"","family":"Sawchuk","given":"Ronald J.","non-dropping-particle":"","parse-names":false,"suffix":""}],"container-title":"Pharmaceutical Research","id":"ITEM-1","issue":"7","issued":{"date-parts":[["1997"]]},"page":"865-872","title":"Microdialysis studies of the distribution of stavudine into the central nervous system in the freely-moving rat","type":"article","volume":"14"},"uris":["http://www.mendeley.com/documents/?uuid=60b0b080-043e-4297-aa4e-61045983d471"]}],"mendeley":{"formattedCitation":"(45)","plainTextFormattedCitation":"(45)","previouslyFormattedCitation":"(45)"},"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(45)</w:t>
            </w:r>
            <w:r w:rsidRPr="00A97EA2">
              <w:rPr>
                <w:rFonts w:ascii="Calibri" w:hAnsi="Calibri" w:cs="Calibri"/>
                <w:sz w:val="20"/>
                <w:szCs w:val="20"/>
                <w:lang w:val="en-US"/>
              </w:rPr>
              <w:fldChar w:fldCharType="end"/>
            </w:r>
          </w:p>
        </w:tc>
      </w:tr>
      <w:tr w:rsidR="00AD5A62" w:rsidRPr="00A97EA2" w14:paraId="02B6AC9E" w14:textId="77777777" w:rsidTr="00405626">
        <w:tc>
          <w:tcPr>
            <w:tcW w:w="2127" w:type="dxa"/>
          </w:tcPr>
          <w:p w14:paraId="05AC6FDA"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sucrose</w:t>
            </w:r>
          </w:p>
        </w:tc>
        <w:tc>
          <w:tcPr>
            <w:tcW w:w="1559" w:type="dxa"/>
            <w:vAlign w:val="bottom"/>
          </w:tcPr>
          <w:p w14:paraId="49D7C610" w14:textId="78D61A3A"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0.01</w:t>
            </w:r>
          </w:p>
        </w:tc>
        <w:tc>
          <w:tcPr>
            <w:tcW w:w="1417" w:type="dxa"/>
          </w:tcPr>
          <w:p w14:paraId="75D623AF"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0.0027</w:t>
            </w:r>
          </w:p>
        </w:tc>
        <w:tc>
          <w:tcPr>
            <w:tcW w:w="3884" w:type="dxa"/>
          </w:tcPr>
          <w:p w14:paraId="3323E28B" w14:textId="652E0691"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{"citationItems":[{"id":"ITEM-1","itemData":{"DOI":"10.1023/A:1015882924470","ISSN":"1573904X","PMID":"1681528","abstract":"In vivo transport through the blood–brain barrier (BBB) has been demonstrated for a dynorphin-like analgesic peptide, CH3-[125I]Tyr-Gly-Gly-Phe-Leu-Arg-CH3Arg-D-Leu-NHC2H5 ([125I]E-2078). A remarkable time-dependent increase in the distribution volume of [125I]E-2078 in the brain parenchyma separated from blood vessels and capillaries was observed during a brain perfusion. The distribution volume of [125I]E-2078 in the brain parenchyma after 20 min of perfusion was 2.18 ± 0.09 µl/g brain (mean ± SE) and was significantly greater than the distribution volume of [3H]inulin (0.994 ± 0.138 (µl/g brain), providing in vivo evidence for the penetration of [125I]E-2078 into the brain parenchyma. Brain microdialysis was carried out to collect directly the brain interstitial fluid (ISF) during the brain perfusion of [125I]E-2078. No metabolite of [125I]E-2078 in the brain ISF was found by high-performance liquid chromatographic analysis of the brain dialysate. The concentrations of [125I]E-2078 and [14C]sucrose in the brain ISF were estimated based on an in vitro evaluation of dialysis clearance. The concentration ratio of [125I]E-2078 between the brain ISF and the brain perfusate was determined to be 2.92 × 10−l ± 0.50 × 10−l and was approximately 100 times higher than that of [14C]sucrose (2.71 × 10−3 ± 1.43 × 10−3), demonstrating transport of [125I]E-2078 through the BBB in vivo. On the other hand, no remarkable difference in the cerebrospinal fluid (CSF)-to-perfusate concentration ratios of [125I]E-2078 and [14C]sucrose was observed, indicating little contribution of the blood–CSF barrier (BCSF barrier) transport to the penetration of [125I]E-2078 into the brain. © 1991, Plenum Publishing Corporation. All rights reserved.","author":[{"dropping-particle":"","family":"Terasaki","given":"Tetsuya","non-dropping-particle":"","parse-names":false,"suffix":""},{"dropping-particle":"","family":"Deguchi","given":"Yoshiharu","non-dropping-particle":"","parse-names":false,"suffix":""},{"dropping-particle":"","family":"Sato","given":"Hitoshi","non-dropping-particle":"","parse-names":false,"suffix":""},{"dropping-particle":"","family":"Hirai","given":"Ken ichi","non-dropping-particle":"","parse-names":false,"suffix":""},{"dropping-particle":"","family":"Tsuji","given":"Akira","non-dropping-particle":"","parse-names":false,"suffix":""}],"container-title":"Pharmaceutical Research: An Official Journal of the American Association of Pharmaceutical Scientists","id":"ITEM-1","issue":"7","issued":{"date-parts":[["1991"]]},"page":"815-820","title":"In Vivo Transport of a Dynorphin-like Analgesic Peptide, E-2078, Through the Blood–Brain Barrier: An Application of Brain Microdialysis","type":"article","volume":"8"},"uris":["http://www.mendeley.com/documents/?uuid=cfd5862c-2a35-4db1-a359-bcaee7b0aeb8"]}],"mendeley":{"formattedCitation":"(46)","plainTextFormattedCitation":"(46)","previouslyFormattedCitation":"(46)"},"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(46)</w:t>
            </w:r>
            <w:r w:rsidRPr="00A97EA2">
              <w:rPr>
                <w:rFonts w:ascii="Calibri" w:hAnsi="Calibri" w:cs="Calibri"/>
                <w:sz w:val="20"/>
                <w:szCs w:val="20"/>
                <w:lang w:val="en-US"/>
              </w:rPr>
              <w:fldChar w:fldCharType="end"/>
            </w:r>
          </w:p>
        </w:tc>
      </w:tr>
      <w:tr w:rsidR="00AD5A62" w:rsidRPr="00A97EA2" w14:paraId="1FA6EDBF" w14:textId="77777777" w:rsidTr="00405626">
        <w:tc>
          <w:tcPr>
            <w:tcW w:w="2127" w:type="dxa"/>
          </w:tcPr>
          <w:p w14:paraId="3508CCC4"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sumatriptan</w:t>
            </w:r>
          </w:p>
        </w:tc>
        <w:tc>
          <w:tcPr>
            <w:tcW w:w="1559" w:type="dxa"/>
            <w:vAlign w:val="bottom"/>
          </w:tcPr>
          <w:p w14:paraId="12D88143" w14:textId="78215A22"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0.13</w:t>
            </w:r>
          </w:p>
        </w:tc>
        <w:tc>
          <w:tcPr>
            <w:tcW w:w="1417" w:type="dxa"/>
          </w:tcPr>
          <w:p w14:paraId="16E3A8AE"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0.13</w:t>
            </w:r>
          </w:p>
        </w:tc>
        <w:tc>
          <w:tcPr>
            <w:tcW w:w="3884" w:type="dxa"/>
          </w:tcPr>
          <w:p w14:paraId="36CADDAC" w14:textId="6D50EDC5"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{"citationItems":[{"id":"ITEM-1","itemData":{"DOI":"10.1002/PRP2.575","ISSN":"2052-1707","PMID":"32266794","abstract":"In clinical pharmacology, the free drug hypothesis has been widely applied in the interpretation of the relationship between pharmacokinetics and pharmacodynamics (PK/PD). The free drug hypothesis assumes that the unbound drug concentration in blood is the same as that in the site of action at steady state. The objective of this study is to demonstrate whether the free drug hypothesis is universally applicable for all drugs. The unbound concentrations of the 18 compounds in blood and in brain interstitial fluids (ISF) at steady state following constant intravenous infusion were simultaneously monitored up to 6 hours via in vivo microdialysis technique. Based on the permeability and efflux ratio (ER), the test compounds can be divided into two classes. Class I includes the compounds with good membrane permeability that are not substrates of efflux transporters (eg, P-gp, BCRP, and MRPs), whereas Class II includes the compounds that are substrates of efflux transporters. The steady-state unbound drug concentrations in blood, brain, and CSF are quantitatively very similar for Class I compounds, whereas the steady-state unbound concentrations in the brain and CSF are significantly lower than those in blood for Class II compounds. These results strongly suggest that the free drug hypothesis is not universal for all drugs but is only applicable for drugs with good permeability that are not substrates of efflux transporters.","author":[{"dropping-particle":"","family":"Chen","given":"Chun","non-dropping-particle":"","parse-names":false,"suffix":""},{"dropping-particle":"","family":"Zhou","given":"Hongyu","non-dropping-particle":"","parse-names":false,"suffix":""},{"dropping-particle":"","family":"Guan","given":"Chi","non-dropping-particle":"","parse-names":false,"suffix":""},{"dropping-particle":"","family":"Zhang","given":"Huanhuan","non-dropping-particle":"","parse-names":false,"suffix":""},{"dropping-particle":"","family":"Li","given":"Yingying","non-dropping-particle":"","parse-names":false,"suffix":""},{"dropping-particle":"","family":"Jiang","given":"Xue","non-dropping-particle":"","parse-names":false,"suffix":""},{"dropping-particle":"","family":"Dong","given":"Zheng","non-dropping-particle":"","parse-names":false,"suffix":""},{"dropping-particle":"","family":"Tao","given":"Yuanyuan","non-dropping-particle":"","parse-names":false,"suffix":""},{"dropping-particle":"","family":"Du","given":"Juan","non-dropping-particle":"","parse-names":false,"suffix":""},{"dropping-particle":"","family":"Wang","given":"Shuyao","non-dropping-particle":"","parse-names":false,"suffix":""},{"dropping-particle":"","family":"Zhang","given":"Teng","non-dropping-particle":"","parse-names":false,"suffix":""},{"dropping-particle":"","family":"Du","given":"Na","non-dropping-particle":"","parse-names":false,"suffix":""},{"dropping-particle":"","family":"Guo","given":"Junyang","non-dropping-particle":"","parse-names":false,"suffix":""},{"dropping-particle":"","family":"Wu","given":"Yaqiong","non-dropping-particle":"","parse-names":false,"suffix":""},{"dropping-particle":"","family":"Song","given":"Zehai","non-dropping-particle":"","parse-names":false,"suffix":""},{"dropping-particle":"","family":"Luan","given":"Haofei","non-dropping-particle":"","parse-names":false,"suffix":""},{"dropping-particle":"","family":"Wang","given":"Yu","non-dropping-particle":"","parse-names":false,"suffix":""},{"dropping-particle":"","family":"Du","given":"Hongwen","non-dropping-particle":"","parse-names":false,"suffix":""},{"dropping-particle":"","family":"Zhang","given":"Shaofeng","non-dropping-particle":"","parse-names":false,"suffix":""},{"dropping-particle":"","family":"Li","given":"Chen","non-dropping-particle":"","parse-names":false,"suffix":""},{"dropping-particle":"","family":"Chang","given":"Hang","non-dropping-particle":"","parse-names":false,"suffix":""},{"dropping-particle":"","family":"Wang","given":"Tao","non-dropping-particle":"","parse-names":false,"suffix":""}],"container-title":"Pharmacology research &amp; perspectives","id":"ITEM-1","issue":"2","issued":{"date-parts":[["2020","4"]]},"publisher":"Pharmacol Res Perspect","title":"Applicability of free drug hypothesis to drugs with good membrane permeability that are not efflux transporter substrates: A microdialysis study in rats","type":"article-journal","volume":"8"},"uris":["http://www.mendeley.com/documents/?uuid=bd46f417-bc9d-4ffa-86a4-dec45f711fe9"]}],"mendeley":{"formattedCitation":"(7)","plainTextFormattedCitation":"(7)","previouslyFormattedCitation":"(7)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(7)</w:t>
            </w:r>
            <w:r w:rsidRPr="00A97EA2">
              <w:rPr>
                <w:rFonts w:ascii="Calibri" w:hAnsi="Calibri" w:cs="Calibri"/>
                <w:sz w:val="20"/>
                <w:szCs w:val="20"/>
                <w:lang w:val="en-US"/>
              </w:rPr>
              <w:fldChar w:fldCharType="end"/>
            </w:r>
          </w:p>
        </w:tc>
      </w:tr>
      <w:tr w:rsidR="00AD5A62" w:rsidRPr="005001B1" w14:paraId="1A9A8A77" w14:textId="77777777" w:rsidTr="00405626">
        <w:tc>
          <w:tcPr>
            <w:tcW w:w="2127" w:type="dxa"/>
          </w:tcPr>
          <w:p w14:paraId="61FB7F31"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temozolomide</w:t>
            </w:r>
          </w:p>
        </w:tc>
        <w:tc>
          <w:tcPr>
            <w:tcW w:w="1559" w:type="dxa"/>
            <w:vAlign w:val="bottom"/>
          </w:tcPr>
          <w:p w14:paraId="50B81E2F" w14:textId="7C0190C0"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0.28</w:t>
            </w:r>
          </w:p>
        </w:tc>
        <w:tc>
          <w:tcPr>
            <w:tcW w:w="1417" w:type="dxa"/>
          </w:tcPr>
          <w:p w14:paraId="426AD33B"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0.46</w:t>
            </w:r>
          </w:p>
        </w:tc>
        <w:tc>
          <w:tcPr>
            <w:tcW w:w="3884" w:type="dxa"/>
          </w:tcPr>
          <w:p w14:paraId="17365654" w14:textId="523B11F2"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{"citationItems":[{"id":"ITEM-1","itemData":{"DOI":"10.1007/S00280-018-3705-6","ISSN":"1432-0843","PMID":"30357450","abstract":"Purpose: The aromatase inhibitor, letrozole, is being investigated in experimental animal models as a novel treatment for high-grade gliomas (HGGs). To facilitate optimal dosing for such studies, we evaluated the plasma and brain pharmacokinetics (PK) of letrozole in NOD-scid gamma (NSG) mice, which are frequently employed for assessing efficacy against patient-derived tumor cells. Furthermore, we evaluated the potential PK interactions between letrozole and temozolomide (TMZ) in Sprague–Dawley rats. Methods: NSG mice were administered letrozole (8 mg/kg; i.p) as a single or multiple dose (b.i.d, 10 days). Brain tissue and blood samples were collected over 24 h. Letrozole and TMZ interaction study employed jugular vein-cannulated rats (three groups; TMZ alone, letrozole alone and TMZ + letrozole). Intracerebral microdialysis was performed for brain extracellular fluid (ECF) collection simultaneously with venous blood sampling. Drug levels were measured employing HPLC and PK analysis was conducted using Phoenix WinNonlin ® . Results: In NSG mice, peak plasma and brain tissue letrozole concentrations (C max ) were 3–4 and 0.8–0.9 µg/ml, respectively. The elimination half-life was 2.6 h with minimal accumulation following multiple dosing. In the drug interaction study, no PK changes were evident when TMZ and letrozole were given in combination. For instance, peak plasma and brain ECF TMZ levels when given alone were 14.7 ± 1.1 and 4.6 ± 0.6 µg/ml, respectively, and 12.6 ± 2.4 and 3.4 ± 0.8 µg/ml, respectively, when given with letrozole. Conclusions: These results will guide the optimization of dosing regimen for further development of letrozole for HGG treatment.","author":[{"dropping-particle":"","family":"Arora","given":"Priyanka","non-dropping-particle":"","parse-names":false,"suffix":""},{"dropping-particle":"","family":"Adams","given":"Courtney Huff","non-dropping-particle":"","parse-names":false,"suffix":""},{"dropping-particle":"","family":"Gudelsky","given":"Gary","non-dropping-particle":"","parse-names":false,"suffix":""},{"dropping-particle":"","family":"DasGupta","given":"Biplab","non-dropping-particle":"","parse-names":false,"suffix":""},{"dropping-particle":"","family":"Desai","given":"Pankaj B.","non-dropping-particle":"","parse-names":false,"suffix":""}],"container-title":"Cancer chemotherapy and pharmacology","id":"ITEM-1","issue":"1","issued":{"date-parts":[["2019","1"]]},"page":"81-89","publisher":"Cancer Chemother Pharmacol","title":"Plasma and brain pharmacokinetics of letrozole and drug interaction studies with temozolomide in NOD-scid gamma mice and sprague dawley rats","type":"article-journal","volume":"83"},"uris":["http://www.mendeley.com/documents/?uuid=5158a80d-741d-453a-8ea2-2afce4a53711"]}],"mendeley":{"formattedCitation":"(47)","plainTextFormattedCitation":"(47)","previouslyFormattedCitation":"(47)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(47)</w:t>
            </w:r>
            <w:r w:rsidRPr="00A97EA2">
              <w:rPr>
                <w:rFonts w:ascii="Calibri" w:hAnsi="Calibri" w:cs="Calibri"/>
                <w:sz w:val="20"/>
                <w:szCs w:val="20"/>
                <w:lang w:val="en-US"/>
              </w:rPr>
              <w:fldChar w:fldCharType="end"/>
            </w:r>
          </w:p>
        </w:tc>
      </w:tr>
      <w:tr w:rsidR="00AD5A62" w:rsidRPr="005001B1" w14:paraId="2E51EA8A" w14:textId="77777777" w:rsidTr="00405626">
        <w:tc>
          <w:tcPr>
            <w:tcW w:w="2127" w:type="dxa"/>
          </w:tcPr>
          <w:p w14:paraId="35BEC8AE" w14:textId="77777777" w:rsidR="00AD5A62" w:rsidRPr="00A97EA2" w:rsidRDefault="00AD5A62" w:rsidP="00AD5A62">
            <w:pPr>
              <w:spacing w:line="276" w:lineRule="auto"/>
              <w:rPr>
                <w:rFonts w:ascii="Calibri" w:hAnsi="Calibri" w:cs="Calibri"/>
                <w:sz w:val="20"/>
                <w:szCs w:val="20"/>
                <w:lang w:val="en-US"/>
              </w:rPr>
            </w:pPr>
            <w:proofErr w:type="spellStart"/>
            <w:r w:rsidRPr="00A97EA2">
              <w:rPr>
                <w:rFonts w:ascii="Calibri" w:hAnsi="Calibri" w:cs="Calibri"/>
                <w:sz w:val="20"/>
                <w:szCs w:val="20"/>
                <w:lang w:val="en-US"/>
              </w:rPr>
              <w:t>tetramethylpyrazine</w:t>
            </w:r>
            <w:proofErr w:type="spellEnd"/>
            <w:r w:rsidRPr="00A97EA2">
              <w:rPr>
                <w:rFonts w:ascii="Calibri" w:hAnsi="Calibri" w:cs="Calibri"/>
                <w:sz w:val="20"/>
                <w:szCs w:val="20"/>
                <w:lang w:val="en-US"/>
              </w:rPr>
              <w:t>*</w:t>
            </w:r>
          </w:p>
        </w:tc>
        <w:tc>
          <w:tcPr>
            <w:tcW w:w="1559" w:type="dxa"/>
            <w:vAlign w:val="bottom"/>
          </w:tcPr>
          <w:p w14:paraId="00A0AA42" w14:textId="04F3FAC1"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1.12</w:t>
            </w:r>
          </w:p>
        </w:tc>
        <w:tc>
          <w:tcPr>
            <w:tcW w:w="1417" w:type="dxa"/>
          </w:tcPr>
          <w:p w14:paraId="2EB04A51"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2.25</w:t>
            </w:r>
          </w:p>
        </w:tc>
        <w:tc>
          <w:tcPr>
            <w:tcW w:w="3884" w:type="dxa"/>
          </w:tcPr>
          <w:p w14:paraId="3C1FE2F0" w14:textId="60811135"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author":[{"dropping-particle":"","family":"Tsai","given":"Tung-hu","non-dropping-particle":"","parse-names":false,"suffix":""},{"dropping-particle":"","family":"Liang","given":"Chien-cheng","non-dropping-particle":"","parse-names":false,"suffix":""}],"container-title":"International Journal of Pharmaceutics","id":"ITEM-1","issued":{"date-parts":[["2001"]]},"page":"61-66","title":"Pharmacokinetics of tetramethylpyrazine in rat blood and brain using microdialysis","type":"article-journal","volume":"216"},"uris":["http://www.mendeley.com/documents/?uuid=b0d098c8-7aae-492e-b9a5-0911cace8b92"]}],"mendeley":{"formattedCitation":"(48)","plainTextFormattedCitation":"(48)","previouslyFormattedCitation":"(48)"},"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(48)</w:t>
            </w:r>
            <w:r w:rsidRPr="00A97EA2">
              <w:rPr>
                <w:rFonts w:ascii="Calibri" w:hAnsi="Calibri" w:cs="Calibri"/>
                <w:sz w:val="20"/>
                <w:szCs w:val="20"/>
                <w:lang w:val="en-US"/>
              </w:rPr>
              <w:fldChar w:fldCharType="end"/>
            </w:r>
          </w:p>
        </w:tc>
      </w:tr>
      <w:tr w:rsidR="00AD5A62" w:rsidRPr="00A97EA2" w14:paraId="7397EC60" w14:textId="77777777" w:rsidTr="00405626">
        <w:tc>
          <w:tcPr>
            <w:tcW w:w="2127" w:type="dxa"/>
          </w:tcPr>
          <w:p w14:paraId="179F8E18" w14:textId="2DAFAB43" w:rsidR="00AD5A62" w:rsidRPr="006E15B3" w:rsidRDefault="006E15B3" w:rsidP="00AD5A62">
            <w:pPr>
              <w:spacing w:line="276" w:lineRule="auto"/>
              <w:rPr>
                <w:rFonts w:ascii="Calibri" w:hAnsi="Calibri" w:cs="Calibri"/>
                <w:sz w:val="20"/>
                <w:szCs w:val="20"/>
                <w:vertAlign w:val="superscript"/>
                <w:lang w:val="en-US"/>
              </w:rPr>
            </w:pPr>
            <w:r>
              <w:rPr>
                <w:rFonts w:ascii="Calibri" w:hAnsi="Calibri" w:cs="Calibri"/>
                <w:sz w:val="20"/>
                <w:szCs w:val="20"/>
                <w:lang w:val="en-US"/>
              </w:rPr>
              <w:t>t</w:t>
            </w:r>
            <w:r w:rsidR="00AD5A62" w:rsidRPr="00A97EA2">
              <w:rPr>
                <w:rFonts w:ascii="Calibri" w:hAnsi="Calibri" w:cs="Calibri"/>
                <w:sz w:val="20"/>
                <w:szCs w:val="20"/>
                <w:lang w:val="en-US"/>
              </w:rPr>
              <w:t>heophylline</w:t>
            </w:r>
            <w:r>
              <w:rPr>
                <w:rFonts w:ascii="Calibri" w:hAnsi="Calibri" w:cs="Calibri"/>
                <w:sz w:val="20"/>
                <w:szCs w:val="20"/>
                <w:vertAlign w:val="superscript"/>
                <w:lang w:val="en-US"/>
              </w:rPr>
              <w:t>#</w:t>
            </w:r>
          </w:p>
        </w:tc>
        <w:tc>
          <w:tcPr>
            <w:tcW w:w="1559" w:type="dxa"/>
            <w:vAlign w:val="bottom"/>
          </w:tcPr>
          <w:p w14:paraId="29DC765E" w14:textId="1EE75E2F"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w:t>
            </w:r>
          </w:p>
        </w:tc>
        <w:tc>
          <w:tcPr>
            <w:tcW w:w="1417" w:type="dxa"/>
          </w:tcPr>
          <w:p w14:paraId="09B5B09F"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0.99</w:t>
            </w:r>
          </w:p>
        </w:tc>
        <w:tc>
          <w:tcPr>
            <w:tcW w:w="3884" w:type="dxa"/>
          </w:tcPr>
          <w:p w14:paraId="1A456748" w14:textId="2ACD7E26"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{"citationItems":[{"id":"ITEM-1","itemData":{"DOI":"10.1002/PRP2.575","ISSN":"2052-1707","PMID":"32266794","abstract":"In clinical pharmacology, the free drug hypothesis has been widely applied in the interpretation of the relationship between pharmacokinetics and pharmacodynamics (PK/PD). The free drug hypothesis assumes that the unbound drug concentration in blood is the same as that in the site of action at steady state. The objective of this study is to demonstrate whether the free drug hypothesis is universally applicable for all drugs. The unbound concentrations of the 18 compounds in blood and in brain interstitial fluids (ISF) at steady state following constant intravenous infusion were simultaneously monitored up to 6 hours via in vivo microdialysis technique. Based on the permeability and efflux ratio (ER), the test compounds can be divided into two classes. Class I includes the compounds with good membrane permeability that are not substrates of efflux transporters (eg, P-gp, BCRP, and MRPs), whereas Class II includes the compounds that are substrates of efflux transporters. The steady-state unbound drug concentrations in blood, brain, and CSF are quantitatively very similar for Class I compounds, whereas the steady-state unbound concentrations in the brain and CSF are significantly lower than those in blood for Class II compounds. These results strongly suggest that the free drug hypothesis is not universal for all drugs but is only applicable for drugs with good permeability that are not substrates of efflux transporters.","author":[{"dropping-particle":"","family":"Chen","given":"Chun","non-dropping-particle":"","parse-names":false,"suffix":""},{"dropping-particle":"","family":"Zhou","given":"Hongyu","non-dropping-particle":"","parse-names":false,"suffix":""},{"dropping-particle":"","family":"Guan","given":"Chi","non-dropping-particle":"","parse-names":false,"suffix":""},{"dropping-particle":"","family":"Zhang","given":"Huanhuan","non-dropping-particle":"","parse-names":false,"suffix":""},{"dropping-particle":"","family":"Li","given":"Yingying","non-dropping-particle":"","parse-names":false,"suffix":""},{"dropping-particle":"","family":"Jiang","given":"Xue","non-dropping-particle":"","parse-names":false,"suffix":""},{"dropping-particle":"","family":"Dong","given":"Zheng","non-dropping-particle":"","parse-names":false,"suffix":""},{"dropping-particle":"","family":"Tao","given":"Yuanyuan","non-dropping-particle":"","parse-names":false,"suffix":""},{"dropping-particle":"","family":"Du","given":"Juan","non-dropping-particle":"","parse-names":false,"suffix":""},{"dropping-particle":"","family":"Wang","given":"Shuyao","non-dropping-particle":"","parse-names":false,"suffix":""},{"dropping-particle":"","family":"Zhang","given":"Teng","non-dropping-particle":"","parse-names":false,"suffix":""},{"dropping-particle":"","family":"Du","given":"Na","non-dropping-particle":"","parse-names":false,"suffix":""},{"dropping-particle":"","family":"Guo","given":"Junyang","non-dropping-particle":"","parse-names":false,"suffix":""},{"dropping-particle":"","family":"Wu","given":"Yaqiong","non-dropping-particle":"","parse-names":false,"suffix":""},{"dropping-particle":"","family":"Song","given":"Zehai","non-dropping-particle":"","parse-names":false,"suffix":""},{"dropping-particle":"","family":"Luan","given":"Haofei","non-dropping-particle":"","parse-names":false,"suffix":""},{"dropping-particle":"","family":"Wang","given":"Yu","non-dropping-particle":"","parse-names":false,"suffix":""},{"dropping-particle":"","family":"Du","given":"Hongwen","non-dropping-particle":"","parse-names":false,"suffix":""},{"dropping-particle":"","family":"Zhang","given":"Shaofeng","non-dropping-particle":"","parse-names":false,"suffix":""},{"dropping-particle":"","family":"Li","given":"Chen","non-dropping-particle":"","parse-names":false,"suffix":""},{"dropping-particle":"","family":"Chang","given":"Hang","non-dropping-particle":"","parse-names":false,"suffix":""},{"dropping-particle":"","family":"Wang","given":"Tao","non-dropping-particle":"","parse-names":false,"suffix":""}],"container-title":"Pharmacology research &amp; perspectives","id":"ITEM-1","issue":"2","issued":{"date-parts":[["2020","4"]]},"publisher":"Pharmacol Res Perspect","title":"Applicability of free drug hypothesis to drugs with good membrane permeability that are not efflux transporter substrates: A microdialysis study in rats","type":"article-journal","volume":"8"},"uris":["http://www.mendeley.com/documents/?uuid=bd46f417-bc9d-4ffa-86a4-dec45f711fe9"]}],"mendeley":{"formattedCitation":"(7)","plainTextFormattedCitation":"(7)","previouslyFormattedCitation":"(7)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(7)</w:t>
            </w:r>
            <w:r w:rsidRPr="00A97EA2">
              <w:rPr>
                <w:rFonts w:ascii="Calibri" w:hAnsi="Calibri" w:cs="Calibri"/>
                <w:sz w:val="20"/>
                <w:szCs w:val="20"/>
                <w:lang w:val="en-US"/>
              </w:rPr>
              <w:fldChar w:fldCharType="end"/>
            </w:r>
          </w:p>
        </w:tc>
      </w:tr>
      <w:tr w:rsidR="00AD5A62" w:rsidRPr="00A97EA2" w14:paraId="60E3E7C9" w14:textId="77777777" w:rsidTr="00405626">
        <w:tc>
          <w:tcPr>
            <w:tcW w:w="2127" w:type="dxa"/>
          </w:tcPr>
          <w:p w14:paraId="26541A0F"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tiagabine</w:t>
            </w:r>
          </w:p>
        </w:tc>
        <w:tc>
          <w:tcPr>
            <w:tcW w:w="1559" w:type="dxa"/>
            <w:vAlign w:val="bottom"/>
          </w:tcPr>
          <w:p w14:paraId="405100E7" w14:textId="6BA1E767"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0.03</w:t>
            </w:r>
          </w:p>
        </w:tc>
        <w:tc>
          <w:tcPr>
            <w:tcW w:w="1417" w:type="dxa"/>
          </w:tcPr>
          <w:p w14:paraId="7E9C7967"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0.006</w:t>
            </w:r>
          </w:p>
        </w:tc>
        <w:tc>
          <w:tcPr>
            <w:tcW w:w="3884" w:type="dxa"/>
          </w:tcPr>
          <w:p w14:paraId="53EA5C4D" w14:textId="3F532522"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{"citationItems":[{"id":"ITEM-1","itemData":{"DOI":"10.1128/AAC.46.7.2284-2286.2002","ISSN":"0066-4804","PMID":"12069991","abstract":"The goal of this study was to determine the distribution of unbound amprenavir in the central nervous system (CNS) of rats. The concentration of unbound amprenavir in the extracellular fluid of the brain and the blood was examined in the presence and absence of the MDR modulator GF120918 by microdialysis. The brain-to-blood ratio of amprenavir in the absence and presence of GF120918 was found to be significantly different (P &lt; 0.003; 0.076 and 0.617, respectively). The use of the MDR modulator GF120918 could potentially increase the penetration of human immunodeficiency virus protease inhibitors into the CNS.","author":[{"dropping-particle":"","family":"Edwards","given":"Jeffrey E.","non-dropping-particle":"","parse-names":false,"suffix":""},{"dropping-particle":"","family":"Brouwer","given":"Kenneth R.","non-dropping-particle":"","parse-names":false,"suffix":""},{"dropping-particle":"","family":"McNamara","given":"Patrick J.","non-dropping-particle":"","parse-names":false,"suffix":""}],"container-title":"Antimicrobial agents and chemotherapy","id":"ITEM-1","issue":"7","issued":{"date-parts":[["2002"]]},"page":"2284-2286","publisher":"Antimicrob Agents Chemother","title":"GF120918, a P-glycoprotein modulator, increases the concentration of unbound amprenavir in the central nervous system in rats","type":"article-journal","volume":"46"},"uris":["http://www.mendeley.com/documents/?uuid=5f1a9593-9131-4153-9918-035e5ccf3779"]}],"mendeley":{"formattedCitation":"(6)","plainTextFormattedCitation":"(6)","previouslyFormattedCitation":"(6)"},"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(6)</w:t>
            </w:r>
            <w:r w:rsidRPr="00A97EA2">
              <w:rPr>
                <w:rFonts w:ascii="Calibri" w:hAnsi="Calibri" w:cs="Calibri"/>
                <w:sz w:val="20"/>
                <w:szCs w:val="20"/>
                <w:lang w:val="en-US"/>
              </w:rPr>
              <w:fldChar w:fldCharType="end"/>
            </w:r>
          </w:p>
        </w:tc>
      </w:tr>
      <w:tr w:rsidR="00AD5A62" w:rsidRPr="00A97EA2" w14:paraId="4BEB84FC" w14:textId="77777777" w:rsidTr="00405626">
        <w:tc>
          <w:tcPr>
            <w:tcW w:w="2127" w:type="dxa"/>
          </w:tcPr>
          <w:p w14:paraId="224006DA"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tolcapone</w:t>
            </w:r>
          </w:p>
        </w:tc>
        <w:tc>
          <w:tcPr>
            <w:tcW w:w="1559" w:type="dxa"/>
            <w:vAlign w:val="bottom"/>
          </w:tcPr>
          <w:p w14:paraId="5CCF0B8C" w14:textId="343988A5"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0.11</w:t>
            </w:r>
          </w:p>
        </w:tc>
        <w:tc>
          <w:tcPr>
            <w:tcW w:w="1417" w:type="dxa"/>
          </w:tcPr>
          <w:p w14:paraId="0DFADD98"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0.17</w:t>
            </w:r>
          </w:p>
        </w:tc>
        <w:tc>
          <w:tcPr>
            <w:tcW w:w="3884" w:type="dxa"/>
          </w:tcPr>
          <w:p w14:paraId="6C13BAA0" w14:textId="2602C17C"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{"citationItems":[{"id":"ITEM-1","itemData":{"DOI":"10.1016/J.IJPHARM.2010.09.016","ISSN":"1873-3476","PMID":"20920560","abstract":"Although several in vitro models have been reported to predict the ability of drug candidates to cross the blood-brain barrier, their real in vivo relevance has rarely been evaluated. The present study demonstrates the in vivo relevance of simple unidirectional permeability coefficient (Papp) determined in three in vitro cell models (BBMEC, Caco-2 and MDCKII-MDR1) for nine model drugs (alprenolol, atenolol, metoprolol, pindolol, entacapone, tolcapone, baclofen, midazolam and ondansetron) by using dual probe microdialysis in the rat brain and blood as an in vivo measure. There was a clear correlation between the Papp and the unbound brain/blood ratios determined by in vivo microdialysis (BBMEC r=0.99, Caco-2 r=0.91 and MDCKII-MDR1 r=0.85). Despite of the substantial differences in the absolute in vitro Papp values and regardless of the method used (side-by-side vs. filter insert system), the capability of the in vitro models to rank order drugs was similar. By this approach, thus, the additional value offered by the true endothelial cell model (BBMEC) remains obscure. The present results also highlight the need of both in vitro as well as in vivo methods in characterization of blood-brain barrier passage of new drug candidates. © 2010 Elsevier B.V.","author":[{"dropping-particle":"","family":"Hakkarainen","given":"Jenni J.","non-dropping-particle":"","parse-names":false,"suffix":""},{"dropping-particle":"","family":"Jalkanen","given":"Aaro J.","non-dropping-particle":"","parse-names":false,"suffix":""},{"dropping-particle":"","family":"Kääriäinen","given":"Tiina M.","non-dropping-particle":"","parse-names":false,"suffix":""},{"dropping-particle":"","family":"Keski-Rahkonen","given":"Pekka","non-dropping-particle":"","parse-names":false,"suffix":""},{"dropping-particle":"","family":"Venäläinen","given":"Tetta","non-dropping-particle":"","parse-names":false,"suffix":""},{"dropping-particle":"","family":"Hokkanen","given":"Juho","non-dropping-particle":"","parse-names":false,"suffix":""},{"dropping-particle":"","family":"Mönkkönen","given":"Jukka","non-dropping-particle":"","parse-names":false,"suffix":""},{"dropping-particle":"","family":"Suhonen","given":"Marjukka","non-dropping-particle":"","parse-names":false,"suffix":""},{"dropping-particle":"","family":"Forsberg","given":"Markus M.","non-dropping-particle":"","parse-names":false,"suffix":""}],"container-title":"International journal of pharmaceutics","id":"ITEM-1","issue":"1-2","issued":{"date-parts":[["2010","12"]]},"page":"27-36","publisher":"Int J Pharm","title":"Comparison of in vitro cell models in predicting in vivo brain entry of drugs","type":"article-journal","volume":"402"},"uris":["http://www.mendeley.com/documents/?uuid=868a41a3-2bbd-4732-ad2c-2054108ce6c9"]}],"mendeley":{"formattedCitation":"(4)","plainTextFormattedCitation":"(4)","previouslyFormattedCitation":"(4)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w:t>
            </w:r>
            <w:r w:rsidRPr="00A97EA2">
              <w:rPr>
                <w:rFonts w:ascii="Calibri" w:hAnsi="Calibri" w:cs="Calibri"/>
                <w:sz w:val="20"/>
                <w:szCs w:val="20"/>
                <w:lang w:val="en-US"/>
              </w:rPr>
              <w:fldChar w:fldCharType="end"/>
            </w:r>
          </w:p>
        </w:tc>
      </w:tr>
      <w:tr w:rsidR="00AD5A62" w:rsidRPr="00A97EA2" w14:paraId="68371A42" w14:textId="77777777" w:rsidTr="00405626">
        <w:tc>
          <w:tcPr>
            <w:tcW w:w="2127" w:type="dxa"/>
          </w:tcPr>
          <w:p w14:paraId="255990F0"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tramadol</w:t>
            </w:r>
          </w:p>
        </w:tc>
        <w:tc>
          <w:tcPr>
            <w:tcW w:w="1559" w:type="dxa"/>
            <w:vAlign w:val="bottom"/>
          </w:tcPr>
          <w:p w14:paraId="1BB44F43" w14:textId="2E2FF799"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1.59</w:t>
            </w:r>
          </w:p>
        </w:tc>
        <w:tc>
          <w:tcPr>
            <w:tcW w:w="1417" w:type="dxa"/>
          </w:tcPr>
          <w:p w14:paraId="6F518964"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2.9</w:t>
            </w:r>
          </w:p>
        </w:tc>
        <w:tc>
          <w:tcPr>
            <w:tcW w:w="3884" w:type="dxa"/>
          </w:tcPr>
          <w:p w14:paraId="2610A92E" w14:textId="663BD26C"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{"citationItems":[{"id":"ITEM-1","itemData":{"DOI":"10.1002/jps.24691","ISSN":"15206017","PMID":"26554532","abstract":"Brain microdialysis is a powerful tool to estimate brain-to-plasma unbound concentration ratio at the steady state (Kp,uu) of compounds by direct measurement of the unbound concentration in brain interstitial fluid. Here, we evaluated a method to estimate Kp,uu values of multiple organic-cationic drugs simultaneously, by means of brain microdialysis combined with cocktail dosing. Five cationic drugs (diphenhydramine, memantine, oxycodone, pyrilamine, and tramadol), substrates of the proton-coupled organic cation antiport system, were selected as model drugs, and compared under single-dosing and cocktail-dosing conditions. We selected doses of the drugs at which no significant drug-drug interaction occurs at the proton-coupled organic cation antiport system in the blood-brain barrier (BBB). This was confirmed by uptake studies in hCMEC/D3 cells, an in vitro BBB model. The Kp,uu values after cocktail administration were in the range of 1.8-5.2, and were in good agreement with those after single administration. These results suggest that the microdialysis method with cocktail dosing is suitable to estimate Kp,uu values of several cationic drugs simultaneously, if there is no drug-drug interaction during BBB transport. The method could be useful for evaluating drug candidates with high Kp,uu values at an early stage in the development of central nervous system-acting drugs.","author":[{"dropping-particle":"","family":"Kitamura","given":"Atsushi","non-dropping-particle":"","parse-names":false,"suffix":""},{"dropping-particle":"","family":"Okura","given":"Takashi","non-dropping-particle":"","parse-names":false,"suffix":""},{"dropping-particle":"","family":"Higuchi","given":"Kei","non-dropping-particle":"","parse-names":false,"suffix":""},{"dropping-particle":"","family":"Deguchi","given":"Yoshiharu","non-dropping-particle":"","parse-names":false,"suffix":""}],"container-title":"Journal of Pharmaceutical Sciences","id":"ITEM-1","issue":"2","issued":{"date-parts":[["2016"]]},"page":"935-940","publisher":"Elsevier Ltd","title":"Cocktail-Dosing Microdialysis Study to Simultaneously Assess Delivery of Multiple Organic-Cationic Drugs to the Brain","type":"article-journal","volume":"105"},"uris":["http://www.mendeley.com/documents/?uuid=d1bdcfcc-ff8a-4a3a-99a5-a40124ab3aec"]}],"mendeley":{"formattedCitation":"(22)","plainTextFormattedCitation":"(22)","previouslyFormattedCitation":"(22)"},"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(22)</w:t>
            </w:r>
            <w:r w:rsidRPr="00A97EA2">
              <w:rPr>
                <w:rFonts w:ascii="Calibri" w:hAnsi="Calibri" w:cs="Calibri"/>
                <w:sz w:val="20"/>
                <w:szCs w:val="20"/>
                <w:lang w:val="en-US"/>
              </w:rPr>
              <w:fldChar w:fldCharType="end"/>
            </w:r>
          </w:p>
        </w:tc>
      </w:tr>
      <w:tr w:rsidR="00AD5A62" w:rsidRPr="00A97EA2" w14:paraId="5C4BFDDC" w14:textId="77777777" w:rsidTr="00405626">
        <w:tc>
          <w:tcPr>
            <w:tcW w:w="2127" w:type="dxa"/>
          </w:tcPr>
          <w:p w14:paraId="24F739EF"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varenicline</w:t>
            </w:r>
          </w:p>
        </w:tc>
        <w:tc>
          <w:tcPr>
            <w:tcW w:w="1559" w:type="dxa"/>
            <w:vAlign w:val="bottom"/>
          </w:tcPr>
          <w:p w14:paraId="43473C36" w14:textId="20C533EE"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0.58</w:t>
            </w:r>
          </w:p>
        </w:tc>
        <w:tc>
          <w:tcPr>
            <w:tcW w:w="1417" w:type="dxa"/>
          </w:tcPr>
          <w:p w14:paraId="1EDDBE0F"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0.96</w:t>
            </w:r>
          </w:p>
        </w:tc>
        <w:tc>
          <w:tcPr>
            <w:tcW w:w="3884" w:type="dxa"/>
          </w:tcPr>
          <w:p w14:paraId="3BD10224" w14:textId="4FD49DD8"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{"citationItems":[{"id":"ITEM-1","itemData":{"DOI":"10.1016/J.NEUROPHARM.2013.04.027","ISSN":"1873-7064","PMID":"23639435","abstract":"Inhibition of central α4b2 nAChRs by antidepressants, proposed to contribute to their clinical efficacy, was assessed for monoamine reuptake inhibitors (amitriptyline, nortriptyline, fluoxetine, sertraline, paroxetine, citalopram) by comparing projected human unbound brain drug concentrations (Cu,b) at therapeutic doses with concentrations that inhibit human α4b2 nAChRs in vitro. Inhibitory concentrations (IC50) were determined by patch clamp and ranged from 0.8e3.2 mM, except for nortriptyline (IC50 = 100 nM). Cu,b values were calculated from human unbound plasma drug concentrations (Cu,p) and rat-derived brain-to-plasma and extracellular fluid-to-plasma ratios for the unbound drug, which are near unity, due to much higher brain tissue binding than plasma protein binding of these drugs. Accordingly in humans, antidepressant Cu,b are projected to essentially equal Cu,p, with average values from 3e87 nM, which are 30-to-250-fold below their IC50 concentrations. Based on our model, monoaminergic antidepressants minimally inhibit central nAChRs and it is unlikely that α4b2 nAChR antagonism contributes to their antidepressant activity. Nortriptyline is an exception with a Cu,b that is 2-fold below its IC50, which is comparable to the nAChR antagonist (-)-mecamylamine, for which Cu,b is 4-fold below its IC50; both drugs will inhibit a substantial fraction of α4b2 nAChRs. The Cu,b of the α4b2 nAChR partial agonist varenicline, which has antidepressant-like activity in a murine model, is higher than its IC50 and varenicline is projected to cause w70% inhibition of α4b2 nAChRs. Taken together these data may help explain the negative outcome of recent antidepressant augmentation trials with mecamylamine and the partial agonist CP-601927. © 2013 Elsevier Ltd. All rights reserved.","author":[{"dropping-particle":"","family":"Weber","given":"Mark L.","non-dropping-particle":"","parse-names":false,"suffix":""},{"dropping-particle":"","family":"Hofland","given":"Corry M.","non-dropping-particle":"","parse-names":false,"suffix":""},{"dropping-particle":"","family":"Shaffer","given":"Christopher L.","non-dropping-particle":"","parse-names":false,"suffix":""},{"dropping-particle":"","family":"Flik","given":"Gunnar","non-dropping-particle":"","parse-names":false,"suffix":""},{"dropping-particle":"","family":"Cremers","given":"Thomas","non-dropping-particle":"","parse-names":false,"suffix":""},{"dropping-particle":"","family":"Hurst","given":"Raymond S.","non-dropping-particle":"","parse-names":false,"suffix":""},{"dropping-particle":"","family":"Rollema","given":"Hans","non-dropping-particle":"","parse-names":false,"suffix":""}],"container-title":"Neuropharmacology","id":"ITEM-1","issued":{"date-parts":[["2013"]]},"page":"88-95","publisher":"Neuropharmacology","title":"Therapeutic doses of antidepressants are projected not to inhibit human α4β2 nicotinic acetylcholine receptors","type":"article-journal","volume":"72"},"uris":["http://www.mendeley.com/documents/?uuid=586a4e57-8c43-470d-b44e-405e01cf553f"]}],"mendeley":{"formattedCitation":"(16)","plainTextFormattedCitation":"(16)","previouslyFormattedCitation":"(16)"},"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(16)</w:t>
            </w:r>
            <w:r w:rsidRPr="00A97EA2">
              <w:rPr>
                <w:rFonts w:ascii="Calibri" w:hAnsi="Calibri" w:cs="Calibri"/>
                <w:sz w:val="20"/>
                <w:szCs w:val="20"/>
                <w:lang w:val="en-US"/>
              </w:rPr>
              <w:fldChar w:fldCharType="end"/>
            </w:r>
          </w:p>
        </w:tc>
      </w:tr>
      <w:tr w:rsidR="00AD5A62" w:rsidRPr="009B40F1" w14:paraId="3AEDD164" w14:textId="77777777" w:rsidTr="00405626">
        <w:tc>
          <w:tcPr>
            <w:tcW w:w="2127" w:type="dxa"/>
          </w:tcPr>
          <w:p w14:paraId="6A56D881"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zidovudine</w:t>
            </w:r>
          </w:p>
        </w:tc>
        <w:tc>
          <w:tcPr>
            <w:tcW w:w="1559" w:type="dxa"/>
            <w:vAlign w:val="bottom"/>
          </w:tcPr>
          <w:p w14:paraId="057E5D94" w14:textId="28D888A4" w:rsidR="00AD5A62" w:rsidRPr="009B40F1" w:rsidRDefault="006E15B3" w:rsidP="00AD5A62">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0.15</w:t>
            </w:r>
          </w:p>
        </w:tc>
        <w:tc>
          <w:tcPr>
            <w:tcW w:w="1417" w:type="dxa"/>
          </w:tcPr>
          <w:p w14:paraId="5BD899E8" w14:textId="77777777"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t>0.15</w:t>
            </w:r>
          </w:p>
        </w:tc>
        <w:tc>
          <w:tcPr>
            <w:tcW w:w="3884" w:type="dxa"/>
          </w:tcPr>
          <w:p w14:paraId="1F953A64" w14:textId="083146E0" w:rsidR="00AD5A62" w:rsidRPr="00A97EA2" w:rsidRDefault="00AD5A62" w:rsidP="00AD5A62">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sidR="00FB520A">
              <w:rPr>
                <w:rFonts w:ascii="Calibri" w:hAnsi="Calibri" w:cs="Calibri"/>
                <w:sz w:val="20"/>
                <w:szCs w:val="20"/>
                <w:lang w:val="en-US"/>
              </w:rPr>
              <w:instrText>ADDIN CSL_CITATION {"citationItems":[{"id":"ITEM-1","itemData":{"DOI":"10.1023/A:1012191515035","ISSN":"07248741","PMID":"9244142","abstract":"Purpose. To study the extent and time course of distribution of stavudine (d4T) into the central nervous system (CNS) and to investigate the transport mechanisms of antiviral nucleosides in the CNS. Methods. Microdialysis with on-line HPLC analysis was used to measure drug concentrations in the brain extracellular fluid (ECF) and cerebrospinal fluid (CSF) in the freely-moving rat. The in vivo recovery of d4T and zidovudine (AZT) was estimated by retrodialysis, which was validated by the zero-net flux method. The CNS distribution of d4T was investigated during iv and intracerebroventricular (icv) infusion. In the subsequent studies, the effect of AZT on CNS distribution of d4T was examined. Results. During iv infusion, d4T distributed rapidly into the CNS. Its brain ECF/plasma and CSF/plasma steady-state concentration ratios were 0.33 ± 0.06 and 0.49 ± 0.12, respectively (n = 15). During icv infusion, the steady-state d4T concentrations in the brain ECF were 23-fold higher than those during iv infusion, whereas its steady-state plasma levels were about the same for these two routes. Coadministration of AZT with d4T did not alter their respective brain distribution and systemic clearance at the concentrations examined. More importantly, the steady-state brain ECF/plasma and CSF/plasma concentration ratios of d4T were about 2-fold higher than those of AZT (0.15 ± 0.04 and 0.25 ± 0.08) determined in the same animals. Conclusions. d4T readily crosses the brood-brain barrier (BBB) and blood-CSF barrier. An active efflux transport system in the BBB and blood-CSF barrier may be involved in transporting d4T out of the CNS. Direct icv administration of d4T can be used to enhance its brain delivery. Moreover, d4T exhibits a more favorable penetration into the CNS than AZT and therefore may be useful in the treatment of AIDS dementia complex.","author":[{"dropping-particle":"","family":"Yang","given":"Zheng","non-dropping-particle":"","parse-names":false,"suffix":""},{"dropping-particle":"","family":"Brundage","given":"Richard C.","non-dropping-particle":"","parse-names":false,"suffix":""},{"dropping-particle":"","family":"Barbhaiya","given":"Rashmi H.","non-dropping-particle":"","parse-names":false,"suffix":""},{"dropping-particle":"","family":"Sawchuk","given":"Ronald J.","non-dropping-particle":"","parse-names":false,"suffix":""}],"container-title":"Pharmaceutical Research","id":"ITEM-1","issue":"7","issued":{"date-parts":[["1997"]]},"page":"865-872","title":"Microdialysis studies of the distribution of stavudine into the central nervous system in the freely-moving rat","type":"article","volume":"14"},"uris":["http://www.mendeley.com/documents/?uuid=60b0b080-043e-4297-aa4e-61045983d471"]}],"mendeley":{"formattedCitation":"(45)","plainTextFormattedCitation":"(45)","previouslyFormattedCitation":"(45)"},"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(45)</w:t>
            </w:r>
            <w:r w:rsidRPr="00A97EA2">
              <w:rPr>
                <w:rFonts w:ascii="Calibri" w:hAnsi="Calibri" w:cs="Calibri"/>
                <w:sz w:val="20"/>
                <w:szCs w:val="20"/>
                <w:lang w:val="en-US"/>
              </w:rPr>
              <w:fldChar w:fldCharType="end"/>
            </w:r>
          </w:p>
        </w:tc>
      </w:tr>
      <w:tr w:rsidR="00543737" w:rsidRPr="009B40F1" w14:paraId="4D108D5C" w14:textId="77777777" w:rsidTr="001B6FBE">
        <w:tc>
          <w:tcPr>
            <w:tcW w:w="8987" w:type="dxa"/>
            <w:gridSpan w:val="4"/>
          </w:tcPr>
          <w:p w14:paraId="31AB4CD7" w14:textId="77777777" w:rsidR="00543737" w:rsidRDefault="00543737" w:rsidP="00C20571">
            <w:pPr>
              <w:spacing w:line="276" w:lineRule="auto"/>
              <w:rPr>
                <w:rFonts w:ascii="Calibri" w:hAnsi="Calibri" w:cs="Calibri"/>
                <w:i/>
                <w:iCs/>
                <w:sz w:val="16"/>
                <w:szCs w:val="18"/>
                <w:lang w:val="en-US"/>
              </w:rPr>
            </w:pPr>
            <w:r w:rsidRPr="00543737">
              <w:rPr>
                <w:rFonts w:ascii="Calibri" w:hAnsi="Calibri" w:cs="Calibri"/>
                <w:i/>
                <w:iCs/>
                <w:sz w:val="16"/>
                <w:szCs w:val="18"/>
                <w:lang w:val="en-US"/>
              </w:rPr>
              <w:t>* The K</w:t>
            </w:r>
            <w:r w:rsidRPr="00543737">
              <w:rPr>
                <w:rFonts w:ascii="Calibri" w:hAnsi="Calibri" w:cs="Calibri"/>
                <w:i/>
                <w:iCs/>
                <w:sz w:val="16"/>
                <w:szCs w:val="18"/>
                <w:vertAlign w:val="subscript"/>
                <w:lang w:val="en-US"/>
              </w:rPr>
              <w:t>p,uu,BBB</w:t>
            </w:r>
            <w:r w:rsidRPr="00543737">
              <w:rPr>
                <w:rFonts w:ascii="Calibri" w:hAnsi="Calibri" w:cs="Calibri"/>
                <w:i/>
                <w:iCs/>
                <w:sz w:val="16"/>
                <w:szCs w:val="18"/>
                <w:lang w:val="en-US"/>
              </w:rPr>
              <w:t xml:space="preserve"> values are not determined at steady state neither the area under the curve values are extrapolated to infinity</w:t>
            </w:r>
            <w:r>
              <w:rPr>
                <w:rFonts w:ascii="Calibri" w:hAnsi="Calibri" w:cs="Calibri"/>
                <w:i/>
                <w:iCs/>
                <w:sz w:val="16"/>
                <w:szCs w:val="18"/>
                <w:lang w:val="en-US"/>
              </w:rPr>
              <w:t>.</w:t>
            </w:r>
          </w:p>
          <w:p w14:paraId="0F5BBA8E" w14:textId="40BCE3DF" w:rsidR="00543737" w:rsidRPr="00543737" w:rsidRDefault="00543737" w:rsidP="00C20571">
            <w:pPr>
              <w:spacing w:line="276" w:lineRule="auto"/>
              <w:rPr>
                <w:rFonts w:ascii="Calibri" w:hAnsi="Calibri" w:cs="Calibri"/>
                <w:i/>
                <w:iCs/>
                <w:sz w:val="16"/>
                <w:szCs w:val="18"/>
                <w:lang w:val="en-US"/>
              </w:rPr>
            </w:pPr>
            <w:r w:rsidRPr="009B40F1">
              <w:rPr>
                <w:rFonts w:ascii="Calibri" w:hAnsi="Calibri" w:cs="Calibri"/>
                <w:i/>
                <w:iCs/>
                <w:color w:val="0070C0"/>
                <w:sz w:val="16"/>
                <w:szCs w:val="18"/>
                <w:lang w:val="en-US"/>
              </w:rPr>
              <w:t xml:space="preserve"># </w:t>
            </w:r>
            <w:r w:rsidR="006E15B3" w:rsidRPr="009B40F1">
              <w:rPr>
                <w:rFonts w:ascii="Calibri" w:hAnsi="Calibri" w:cs="Calibri"/>
                <w:i/>
                <w:iCs/>
                <w:color w:val="0070C0"/>
                <w:sz w:val="16"/>
                <w:szCs w:val="18"/>
                <w:lang w:val="en-US"/>
              </w:rPr>
              <w:t>These compounds are excluded since they have a Tanimoto similarity higher of 0.7</w:t>
            </w:r>
            <w:r w:rsidR="00311848" w:rsidRPr="009B40F1">
              <w:rPr>
                <w:rFonts w:ascii="Calibri" w:hAnsi="Calibri" w:cs="Calibri"/>
                <w:i/>
                <w:iCs/>
                <w:color w:val="0070C0"/>
                <w:sz w:val="16"/>
                <w:szCs w:val="18"/>
                <w:lang w:val="en-US"/>
              </w:rPr>
              <w:t xml:space="preserve"> </w:t>
            </w:r>
          </w:p>
        </w:tc>
      </w:tr>
    </w:tbl>
    <w:p w14:paraId="5086B29B" w14:textId="7768111C" w:rsidR="008F7757" w:rsidRDefault="008F7757" w:rsidP="008F7757">
      <w:pPr>
        <w:pStyle w:val="Caption"/>
        <w:spacing w:line="276" w:lineRule="auto"/>
        <w:rPr>
          <w:rFonts w:ascii="Calibri" w:hAnsi="Calibri" w:cs="Calibri"/>
          <w:color w:val="auto"/>
          <w:lang w:val="en-US"/>
        </w:rPr>
      </w:pPr>
    </w:p>
    <w:p w14:paraId="19C91ADC" w14:textId="77777777" w:rsidR="00543737" w:rsidRPr="00543737" w:rsidRDefault="00543737" w:rsidP="00543737">
      <w:pPr>
        <w:rPr>
          <w:lang w:val="en-US"/>
        </w:rPr>
      </w:pPr>
    </w:p>
    <w:p w14:paraId="2FC7F150" w14:textId="77777777" w:rsidR="008308A7" w:rsidRPr="008308A7" w:rsidRDefault="008308A7" w:rsidP="008308A7">
      <w:pPr>
        <w:rPr>
          <w:lang w:val="en-US"/>
        </w:rPr>
      </w:pPr>
    </w:p>
    <w:p w14:paraId="26332866" w14:textId="6318A585" w:rsidR="008308A7" w:rsidRPr="008308A7" w:rsidRDefault="008308A7" w:rsidP="008308A7">
      <w:pPr>
        <w:pStyle w:val="Caption"/>
        <w:keepNext/>
        <w:rPr>
          <w:rFonts w:ascii="Calibri" w:hAnsi="Calibri" w:cs="Calibri"/>
          <w:b/>
          <w:bCs/>
          <w:color w:val="auto"/>
          <w:lang w:val="en-US"/>
        </w:rPr>
      </w:pPr>
      <w:r w:rsidRPr="008308A7">
        <w:rPr>
          <w:rFonts w:ascii="Calibri" w:hAnsi="Calibri" w:cs="Calibri"/>
          <w:b/>
          <w:bCs/>
          <w:color w:val="auto"/>
          <w:lang w:val="en-US"/>
        </w:rPr>
        <w:t xml:space="preserve">Table </w:t>
      </w:r>
      <w:r w:rsidR="0040537D" w:rsidRPr="0040537D">
        <w:rPr>
          <w:rFonts w:ascii="Calibri" w:hAnsi="Calibri" w:cs="Calibri"/>
          <w:b/>
          <w:bCs/>
          <w:color w:val="auto"/>
          <w:lang w:val="en-US"/>
        </w:rPr>
        <w:t>3</w:t>
      </w:r>
      <w:r w:rsidRPr="008308A7">
        <w:rPr>
          <w:rFonts w:ascii="Calibri" w:hAnsi="Calibri" w:cs="Calibri"/>
          <w:b/>
          <w:bCs/>
          <w:color w:val="auto"/>
          <w:lang w:val="en-US"/>
        </w:rPr>
        <w:t xml:space="preserve"> List of included drugs with the observed and predicted K</w:t>
      </w:r>
      <w:r w:rsidRPr="008308A7">
        <w:rPr>
          <w:rFonts w:ascii="Calibri" w:hAnsi="Calibri" w:cs="Calibri"/>
          <w:b/>
          <w:bCs/>
          <w:color w:val="auto"/>
          <w:vertAlign w:val="subscript"/>
          <w:lang w:val="en-US"/>
        </w:rPr>
        <w:t>p,uu,BBB</w:t>
      </w:r>
      <w:r w:rsidRPr="008308A7">
        <w:rPr>
          <w:rFonts w:ascii="Calibri" w:hAnsi="Calibri" w:cs="Calibri"/>
          <w:b/>
          <w:bCs/>
          <w:color w:val="auto"/>
          <w:lang w:val="en-US"/>
        </w:rPr>
        <w:t xml:space="preserve"> values within the </w:t>
      </w:r>
      <w:r w:rsidRPr="00AD5A62">
        <w:rPr>
          <w:rFonts w:ascii="Calibri" w:hAnsi="Calibri" w:cs="Calibri"/>
          <w:b/>
          <w:bCs/>
          <w:color w:val="0070C0"/>
          <w:lang w:val="en-US"/>
        </w:rPr>
        <w:t>test set.</w:t>
      </w:r>
    </w:p>
    <w:tbl>
      <w:tblPr>
        <w:tblStyle w:val="TableGrid"/>
        <w:tblW w:w="89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559"/>
        <w:gridCol w:w="1417"/>
        <w:gridCol w:w="3884"/>
      </w:tblGrid>
      <w:tr w:rsidR="001A5F4F" w:rsidRPr="009B40F1" w14:paraId="185E6949" w14:textId="77777777" w:rsidTr="001A5F4F">
        <w:tc>
          <w:tcPr>
            <w:tcW w:w="2127" w:type="dxa"/>
            <w:vMerge w:val="restart"/>
          </w:tcPr>
          <w:p w14:paraId="655936C0" w14:textId="77777777" w:rsidR="001A5F4F" w:rsidRPr="00A97EA2" w:rsidRDefault="001A5F4F" w:rsidP="006F278C">
            <w:pPr>
              <w:rPr>
                <w:rFonts w:ascii="Calibri" w:hAnsi="Calibri" w:cs="Calibri"/>
                <w:b/>
                <w:bCs/>
                <w:sz w:val="20"/>
                <w:szCs w:val="20"/>
                <w:lang w:val="en-US"/>
              </w:rPr>
            </w:pPr>
            <w:r w:rsidRPr="00A97EA2">
              <w:rPr>
                <w:rFonts w:ascii="Calibri" w:hAnsi="Calibri" w:cs="Calibri"/>
                <w:b/>
                <w:bCs/>
                <w:sz w:val="20"/>
                <w:szCs w:val="20"/>
                <w:lang w:val="en-US"/>
              </w:rPr>
              <w:t>Drug</w:t>
            </w:r>
          </w:p>
        </w:tc>
        <w:tc>
          <w:tcPr>
            <w:tcW w:w="2976" w:type="dxa"/>
            <w:gridSpan w:val="2"/>
          </w:tcPr>
          <w:p w14:paraId="662F1D31" w14:textId="77777777" w:rsidR="001A5F4F" w:rsidRPr="00A97EA2" w:rsidRDefault="001A5F4F" w:rsidP="006F278C">
            <w:pPr>
              <w:rPr>
                <w:rFonts w:ascii="Calibri" w:hAnsi="Calibri" w:cs="Calibri"/>
                <w:b/>
                <w:bCs/>
                <w:sz w:val="20"/>
                <w:szCs w:val="20"/>
                <w:lang w:val="en-US"/>
              </w:rPr>
            </w:pPr>
            <w:r w:rsidRPr="00A97EA2">
              <w:rPr>
                <w:rFonts w:ascii="Calibri" w:hAnsi="Calibri" w:cs="Calibri"/>
                <w:b/>
                <w:bCs/>
                <w:sz w:val="20"/>
                <w:szCs w:val="20"/>
                <w:lang w:val="en-US"/>
              </w:rPr>
              <w:t>K</w:t>
            </w:r>
            <w:r w:rsidRPr="00A97EA2">
              <w:rPr>
                <w:rFonts w:ascii="Calibri" w:hAnsi="Calibri" w:cs="Calibri"/>
                <w:b/>
                <w:bCs/>
                <w:sz w:val="20"/>
                <w:szCs w:val="20"/>
                <w:vertAlign w:val="subscript"/>
                <w:lang w:val="en-US"/>
              </w:rPr>
              <w:t>p,uu,BBB</w:t>
            </w:r>
          </w:p>
        </w:tc>
        <w:tc>
          <w:tcPr>
            <w:tcW w:w="3884" w:type="dxa"/>
            <w:vMerge w:val="restart"/>
          </w:tcPr>
          <w:p w14:paraId="387FC2BC" w14:textId="77777777" w:rsidR="001A5F4F" w:rsidRPr="00A97EA2" w:rsidRDefault="001A5F4F" w:rsidP="006F278C">
            <w:pPr>
              <w:rPr>
                <w:rFonts w:ascii="Calibri" w:hAnsi="Calibri" w:cs="Calibri"/>
                <w:b/>
                <w:bCs/>
                <w:sz w:val="20"/>
                <w:szCs w:val="20"/>
                <w:lang w:val="en-US"/>
              </w:rPr>
            </w:pPr>
            <w:r w:rsidRPr="00A97EA2">
              <w:rPr>
                <w:rFonts w:ascii="Calibri" w:hAnsi="Calibri" w:cs="Calibri"/>
                <w:b/>
                <w:bCs/>
                <w:sz w:val="20"/>
                <w:szCs w:val="20"/>
                <w:lang w:val="en-US"/>
              </w:rPr>
              <w:t>Ref</w:t>
            </w:r>
          </w:p>
        </w:tc>
      </w:tr>
      <w:tr w:rsidR="001A5F4F" w:rsidRPr="009B40F1" w14:paraId="27A5CC4D" w14:textId="77777777" w:rsidTr="001A5F4F">
        <w:tc>
          <w:tcPr>
            <w:tcW w:w="2127" w:type="dxa"/>
            <w:vMerge/>
            <w:tcBorders>
              <w:bottom w:val="single" w:sz="18" w:space="0" w:color="auto"/>
            </w:tcBorders>
          </w:tcPr>
          <w:p w14:paraId="78F9D7D4" w14:textId="77777777" w:rsidR="001A5F4F" w:rsidRPr="00A97EA2" w:rsidRDefault="001A5F4F" w:rsidP="006F278C">
            <w:pPr>
              <w:rPr>
                <w:rFonts w:ascii="Calibri" w:hAnsi="Calibri" w:cs="Calibri"/>
                <w:sz w:val="20"/>
                <w:szCs w:val="20"/>
                <w:lang w:val="en-US"/>
              </w:rPr>
            </w:pPr>
          </w:p>
        </w:tc>
        <w:tc>
          <w:tcPr>
            <w:tcW w:w="1559" w:type="dxa"/>
            <w:tcBorders>
              <w:bottom w:val="single" w:sz="18" w:space="0" w:color="auto"/>
            </w:tcBorders>
          </w:tcPr>
          <w:p w14:paraId="770E8670" w14:textId="77777777" w:rsidR="001A5F4F" w:rsidRPr="00A97EA2" w:rsidRDefault="001A5F4F" w:rsidP="006F278C">
            <w:pPr>
              <w:rPr>
                <w:rFonts w:ascii="Calibri" w:hAnsi="Calibri" w:cs="Calibri"/>
                <w:sz w:val="20"/>
                <w:szCs w:val="20"/>
                <w:lang w:val="en-US"/>
              </w:rPr>
            </w:pPr>
            <w:r w:rsidRPr="00A97EA2">
              <w:rPr>
                <w:rFonts w:ascii="Calibri" w:hAnsi="Calibri" w:cs="Calibri"/>
                <w:sz w:val="20"/>
                <w:szCs w:val="20"/>
                <w:lang w:val="en-US"/>
              </w:rPr>
              <w:t>Predicted</w:t>
            </w:r>
          </w:p>
        </w:tc>
        <w:tc>
          <w:tcPr>
            <w:tcW w:w="1417" w:type="dxa"/>
            <w:tcBorders>
              <w:bottom w:val="single" w:sz="18" w:space="0" w:color="auto"/>
            </w:tcBorders>
          </w:tcPr>
          <w:p w14:paraId="034868BB" w14:textId="77777777" w:rsidR="001A5F4F" w:rsidRPr="00A97EA2" w:rsidRDefault="001A5F4F" w:rsidP="006F278C">
            <w:pPr>
              <w:rPr>
                <w:rFonts w:ascii="Calibri" w:hAnsi="Calibri" w:cs="Calibri"/>
                <w:sz w:val="20"/>
                <w:szCs w:val="20"/>
                <w:lang w:val="en-US"/>
              </w:rPr>
            </w:pPr>
            <w:r w:rsidRPr="00A97EA2">
              <w:rPr>
                <w:rFonts w:ascii="Calibri" w:hAnsi="Calibri" w:cs="Calibri"/>
                <w:sz w:val="20"/>
                <w:szCs w:val="20"/>
                <w:lang w:val="en-US"/>
              </w:rPr>
              <w:t>Observed</w:t>
            </w:r>
          </w:p>
        </w:tc>
        <w:tc>
          <w:tcPr>
            <w:tcW w:w="3884" w:type="dxa"/>
            <w:vMerge/>
            <w:tcBorders>
              <w:bottom w:val="single" w:sz="18" w:space="0" w:color="auto"/>
            </w:tcBorders>
          </w:tcPr>
          <w:p w14:paraId="0BE69319" w14:textId="77777777" w:rsidR="001A5F4F" w:rsidRPr="00A97EA2" w:rsidRDefault="001A5F4F" w:rsidP="006F278C">
            <w:pPr>
              <w:rPr>
                <w:rFonts w:ascii="Calibri" w:hAnsi="Calibri" w:cs="Calibri"/>
                <w:sz w:val="20"/>
                <w:szCs w:val="20"/>
                <w:lang w:val="en-US"/>
              </w:rPr>
            </w:pPr>
          </w:p>
        </w:tc>
      </w:tr>
      <w:tr w:rsidR="005C000D" w:rsidRPr="00A97EA2" w14:paraId="6F485FA6" w14:textId="77777777" w:rsidTr="00BC29AE">
        <w:trPr>
          <w:trHeight w:val="283"/>
        </w:trPr>
        <w:tc>
          <w:tcPr>
            <w:tcW w:w="2127" w:type="dxa"/>
            <w:tcBorders>
              <w:top w:val="single" w:sz="18" w:space="0" w:color="auto"/>
            </w:tcBorders>
          </w:tcPr>
          <w:p w14:paraId="1E9B6282"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acetaminophen</w:t>
            </w:r>
          </w:p>
        </w:tc>
        <w:tc>
          <w:tcPr>
            <w:tcW w:w="1559" w:type="dxa"/>
            <w:tcBorders>
              <w:top w:val="single" w:sz="18" w:space="0" w:color="auto"/>
            </w:tcBorders>
            <w:vAlign w:val="bottom"/>
          </w:tcPr>
          <w:p w14:paraId="1C244AB0" w14:textId="2A799F03"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lang w:val="en-US"/>
              </w:rPr>
              <w:t>0.36</w:t>
            </w:r>
          </w:p>
        </w:tc>
        <w:tc>
          <w:tcPr>
            <w:tcW w:w="1417" w:type="dxa"/>
            <w:tcBorders>
              <w:top w:val="single" w:sz="18" w:space="0" w:color="auto"/>
            </w:tcBorders>
          </w:tcPr>
          <w:p w14:paraId="3751FEA1"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0.73</w:t>
            </w:r>
          </w:p>
        </w:tc>
        <w:tc>
          <w:tcPr>
            <w:tcW w:w="3884" w:type="dxa"/>
            <w:tcBorders>
              <w:top w:val="single" w:sz="18" w:space="0" w:color="auto"/>
            </w:tcBorders>
          </w:tcPr>
          <w:p w14:paraId="5FA24545" w14:textId="4DDCBB51"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{"citationItems":[{"id":"ITEM-1","itemData":{"DOI":"10.1124/jpet.116.232447","ISSN":"15210103","abstract":"Assessing the equilibration of the unbound drug concentrations across the blood-brain barrier (Kp,uu) has progressively replaced the partition coefficient based on the ratio of the total concentration in brain tissue to blood (Kp). Here, in vivo brain distribution studies were performed on a set of central nervous system (CNS)'targeted compounds in both rats and P-glycoprotein (P-gp) genetic knockout mice. Several CNS drugs are characterized by Kp,uu values greater than unity, inferring facilitated uptake across the rodent blood-brain barrier (BBB). Examples are shown in which Kp,uu also increases above unity on knockout of P-gp, highlighting the composite nature of this parameter with respect to facilitated BBB uptake, efflux, and passive diffusion. Several molecules with high Kp,uu values share common structural elements, whereas uptake across the BBB appears more prevalent in the CNS-targeted drug set than the chemical templates being generated within the current lead optimization paradigm. Challenges for identifying high Kp,uu compounds are discussed in the context of acute versus steady-state data and cross-species differences. Evidently, there is a need for better predictive models of human brain Kp,uu.","author":[{"dropping-particle":"","family":"Summerfield","given":"Scott G.","non-dropping-particle":"","parse-names":false,"suffix":""},{"dropping-particle":"","family":"Zhang","given":"Yanyan","non-dropping-particle":"","parse-names":false,"suffix":""},{"dropping-particle":"","family":"Liu","given":"Houfu","non-dropping-particle":"","parse-names":false,"suffix":""}],"container-title":"Journal of Pharmacology and Experimental Therapeutics","id":"ITEM-1","issue":"2","issued":{"date-parts":[["2016"]]},"page":"294-305","title":"Examining the uptake of central nervous system drugs and candidates across the blood-brain barrier","type":"article-journal","volume":"358"},"uris":["http://www.mendeley.com/documents/?uuid=1324fe4e-5ca1-4bfc-b5e4-d07da708655e"]}],"mendeley":{"formattedCitation":"(11)","plainTextFormattedCitation":"(11)","previouslyFormattedCitation":"(11)"},"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(11)</w:t>
            </w:r>
            <w:r w:rsidRPr="00A97EA2">
              <w:rPr>
                <w:rFonts w:ascii="Calibri" w:hAnsi="Calibri" w:cs="Calibri"/>
                <w:sz w:val="20"/>
                <w:szCs w:val="20"/>
                <w:lang w:val="en-US"/>
              </w:rPr>
              <w:fldChar w:fldCharType="end"/>
            </w:r>
          </w:p>
        </w:tc>
      </w:tr>
      <w:tr w:rsidR="005C000D" w:rsidRPr="00A97EA2" w14:paraId="0A1017FB" w14:textId="77777777" w:rsidTr="00BC29AE">
        <w:trPr>
          <w:trHeight w:val="283"/>
        </w:trPr>
        <w:tc>
          <w:tcPr>
            <w:tcW w:w="2127" w:type="dxa"/>
          </w:tcPr>
          <w:p w14:paraId="1FAF7A2B"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apomorphine-S</w:t>
            </w:r>
          </w:p>
        </w:tc>
        <w:tc>
          <w:tcPr>
            <w:tcW w:w="1559" w:type="dxa"/>
            <w:vAlign w:val="bottom"/>
          </w:tcPr>
          <w:p w14:paraId="3EF0EE02" w14:textId="2A315189"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0.65</w:t>
            </w:r>
          </w:p>
        </w:tc>
        <w:tc>
          <w:tcPr>
            <w:tcW w:w="1417" w:type="dxa"/>
          </w:tcPr>
          <w:p w14:paraId="3BE7A75B"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5</w:t>
            </w:r>
          </w:p>
        </w:tc>
        <w:tc>
          <w:tcPr>
            <w:tcW w:w="3884" w:type="dxa"/>
          </w:tcPr>
          <w:p w14:paraId="410C25BA" w14:textId="3A6DD44E"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{"citationItems":[{"id":"ITEM-1","itemData":{"DOI":"10.1016/S0014-2999(97)10082-6","ISSN":"00142999","PMID":"9218678","abstract":"Steady-state concentrations of apomorphine enantiomers were measured in the extracellular fluid collected from rat brain striatum by microdialysis. The free and total concentrations of both enantiomers were also measured in plasma as well as the total concentrations in different brain regions (striatum, cortex and cerebellum). We noticed no regional difference in the total concentrations of the two enantiomers. The extracellular concentrations were much lower, amounting to 8% for R(-)-apomorphine and 4% for S(+)-apomorphine, of the total brain tissue concentrations. The microdialysis samples contained 12 times more (R(-)-apomorphine and 5 times more S(+)-apomorphine than the free apomorphine measured in plasma. The extracellular concentrations of R(-)-apomorphine (129 ± 20 pmol/ml) were significantly higher (P = 0.001, n = 6), than those of S(+)-apomorphine (70 ± 10 pmol/ml). These results indicate that both enantiomers of apomorphine concentrate equally in brain cells, and that a stereoselective uptake system could operate for R(-)-apomorphine at the blood-brain barrier level.","author":[{"dropping-particle":"","family":"Sam","given":"Exaud","non-dropping-particle":"","parse-names":false,"suffix":""},{"dropping-particle":"","family":"Sarre","given":"Sophie","non-dropping-particle":"","parse-names":false,"suffix":""},{"dropping-particle":"","family":"Michotte","given":"Yvette","non-dropping-particle":"","parse-names":false,"suffix":""},{"dropping-particle":"","family":"Verbeke","given":"Norbert","non-dropping-particle":"","parse-names":false,"suffix":""}],"container-title":"European Journal of Pharmacology","id":"ITEM-1","issue":"1","issued":{"date-parts":[["1997"]]},"page":"9-15","title":"Distribution of apomorphine enantiomers in plasma, brain tissue and striatal extracellular fluid","type":"article-journal","volume":"329"},"uris":["http://www.mendeley.com/documents/?uuid=6577a8b0-0e44-4b36-945d-0a16ccc0c76f"]}],"mendeley":{"formattedCitation":"(8)","plainTextFormattedCitation":"(8)","previouslyFormattedCitation":"(8)"},"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(8)</w:t>
            </w:r>
            <w:r w:rsidRPr="00A97EA2">
              <w:rPr>
                <w:rFonts w:ascii="Calibri" w:hAnsi="Calibri" w:cs="Calibri"/>
                <w:sz w:val="20"/>
                <w:szCs w:val="20"/>
                <w:lang w:val="en-US"/>
              </w:rPr>
              <w:fldChar w:fldCharType="end"/>
            </w:r>
          </w:p>
        </w:tc>
      </w:tr>
      <w:tr w:rsidR="005C000D" w:rsidRPr="00A97EA2" w14:paraId="0E686064" w14:textId="77777777" w:rsidTr="00BC29AE">
        <w:trPr>
          <w:trHeight w:val="283"/>
        </w:trPr>
        <w:tc>
          <w:tcPr>
            <w:tcW w:w="2127" w:type="dxa"/>
          </w:tcPr>
          <w:p w14:paraId="0EC9E404"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atomoxetine</w:t>
            </w:r>
          </w:p>
        </w:tc>
        <w:tc>
          <w:tcPr>
            <w:tcW w:w="1559" w:type="dxa"/>
            <w:vAlign w:val="bottom"/>
          </w:tcPr>
          <w:p w14:paraId="2C844EE3" w14:textId="60AC2550"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0.95</w:t>
            </w:r>
          </w:p>
        </w:tc>
        <w:tc>
          <w:tcPr>
            <w:tcW w:w="1417" w:type="dxa"/>
          </w:tcPr>
          <w:p w14:paraId="6AD323AB"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0.7</w:t>
            </w:r>
          </w:p>
        </w:tc>
        <w:tc>
          <w:tcPr>
            <w:tcW w:w="3884" w:type="dxa"/>
          </w:tcPr>
          <w:p w14:paraId="410C42B8" w14:textId="6452449A"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{"citationItems":[{"id":"ITEM-1","itemData":{"DOI":"10.1124/DMD.108.023119","ISSN":"1521-009X","PMID":"18936112","abstract":"A comprehensive in vivo evaluation of brain penetrability and central nervous system (CNS) pharmacokinetics of atomoxetine in rats was conducted using brain microdialysis. We sought to determine the nature and extent of transport at the blood-brain barrier (BBB) and blood-cerebrospinal fluid barrier (BCB) and to characterize brain extracellular and cellular disposition. The steady-state extracellular fluid (ECF) to plasma unbound (uP) concentration ratio (C ECF/CuP = 0.7) and the cerebrospinal fluid (CSF) to plasma unbound concentration ratio (CCSF/CuP = 1.7) were both near unity, indicating that atomoxetine transport across the BBB and BCB is primarily passive. On the basis of the ratios of whole brain concentration to CESF (CB/C&lt;ECF = 170), brain cell (BC) concentration to cESF (cBC/cESF = 219), and unbound brain cell concentration to cESF (CUBC/c ECF = 2.9), we conclude that whole brain concentration does not represent the concentration in the biophase and atomoxetine primarily partitions into brain cells. The distributional clearance at the BBB (QBBB = 0.00110 l/h) was estimated to be 12 times more rapid than that at the BCB [QBCB = 0.0000909 l/h) and similar to the clearances across brain parenchyma (CLECF-BC = 0.00216 l/h; CLBC-ECF = 0.000934 l/h). In summary, the first detailed examination using a quantitative microdialysis technique to understand the brain disposition of atomoxetine was conducted. We determined that atomoxetine brain penetration is high, movements across the BBB and BCB occur predominantly by a passive mechanism, and rapid equilibration of ECF and CSF with plasma occurs. Copyright © 2009 by The American Society for Pharmacology and Experimental Therapeutics.","author":[{"dropping-particle":"","family":"Kielbasa","given":"William","non-dropping-particle":"","parse-names":false,"suffix":""},{"dropping-particle":"","family":"Kalvass","given":"J. Cory","non-dropping-particle":"","parse-names":false,"suffix":""},{"dropping-particle":"","family":"Stratford","given":"Robert","non-dropping-particle":"","parse-names":false,"suffix":""}],"container-title":"Drug metabolism and disposition: the biological fate of chemicals","id":"ITEM-1","issue":"1","issued":{"date-parts":[["2009","1"]]},"page":"137-142","publisher":"Drug Metab Dispos","title":"Microdialysis evaluation of atomoxetine brain penetration and central nervous system pharmacokinetics in rats","type":"article-journal","volume":"37"},"uris":["http://www.mendeley.com/documents/?uuid=021b11bb-8a12-41d9-bd05-887e97fe3cd5"]}],"mendeley":{"formattedCitation":"(49)","plainTextFormattedCitation":"(49)","previouslyFormattedCitation":"(49)"},"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(49)</w:t>
            </w:r>
            <w:r w:rsidRPr="00A97EA2">
              <w:rPr>
                <w:rFonts w:ascii="Calibri" w:hAnsi="Calibri" w:cs="Calibri"/>
                <w:sz w:val="20"/>
                <w:szCs w:val="20"/>
                <w:lang w:val="en-US"/>
              </w:rPr>
              <w:fldChar w:fldCharType="end"/>
            </w:r>
          </w:p>
        </w:tc>
      </w:tr>
      <w:tr w:rsidR="005C000D" w:rsidRPr="00A97EA2" w14:paraId="3F7BF1EB" w14:textId="77777777" w:rsidTr="00BC29AE">
        <w:trPr>
          <w:trHeight w:val="283"/>
        </w:trPr>
        <w:tc>
          <w:tcPr>
            <w:tcW w:w="2127" w:type="dxa"/>
          </w:tcPr>
          <w:p w14:paraId="6BD2471C"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bumetanide</w:t>
            </w:r>
          </w:p>
        </w:tc>
        <w:tc>
          <w:tcPr>
            <w:tcW w:w="1559" w:type="dxa"/>
            <w:vAlign w:val="bottom"/>
          </w:tcPr>
          <w:p w14:paraId="5A571F8F" w14:textId="3CBDF73A"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0.10</w:t>
            </w:r>
          </w:p>
        </w:tc>
        <w:tc>
          <w:tcPr>
            <w:tcW w:w="1417" w:type="dxa"/>
          </w:tcPr>
          <w:p w14:paraId="5B629414"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0.013</w:t>
            </w:r>
          </w:p>
        </w:tc>
        <w:tc>
          <w:tcPr>
            <w:tcW w:w="3884" w:type="dxa"/>
          </w:tcPr>
          <w:p w14:paraId="6FD7A904" w14:textId="60BF8D81"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 xml:space="preserve">ADDIN CSL_CITATION {"citationItems":[{"id":"ITEM-1","itemData":{"DOI":"10.1111/JPHP.12341","ISSN":"2042-7158","PMID":"25490899","abstract":"Objectives Recent data highlight the potential of bumetanide as a treatment for neonatal seizures and autism, as it facilitates the excitatory to inhibitory switch in gamma-aminobutyric acid signalling. This study examines the extent of blood-brain barrier (BBB) permeation of bumetanide, a key determinant of the efficacy of centrally acting drugs. Furthermore, the impact of efflux transporter organic anion transporter 3 (oat3) inhibition on bumetanide pharmacokinetics was investigated. Methods Bumetanide levels in extracellular fluid (ECF) and plasma in the presence and absence of oat3 inhibitor probenecid were monitored using integrated microdialysis. Key findings Following a bumetanide bolus/continuous infusion of 10 mg/kg and 6 mg/kg/h, bumetanide was detected in hippocampal ECF at the estimated concentration of 131 ± 55 ng/ml. Plasma bumetanide levels were </w:instrText>
            </w:r>
            <w:r>
              <w:rPr>
                <w:rFonts w:ascii="Cambria Math" w:hAnsi="Cambria Math" w:cs="Cambria Math"/>
                <w:sz w:val="20"/>
                <w:szCs w:val="20"/>
                <w:lang w:val="en-US"/>
              </w:rPr>
              <w:instrText>∼</w:instrText>
            </w:r>
            <w:r>
              <w:rPr>
                <w:rFonts w:ascii="Calibri" w:hAnsi="Calibri" w:cs="Calibri"/>
                <w:sz w:val="20"/>
                <w:szCs w:val="20"/>
                <w:lang w:val="en-US"/>
              </w:rPr>
              <w:instrText>20 mg/l at steady state. Coadministration of probenecid resulted in an increase in bumetanide levels in both ECF and plasma, indicating that oat3 inhibition influences the pharmacokinetics of bumetanide primarily in the periphery. Conclusion Although bumetanide reached detectable levels in hippocampal ECF, bumetanide concentration in ECF was low relative to systemic concentration. Oat3 inhibition by probenecid resulted in increased bumetanide concentrations in brain and plasma. As an acute treatment in neonatal seizures, the bumetanide/probenecid combination may hold therapeutic potential.","author":[{"dropping-particle":"","family":"Donovan","given":"Maria D.","non-dropping-particle":"","parse-names":false,"suffix":""},{"dropping-particle":"","family":"O'Brien","given":"Fionn E.","non-dropping-particle":"","parse-names":false,"suffix":""},{"dropping-particle":"","family":"Boylan","given":"Geraldine B.","non-dropping-particle":"","parse-names":false,"suffix":""},{"dropping-particle":"","family":"Cryan","given":"John F.","non-dropping-particle":"","parse-names":false,"suffix":""},{"dropping-particle":"","family":"Griffin","given":"Brendan T.","non-dropping-particle":"","parse-names":false,"suffix":""}],"container-title":"The Journal of pharmacy and pharmacology","id":"ITEM-1","issue":"4","issued":{"date-parts":[["2015"]]},"page":"501-510","publisher":"J Pharm Pharmacol","title":"The effect of organic anion transporter 3 inhibitor probenecid on bumetanide levels in the brain: an integrated in vivo microdialysis study in the rat","type":"article-journal","volume":"67"},"uris":["http://www.mendeley.com/documents/?uuid=7e7f1e11-8422-4f7c-a886-2f41245191e6"]}],"mendeley":{"formattedCitation":"(50)","plainTextFormattedCitation":"(50)","previouslyFormattedCitation":"(50)"},"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(50)</w:t>
            </w:r>
            <w:r w:rsidRPr="00A97EA2">
              <w:rPr>
                <w:rFonts w:ascii="Calibri" w:hAnsi="Calibri" w:cs="Calibri"/>
                <w:sz w:val="20"/>
                <w:szCs w:val="20"/>
                <w:lang w:val="en-US"/>
              </w:rPr>
              <w:fldChar w:fldCharType="end"/>
            </w:r>
          </w:p>
        </w:tc>
      </w:tr>
      <w:tr w:rsidR="005C000D" w:rsidRPr="00A000D2" w14:paraId="3FD125F3" w14:textId="77777777" w:rsidTr="00BC29AE">
        <w:trPr>
          <w:trHeight w:val="283"/>
        </w:trPr>
        <w:tc>
          <w:tcPr>
            <w:tcW w:w="2127" w:type="dxa"/>
          </w:tcPr>
          <w:p w14:paraId="564A834E"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caffeine</w:t>
            </w:r>
          </w:p>
        </w:tc>
        <w:tc>
          <w:tcPr>
            <w:tcW w:w="1559" w:type="dxa"/>
            <w:vAlign w:val="bottom"/>
          </w:tcPr>
          <w:p w14:paraId="176F6FFF" w14:textId="5F204062"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0.24</w:t>
            </w:r>
          </w:p>
        </w:tc>
        <w:tc>
          <w:tcPr>
            <w:tcW w:w="1417" w:type="dxa"/>
          </w:tcPr>
          <w:p w14:paraId="29284EB9"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0.96</w:t>
            </w:r>
          </w:p>
        </w:tc>
        <w:tc>
          <w:tcPr>
            <w:tcW w:w="3884" w:type="dxa"/>
          </w:tcPr>
          <w:p w14:paraId="0A60D4D2" w14:textId="4A5A2B76" w:rsidR="005C000D" w:rsidRPr="001E3981" w:rsidRDefault="005C000D" w:rsidP="005C000D">
            <w:pPr>
              <w:spacing w:line="276" w:lineRule="auto"/>
              <w:rPr>
                <w:rFonts w:ascii="Calibri" w:hAnsi="Calibri" w:cs="Calibri"/>
                <w:sz w:val="20"/>
                <w:szCs w:val="20"/>
                <w:lang w:val="fr-FR"/>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{"citationItems":[{"id":"ITEM-1","itemData":{"DOI":"10.1016/S0731-7085(01)00542-8","ISSN":"07317085","PMID":"11836058","abstract":"The studies presented in this report were designed to assess the correlation of the bovine brain microvessel endothelial cell (BBMEC) apparent permeability coefficient (Papp) and in vivo BBB penetration using microdialysis sampling. A mathematical model was developed to describe the relationship of brain extracellular fluid (ECF) concentration to free drug in plasma. The compounds studied have a broad range of physico-chemical characteristics and have widely varying in vitro and in vivo permeability across the blood-brain barrier (BBB). BBMEC permeability coefficients vary in magnitude from a low of 0.9×10-5 cm/s to a high value of 7.5×10-5 cm/s. Corresponding in vivo measurements of BBB permeability are represented by clearance (CLin) into the brain ECF and range from a low of 0.023 μl/min/g to a high of 12.9 μl/min/g. While it is apparent that in vitro data from the BBMEC model can be predictive of the in vivo permeability of a compound across the BBB, there are numerous factors both prior to and following entry into the brain which impact the ultimate uptake of a compound. Even in the presence of high BBB permeability, factors such as high plasma protein binding, active efflux across the BBB, and metabolism within the CNS can greatly limit the ultimate concentrations achieved. In addition, concentrations in the intracellular space may not be the same as concentrations in the extracellular space. While these data show that the BBMEC permeability is predictive of the in vivo BBB permeability, the complexity of the living system makes prediction of brain concentrations difficult, based solely on the in vitro measurement. © 2002 Elsevier Science B.V. All rights reserved.","author":[{"dropping-particle":"","family":"Hansen","given":"D. K.","non-dropping-particle":"","parse-names":false,"suffix":""},{"dropping-particle":"","family":"Scott","given":"D. O.","non-dropping-particle":"","parse-names":false,"suffix":""},{"dropping-particle":"","family":"Otis","given":"K. W.","non-dropping-particle":"","parse-names":false,"suffix":""},{"dropping-particle":"","family":"Lunte","given":"S. M.","non-dropping-particle":"","parse-names":false,"suffix":""}],"container-title":"Journal of Pharmaceutical and Biomedical Analysis","id":"ITEM-1","issue":"6","issued":{"date-parts":[["2002","3"]]},"page":"945-958","publisher":"J Pharm Biomed Anal","title":"Comparison of in vitro BBMEC permeability and in vivo CNS uptake by microdialysis sampling","type":"article-journal","volume":"27"},"uris":["http://www.mendeley.com/documents/?uuid=b5e04203-ef34-4df8-b035-44079cfcdaec"]}],"mendeley":{"formattedCitation":"(32)","plainTextFormattedCitation":"(32)","previouslyFormattedCitation":"(32)"},"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fr-FR"/>
              </w:rPr>
              <w:t>(32)</w:t>
            </w:r>
            <w:r w:rsidRPr="00A97EA2">
              <w:rPr>
                <w:rFonts w:ascii="Calibri" w:hAnsi="Calibri" w:cs="Calibri"/>
                <w:sz w:val="20"/>
                <w:szCs w:val="20"/>
                <w:lang w:val="en-US"/>
              </w:rPr>
              <w:fldChar w:fldCharType="end"/>
            </w:r>
          </w:p>
        </w:tc>
      </w:tr>
      <w:tr w:rsidR="005C000D" w:rsidRPr="00A000D2" w14:paraId="7415086A" w14:textId="77777777" w:rsidTr="00BC29AE">
        <w:trPr>
          <w:trHeight w:val="283"/>
        </w:trPr>
        <w:tc>
          <w:tcPr>
            <w:tcW w:w="2127" w:type="dxa"/>
          </w:tcPr>
          <w:p w14:paraId="518225F2"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cefadroxil</w:t>
            </w:r>
          </w:p>
        </w:tc>
        <w:tc>
          <w:tcPr>
            <w:tcW w:w="1559" w:type="dxa"/>
            <w:vAlign w:val="bottom"/>
          </w:tcPr>
          <w:p w14:paraId="76ACA9D3" w14:textId="4B70F56D"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0.07</w:t>
            </w:r>
          </w:p>
        </w:tc>
        <w:tc>
          <w:tcPr>
            <w:tcW w:w="1417" w:type="dxa"/>
          </w:tcPr>
          <w:p w14:paraId="58FBF8FD"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0.022</w:t>
            </w:r>
          </w:p>
        </w:tc>
        <w:tc>
          <w:tcPr>
            <w:tcW w:w="3884" w:type="dxa"/>
          </w:tcPr>
          <w:p w14:paraId="558BED22" w14:textId="5D3B4B14" w:rsidR="005C000D" w:rsidRPr="001E3981" w:rsidRDefault="005C000D" w:rsidP="005C000D">
            <w:pPr>
              <w:spacing w:line="276" w:lineRule="auto"/>
              <w:rPr>
                <w:rFonts w:ascii="Calibri" w:hAnsi="Calibri" w:cs="Calibri"/>
                <w:sz w:val="20"/>
                <w:szCs w:val="20"/>
                <w:lang w:val="fr-FR"/>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{"citationItems":[{"id":"ITEM-1","itemData":{"DOI":"10.1186/2045-8118-11-25","ISSN":"2045-8118","PMID":"25414790","abstract":"Background: Cefadroxil, a cephalosporin antibiotic, is a substrate for several membrane transporters including peptide transporter 2 (PEPT2), organic anion transporters (OATs), multidrug resistance-associated proteins (MRPs), and organic anion transporting polypeptides (OATPs). These transporters are expressed at the blood-brain barrier (BBB), blood-cerebrospinal fluid barrier (BCSFB), and/or brain cells. The effect of these transporters on cefadroxil distribution in brain is unknown, especially in the extracellular and intracellular fluids within brain. Methods: Intracerebral microdialysis was used to measure unbound concentrations of cefadroxil in rat blood, striatum extracellular fluid (ECF) and lateral ventricle cerebrospinal fluid (CSF). The distribution of cefadroxil in brain was compared in the absence and presence of probenecid, an inhibitor of OATs, MRPs and OATPs, where both drugs were administered intravenously. The effect of PEPT2 inhibition by intracerebroventricular (icv) infusion of Ala-Ala, a substrate of PEPT2, on cefadroxil levels in brain was also evaluated. In addition, using an in vitro brain slice method, the distribution of cefadroxil in brain intracellular fluid (ICF) was studied in the absence and presence of transport inhibitors (probenecid for OATs, MRPs and OATPs; Ala-Ala and glycylsarcosine for PEPT2). Results: The ratio of unbound cefadroxil AUC in brain ECF to blood (Kp, uu, ECF) was ~2.5-fold greater during probenecid treatment. In contrast, the ratio of cefadroxil AUC in CSF to blood (Kp, uu, CSF) did not change significantly during probenecid infusion. Icv infusion of Ala-Ala did not change cefadroxil levels in brain ECF, CSF or blood. In the brain slice study, Ala-Ala and glycylsarcosine decreased the unbound volume of distribution of cefadroxil in brain (Vu, brain), indicating a reduction in cefadroxil accumulation in brain cells. In contrast, probenecid increased cefadroxil accumulation in brain cells, as indicated by a greater value for Vu, brain. Conclusions: Transporters (OATs, MRPs, and perhaps OATPs) that can be inhibited by probenecid play an important role in mediating the brain-to-blood efflux of cefadroxil at the BBB. The uptake of cefadroxil in brain cells involves both the influx transporter PEPT2 and efflux transporters (probenecid-inhibitable). These findings demonstrate that drug-drug interactions via relevant transporters may affect the distribution of cephalosporins in both brain ECF and ICF.","author":[{"dropping-particle":"","family":"Chen","given":"Xiaomei","non-dropping-particle":"","parse-names":false,"suffix":""},{"dropping-particle":"","family":"Loryan","given":"Irena","non-dropping-particle":"","parse-names":false,"suffix":""},{"dropping-particle":"","family":"Payan","given":"Maryam","non-dropping-particle":"","parse-names":false,"suffix":""},{"dropping-particle":"","family":"Keep","given":"Richard F.","non-dropping-particle":"","parse-names":false,"suffix":""},{"dropping-particle":"","family":"Smith","given":"David E.","non-dropping-particle":"","parse-names":false,"suffix":""},{"dropping-particle":"","family":"Hammarlund-Udenaes","given":"Margareta","non-dropping-particle":"","parse-names":false,"suffix":""}],"container-title":"Fluids and barriers of the CNS","id":"ITEM-1","issue":"1","issued":{"date-parts":[["2014"]]},"publisher":"Fluids Barriers CNS","title":"Effect of transporter inhibition on the distribution of cefadroxil in rat brain","type":"article-journal","volume":"11"},"uris":["http://www.mendeley.com/documents/?uuid=17d01d8d-4d70-43b2-acb9-ed93097c111b"]}],"mendeley":{"formattedCitation":"(51)","plainTextFormattedCitation":"(51)","previouslyFormattedCitation":"(51)"},"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fr-FR"/>
              </w:rPr>
              <w:t>(51)</w:t>
            </w:r>
            <w:r w:rsidRPr="00A97EA2">
              <w:rPr>
                <w:rFonts w:ascii="Calibri" w:hAnsi="Calibri" w:cs="Calibri"/>
                <w:sz w:val="20"/>
                <w:szCs w:val="20"/>
                <w:lang w:val="en-US"/>
              </w:rPr>
              <w:fldChar w:fldCharType="end"/>
            </w:r>
          </w:p>
        </w:tc>
      </w:tr>
      <w:tr w:rsidR="005C000D" w:rsidRPr="00A97EA2" w14:paraId="0D1135B2" w14:textId="77777777" w:rsidTr="00BC29AE">
        <w:trPr>
          <w:trHeight w:val="283"/>
        </w:trPr>
        <w:tc>
          <w:tcPr>
            <w:tcW w:w="2127" w:type="dxa"/>
          </w:tcPr>
          <w:p w14:paraId="25D319C0"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cefuroxime*</w:t>
            </w:r>
          </w:p>
        </w:tc>
        <w:tc>
          <w:tcPr>
            <w:tcW w:w="1559" w:type="dxa"/>
            <w:vAlign w:val="bottom"/>
          </w:tcPr>
          <w:p w14:paraId="59A85B2F" w14:textId="37DDEC5B"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0.09</w:t>
            </w:r>
          </w:p>
        </w:tc>
        <w:tc>
          <w:tcPr>
            <w:tcW w:w="1417" w:type="dxa"/>
          </w:tcPr>
          <w:p w14:paraId="2ABEEE5F"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0.042</w:t>
            </w:r>
          </w:p>
        </w:tc>
        <w:tc>
          <w:tcPr>
            <w:tcW w:w="3884" w:type="dxa"/>
          </w:tcPr>
          <w:p w14:paraId="79CB733F" w14:textId="40AD60D6"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{"citationItems":[{"id":"ITEM-1","itemData":{"author":[{"dropping-particle":"","family":"Tsai","given":"T H","non-dropping-particle":"","parse-names":false,"suffix":""}],"container-title":"Journal of chromatography. B","id":"ITEM-1","issued":{"date-parts":[["1999"]]},"page":"25-31","title":"Simultaneous measurement of cefuroxime in rat blood and brain by microdialysis and microbore liquid chromatography Application to pharmacokinetics","type":"article-journal","volume":"735"},"uris":["http://www.mendeley.com/documents/?uuid=2bb8eff4-52e8-403f-9fad-59f0d429eb21"]}],"mendeley":{"formattedCitation":"(52)","plainTextFormattedCitation":"(52)","previouslyFormattedCitation":"(52)"},"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(52)</w:t>
            </w:r>
            <w:r w:rsidRPr="00A97EA2">
              <w:rPr>
                <w:rFonts w:ascii="Calibri" w:hAnsi="Calibri" w:cs="Calibri"/>
                <w:sz w:val="20"/>
                <w:szCs w:val="20"/>
                <w:lang w:val="en-US"/>
              </w:rPr>
              <w:fldChar w:fldCharType="end"/>
            </w:r>
          </w:p>
        </w:tc>
      </w:tr>
      <w:tr w:rsidR="005C000D" w:rsidRPr="00A97EA2" w14:paraId="4DD57074" w14:textId="77777777" w:rsidTr="00BC29AE">
        <w:trPr>
          <w:trHeight w:val="283"/>
        </w:trPr>
        <w:tc>
          <w:tcPr>
            <w:tcW w:w="2127" w:type="dxa"/>
          </w:tcPr>
          <w:p w14:paraId="6845A03D"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cimetidine</w:t>
            </w:r>
          </w:p>
        </w:tc>
        <w:tc>
          <w:tcPr>
            <w:tcW w:w="1559" w:type="dxa"/>
            <w:vAlign w:val="bottom"/>
          </w:tcPr>
          <w:p w14:paraId="5F06AF73" w14:textId="2B125CD5"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0.11</w:t>
            </w:r>
          </w:p>
        </w:tc>
        <w:tc>
          <w:tcPr>
            <w:tcW w:w="1417" w:type="dxa"/>
          </w:tcPr>
          <w:p w14:paraId="1E85BEDF"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0.104</w:t>
            </w:r>
          </w:p>
        </w:tc>
        <w:tc>
          <w:tcPr>
            <w:tcW w:w="3884" w:type="dxa"/>
          </w:tcPr>
          <w:p w14:paraId="0BF840AA" w14:textId="25D7AD84"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{"citationItems":[{"id":"ITEM-1","itemData":{"DOI":"10.1002/PRP2.575","ISSN":"2052-1707","PMID":"32266794","abstract":"In clinical pharmacology, the free drug hypothesis has been widely applied in the interpretation of the relationship between pharmacokinetics and pharmacodynamics (PK/PD). The free drug hypothesis assumes that the unbound drug concentration in blood is the same as that in the site of action at steady state. The objective of this study is to demonstrate whether the free drug hypothesis is universally applicable for all drugs. The unbound concentrations of the 18 compounds in blood and in brain interstitial fluids (ISF) at steady state following constant intravenous infusion were simultaneously monitored up to 6 hours via in vivo microdialysis technique. Based on the permeability and efflux ratio (ER), the test compounds can be divided into two classes. Class I includes the compounds with good membrane permeability that are not substrates of efflux transporters (eg, P-gp, BCRP, and MRPs), whereas Class II includes the compounds that are substrates of efflux transporters. The steady-state unbound drug concentrations in blood, brain, and CSF are quantitatively very similar for Class I compounds, whereas the steady-state unbound concentrations in the brain and CSF are significantly lower than those in blood for Class II compounds. These results strongly suggest that the free drug hypothesis is not universal for all drugs but is only applicable for drugs with good permeability that are not substrates of efflux transporters.","author":[{"dropping-particle":"","family":"Chen","given":"Chun","non-dropping-particle":"","parse-names":false,"suffix":""},{"dropping-particle":"","family":"Zhou","given":"Hongyu","non-dropping-particle":"","parse-names":false,"suffix":""},{"dropping-particle":"","family":"Guan","given":"Chi","non-dropping-particle":"","parse-names":false,"suffix":""},{"dropping-particle":"","family":"Zhang","given":"Huanhuan","non-dropping-particle":"","parse-names":false,"suffix":""},{"dropping-particle":"","family":"Li","given":"Yingying","non-dropping-particle":"","parse-names":false,"suffix":""},{"dropping-particle":"","family":"Jiang","given":"Xue","non-dropping-particle":"","parse-names":false,"suffix":""},{"dropping-particle":"","family":"Dong","given":"Zheng","non-dropping-particle":"","parse-names":false,"suffix":""},{"dropping-particle":"","family":"Tao","given":"Yuanyuan","non-dropping-particle":"","parse-names":false,"suffix":""},{"dropping-particle":"","family":"Du","given":"Juan","non-dropping-particle":"","parse-names":false,"suffix":""},{"dropping-particle":"","family":"Wang","given":"Shuyao","non-dropping-particle":"","parse-names":false,"suffix":""},{"dropping-particle":"","family":"Zhang","given":"Teng","non-dropping-particle":"","parse-names":false,"suffix":""},{"dropping-particle":"","family":"Du","given":"Na","non-dropping-particle":"","parse-names":false,"suffix":""},{"dropping-particle":"","family":"Guo","given":"Junyang","non-dropping-particle":"","parse-names":false,"suffix":""},{"dropping-particle":"","family":"Wu","given":"Yaqiong","non-dropping-particle":"","parse-names":false,"suffix":""},{"dropping-particle":"","family":"Song","given":"Zehai","non-dropping-particle":"","parse-names":false,"suffix":""},{"dropping-particle":"","family":"Luan","given":"Haofei","non-dropping-particle":"","parse-names":false,"suffix":""},{"dropping-particle":"","family":"Wang","given":"Yu","non-dropping-particle":"","parse-names":false,"suffix":""},{"dropping-particle":"","family":"Du","given":"Hongwen","non-dropping-particle":"","parse-names":false,"suffix":""},{"dropping-particle":"","family":"Zhang","given":"Shaofeng","non-dropping-particle":"","parse-names":false,"suffix":""},{"dropping-particle":"","family":"Li","given":"Chen","non-dropping-particle":"","parse-names":false,"suffix":""},{"dropping-particle":"","family":"Chang","given":"Hang","non-dropping-particle":"","parse-names":false,"suffix":""},{"dropping-particle":"","family":"Wang","given":"Tao","non-dropping-particle":"","parse-names":false,"suffix":""}],"container-title":"Pharmacology research &amp; perspectives","id":"ITEM-1","issue":"2","issued":{"date-parts":[["2020","4"]]},"publisher":"Pharmacol Res Perspect","title":"Applicability of free drug hypothesis to drugs with good membrane permeability that are not efflux transporter substrates: A microdialysis study in rats","type":"article-journal","volume":"8"},"uris":["http://www.mendeley.com/documents/?uuid=bd46f417-bc9d-4ffa-86a4-dec45f711fe9"]}],"mendeley":{"formattedCitation":"(7)","plainTextFormattedCitation":"(7)","previouslyFormattedCitation":"(7)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(7)</w:t>
            </w:r>
            <w:r w:rsidRPr="00A97EA2">
              <w:rPr>
                <w:rFonts w:ascii="Calibri" w:hAnsi="Calibri" w:cs="Calibri"/>
                <w:sz w:val="20"/>
                <w:szCs w:val="20"/>
                <w:lang w:val="en-US"/>
              </w:rPr>
              <w:fldChar w:fldCharType="end"/>
            </w:r>
          </w:p>
        </w:tc>
      </w:tr>
      <w:tr w:rsidR="005C000D" w:rsidRPr="00A97EA2" w14:paraId="253DF53D" w14:textId="77777777" w:rsidTr="00BC29AE">
        <w:trPr>
          <w:trHeight w:val="283"/>
        </w:trPr>
        <w:tc>
          <w:tcPr>
            <w:tcW w:w="2127" w:type="dxa"/>
          </w:tcPr>
          <w:p w14:paraId="61A579F2"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entacapone</w:t>
            </w:r>
          </w:p>
        </w:tc>
        <w:tc>
          <w:tcPr>
            <w:tcW w:w="1559" w:type="dxa"/>
            <w:vAlign w:val="bottom"/>
          </w:tcPr>
          <w:p w14:paraId="661F7EC9" w14:textId="1F1BAEFD"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0.12</w:t>
            </w:r>
          </w:p>
        </w:tc>
        <w:tc>
          <w:tcPr>
            <w:tcW w:w="1417" w:type="dxa"/>
          </w:tcPr>
          <w:p w14:paraId="614FE2BF"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0.14</w:t>
            </w:r>
          </w:p>
        </w:tc>
        <w:tc>
          <w:tcPr>
            <w:tcW w:w="3884" w:type="dxa"/>
          </w:tcPr>
          <w:p w14:paraId="50BAB1A5" w14:textId="2599C6AB"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{"citationItems":[{"id":"ITEM-1","itemData":{"DOI":"10.1016/J.IJPHARM.2010.09.016","ISSN":"1873-3476","PMID":"20920560","abstract":"Although several in vitro models have been reported to predict the ability of drug candidates to cross the blood-brain barrier, their real in vivo relevance has rarely been evaluated. The present study demonstrates the in vivo relevance of simple unidirectional permeability coefficient (Papp) determined in three in vitro cell models (BBMEC, Caco-2 and MDCKII-MDR1) for nine model drugs (alprenolol, atenolol, metoprolol, pindolol, entacapone, tolcapone, baclofen, midazolam and ondansetron) by using dual probe microdialysis in the rat brain and blood as an in vivo measure. There was a clear correlation between the Papp and the unbound brain/blood ratios determined by in vivo microdialysis (BBMEC r=0.99, Caco-2 r=0.91 and MDCKII-MDR1 r=0.85). Despite of the substantial differences in the absolute in vitro Papp values and regardless of the method used (side-by-side vs. filter insert system), the capability of the in vitro models to rank order drugs was similar. By this approach, thus, the additional value offered by the true endothelial cell model (BBMEC) remains obscure. The present results also highlight the need of both in vitro as well as in vivo methods in characterization of blood-brain barrier passage of new drug candidates. © 2010 Elsevier B.V.","author":[{"dropping-particle":"","family":"Hakkarainen","given":"Jenni J.","non-dropping-particle":"","parse-names":false,"suffix":""},{"dropping-particle":"","family":"Jalkanen","given":"Aaro J.","non-dropping-particle":"","parse-names":false,"suffix":""},{"dropping-particle":"","family":"Kääriäinen","given":"Tiina M.","non-dropping-particle":"","parse-names":false,"suffix":""},{"dropping-particle":"","family":"Keski-Rahkonen","given":"Pekka","non-dropping-particle":"","parse-names":false,"suffix":""},{"dropping-particle":"","family":"Venäläinen","given":"Tetta","non-dropping-particle":"","parse-names":false,"suffix":""},{"dropping-particle":"","family":"Hokkanen","given":"Juho","non-dropping-particle":"","parse-names":false,"suffix":""},{"dropping-particle":"","family":"Mönkkönen","given":"Jukka","non-dropping-particle":"","parse-names":false,"suffix":""},{"dropping-particle":"","family":"Suhonen","given":"Marjukka","non-dropping-particle":"","parse-names":false,"suffix":""},{"dropping-particle":"","family":"Forsberg","given":"Markus M.","non-dropping-particle":"","parse-names":false,"suffix":""}],"container-title":"International journal of pharmaceutics","id":"ITEM-1","issue":"1-2","issued":{"date-parts":[["2010","12"]]},"page":"27-36","publisher":"Int J Pharm","title":"Comparison of in vitro cell models in predicting in vivo brain entry of drugs","type":"article-journal","volume":"402"},"uris":["http://www.mendeley.com/documents/?uuid=868a41a3-2bbd-4732-ad2c-2054108ce6c9"]}],"mendeley":{"formattedCitation":"(4)","plainTextFormattedCitation":"(4)","previouslyFormattedCitation":"(4)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w:t>
            </w:r>
            <w:r w:rsidRPr="00A97EA2">
              <w:rPr>
                <w:rFonts w:ascii="Calibri" w:hAnsi="Calibri" w:cs="Calibri"/>
                <w:sz w:val="20"/>
                <w:szCs w:val="20"/>
                <w:lang w:val="en-US"/>
              </w:rPr>
              <w:fldChar w:fldCharType="end"/>
            </w:r>
          </w:p>
        </w:tc>
      </w:tr>
      <w:tr w:rsidR="005C000D" w:rsidRPr="00A97EA2" w14:paraId="3E6DD75F" w14:textId="77777777" w:rsidTr="00BC29AE">
        <w:trPr>
          <w:trHeight w:val="283"/>
        </w:trPr>
        <w:tc>
          <w:tcPr>
            <w:tcW w:w="2127" w:type="dxa"/>
          </w:tcPr>
          <w:p w14:paraId="150F9BC6"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gabapentin</w:t>
            </w:r>
          </w:p>
        </w:tc>
        <w:tc>
          <w:tcPr>
            <w:tcW w:w="1559" w:type="dxa"/>
            <w:vAlign w:val="bottom"/>
          </w:tcPr>
          <w:p w14:paraId="78E5AAF5" w14:textId="30F52C7F"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0.10</w:t>
            </w:r>
          </w:p>
        </w:tc>
        <w:tc>
          <w:tcPr>
            <w:tcW w:w="1417" w:type="dxa"/>
          </w:tcPr>
          <w:p w14:paraId="1DDC6AE6"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0.13</w:t>
            </w:r>
          </w:p>
        </w:tc>
        <w:tc>
          <w:tcPr>
            <w:tcW w:w="3884" w:type="dxa"/>
          </w:tcPr>
          <w:p w14:paraId="2BFDB0A1" w14:textId="3C71FB24"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{"citationItems":[{"id":"ITEM-1","itemData":{"DOI":"10.1016/S0169-409X(00)00109-5","ISSN":"0169409X","PMID":"11108980","abstract":"Microdialysis can give simultaneous information on unbound drug concentration-time profiles in brain extracellular fluid (ECF) and blood, separating the information on blood-brain barrier (BBB) processes from confounding factors such as binding to brain tissue or proteins in blood. This makes microdialysis suitable for studies on CNS drug delivery. It is possible to quantify influx and efflux processes at the BBB in vivo, and to relate brain ECF concentrations to central drug action. The half-life in brain ECF vs. the half-life in blood gives information on rate-limiting steps in drug delivery and elimination from the CNS. Examples are given on microdialysis studies of analgesic and antiepileptic drugs. (C) 2000 Elsevier Science B.V.","author":[{"dropping-particle":"","family":"Hammarlund-Udenaes","given":"Margareta","non-dropping-particle":"","parse-names":false,"suffix":""}],"container-title":"Advanced Drug Delivery Reviews","id":"ITEM-1","issue":"2-3","issued":{"date-parts":[["2000"]]},"page":"283-294","title":"The use of microdialysis in CNS drug delivery studies: Pharmacokinetic perspectives and results with analgesics and antiepileptics","type":"article-journal","volume":"45"},"uris":["http://www.mendeley.com/documents/?uuid=9272b364-63c4-45f6-ab60-dc451ae9e7d6"]}],"mendeley":{"formattedCitation":"(13)","plainTextFormattedCitation":"(13)","previouslyFormattedCitation":"(13)"},"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(13)</w:t>
            </w:r>
            <w:r w:rsidRPr="00A97EA2">
              <w:rPr>
                <w:rFonts w:ascii="Calibri" w:hAnsi="Calibri" w:cs="Calibri"/>
                <w:sz w:val="20"/>
                <w:szCs w:val="20"/>
                <w:lang w:val="en-US"/>
              </w:rPr>
              <w:fldChar w:fldCharType="end"/>
            </w:r>
          </w:p>
        </w:tc>
      </w:tr>
      <w:tr w:rsidR="005C000D" w:rsidRPr="00A97EA2" w14:paraId="211D1D55" w14:textId="77777777" w:rsidTr="00BC29AE">
        <w:trPr>
          <w:trHeight w:val="283"/>
        </w:trPr>
        <w:tc>
          <w:tcPr>
            <w:tcW w:w="2127" w:type="dxa"/>
          </w:tcPr>
          <w:p w14:paraId="76E1D801"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ketoprofen</w:t>
            </w:r>
          </w:p>
        </w:tc>
        <w:tc>
          <w:tcPr>
            <w:tcW w:w="1559" w:type="dxa"/>
            <w:vAlign w:val="bottom"/>
          </w:tcPr>
          <w:p w14:paraId="1EDC2C7A" w14:textId="75066A10"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0.06</w:t>
            </w:r>
          </w:p>
        </w:tc>
        <w:tc>
          <w:tcPr>
            <w:tcW w:w="1417" w:type="dxa"/>
          </w:tcPr>
          <w:p w14:paraId="7FA3008F"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0.12</w:t>
            </w:r>
          </w:p>
        </w:tc>
        <w:tc>
          <w:tcPr>
            <w:tcW w:w="3884" w:type="dxa"/>
          </w:tcPr>
          <w:p w14:paraId="2B596FA7" w14:textId="04EF4642"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{"citationItems":[{"id":"ITEM-1","itemData":{"DOI":"10.1016/j.ijpharm.2010.08.019","ISSN":"03785173","PMID":"20727958","abstract":"The blood-brain barrier (BBB) controls the entry of xenobiotics into the brain. Often the development of central nervous system drugs needs to be terminated because of their poor brain uptake. We describe a way to achieve large neutral amino acid transporter (LAT1)-mediated drug transport into the rat brain. We conjugated ketoprofen to an amino acid l-lysine so that the prodrug could access LAT1. The LAT1-mediated brain uptake of the prodrug was demonstrated with in situ rat brain perfusion technique. The ability of the prodrug to deliver ketoprofen into the site of action, the brain intracellular fluid, was determined combining in vivo and in vitro experiments. A rapid brain uptake from blood and cell uptake was seen both in in situ and in vivo experiments. Therefore, our results show that a prodrug approach can achieve uptake of drugs via LAT1 into the brain intracellular fluid. The distribution of the prodrug in the brain parenchyma and the site of parent drug release in the brain were shown with in vivo and in vitro studies. In addition, our results show that although lysine or ketoprofen are not LAT1-substrates themselves, by combining these molecules, the formed prodrug has affinity for LAT1. © 2010 Elsevier B.V.","author":[{"dropping-particle":"","family":"Gynther","given":"Mikko","non-dropping-particle":"","parse-names":false,"suffix":""},{"dropping-particle":"","family":"Jalkanen","given":"Aaro","non-dropping-particle":"","parse-names":false,"suffix":""},{"dropping-particle":"","family":"Lehtonen","given":"Marko","non-dropping-particle":"","parse-names":false,"suffix":""},{"dropping-particle":"","family":"Forsberg","given":"Markus","non-dropping-particle":"","parse-names":false,"suffix":""},{"dropping-particle":"","family":"Laine","given":"Krista","non-dropping-particle":"","parse-names":false,"suffix":""},{"dropping-particle":"","family":"Ropponen","given":"Jarmo","non-dropping-particle":"","parse-names":false,"suffix":""},{"dropping-particle":"","family":"Leppänen","given":"Jukka","non-dropping-particle":"","parse-names":false,"suffix":""},{"dropping-particle":"","family":"Knuuti","given":"Johanna","non-dropping-particle":"","parse-names":false,"suffix":""},{"dropping-particle":"","family":"Rautio","given":"Jarkko","non-dropping-particle":"","parse-names":false,"suffix":""}],"container-title":"International Journal of Pharmaceutics","id":"ITEM-1","issue":"1-2","issued":{"date-parts":[["2010"]]},"page":"121-128","title":"Brain uptake of ketoprofen-lysine prodrug in rats","type":"article-journal","volume":"399"},"uris":["http://www.mendeley.com/documents/?uuid=2841d98d-6685-4944-9984-97a0c7c92138"]}],"mendeley":{"formattedCitation":"(53)","plainTextFormattedCitation":"(53)","previouslyFormattedCitation":"(53)"},"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(53)</w:t>
            </w:r>
            <w:r w:rsidRPr="00A97EA2">
              <w:rPr>
                <w:rFonts w:ascii="Calibri" w:hAnsi="Calibri" w:cs="Calibri"/>
                <w:sz w:val="20"/>
                <w:szCs w:val="20"/>
                <w:lang w:val="en-US"/>
              </w:rPr>
              <w:fldChar w:fldCharType="end"/>
            </w:r>
          </w:p>
        </w:tc>
      </w:tr>
      <w:tr w:rsidR="005C000D" w:rsidRPr="00A97EA2" w14:paraId="2F5ED26D" w14:textId="77777777" w:rsidTr="00BC29AE">
        <w:trPr>
          <w:trHeight w:val="283"/>
        </w:trPr>
        <w:tc>
          <w:tcPr>
            <w:tcW w:w="2127" w:type="dxa"/>
          </w:tcPr>
          <w:p w14:paraId="74FAFA2D"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lamotrigine</w:t>
            </w:r>
          </w:p>
        </w:tc>
        <w:tc>
          <w:tcPr>
            <w:tcW w:w="1559" w:type="dxa"/>
            <w:vAlign w:val="bottom"/>
          </w:tcPr>
          <w:p w14:paraId="07E61133" w14:textId="699F5B08"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0.17</w:t>
            </w:r>
          </w:p>
        </w:tc>
        <w:tc>
          <w:tcPr>
            <w:tcW w:w="1417" w:type="dxa"/>
          </w:tcPr>
          <w:p w14:paraId="202E847B"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0.643</w:t>
            </w:r>
          </w:p>
        </w:tc>
        <w:tc>
          <w:tcPr>
            <w:tcW w:w="3884" w:type="dxa"/>
          </w:tcPr>
          <w:p w14:paraId="339D29F1" w14:textId="66791BAA"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{"citationItems":[{"id":"ITEM-1","itemData":{"DOI":"10.1016/j.dmpk.2015.10.003","ISSN":"18800920","abstract":"In drug discovery, the cerebrospinal fluid (CSF) drug concentration (CCSF) has been used as a surrogate for the interstitial fluid (ISF) concentration (CISF). However, the CCSF-to-CISF gradient suggested for P-glycoprotein (P-gp) substrates in rodents causes uncertainty in CISF estimations and subsequent pharmacokinetic-pharmacodynamic analyses. To evaluate the utility of CCSF as a surrogate for CISF, this study directly compared the CCSF with the CISF of 12 compounds, including P-gp substrates, under steady-state conditions in wild-type and Mdr1a(-/-) rats using microdialysis coupled with cisternal CSF sampling. In wild-type rats, the ISF-to-unbound plasma (Kp,uu,ISF) and CSF-to-unbound plasma (Kp,uu,CSF) concentration ratios of the P-gp substrates, except for metoclopramide, were lower than those of the non-P-gp substrates, and the Kp,uu,CSF values were within or close to 3-fold of the Kp,uu,ISF values for all the compounds examined. The Kp,uu,CSF values of the selected P-gp substrates increased in Mdr1a(-/-) rats with a similar magnitude to the Kp,uu,ISF values, resulting in the Kp,uu,CSF-to-Kp,uu,ISF ratios being unchanged. These results suggested that P-gp-mediated active efflux at the blood-brain barrier is a major determinant not only for CISF, but also for CCSF, and that CCSF can be used as a surrogate for CISF even for P-gp substrates in rats.","author":[{"dropping-particle":"","family":"Nagaya","given":"Yoko","non-dropping-particle":"","parse-names":false,"suffix":""},{"dropping-particle":"","family":"Nozaki","given":"Yoshitane","non-dropping-particle":"","parse-names":false,"suffix":""},{"dropping-particle":"","family":"Takenaka","given":"Osamu","non-dropping-particle":"","parse-names":false,"suffix":""},{"dropping-particle":"","family":"Watari","given":"Ryuji","non-dropping-particle":"","parse-names":false,"suffix":""},{"dropping-particle":"","family":"Kusano","given":"Kazutomi","non-dropping-particle":"","parse-names":false,"suffix":""},{"dropping-particle":"","family":"Yoshimura","given":"Tsutomu","non-dropping-particle":"","parse-names":false,"suffix":""},{"dropping-particle":"","family":"Kusuhara","given":"Hiroyuki","non-dropping-particle":"","parse-names":false,"suffix":""}],"container-title":"Drug Metabolism and Pharmacokinetics","id":"ITEM-1","issue":"1","issued":{"date-parts":[["2016"]]},"page":"57-66","publisher":"Elsevier Ltd","title":"Investigation of utility of cerebrospinal fluid drug concentration as a surrogate for interstitial fluid concentration using microdialysis coupled with cisternal cerebrospinal fluid sampling in wild-type and Mdr1a(-/-) rats","type":"article-journal","volume":"31"},"uris":["http://www.mendeley.com/documents/?uuid=972b531f-44ec-4fc2-8f71-7b56f31f0048"]}],"mendeley":{"formattedCitation":"(34)","plainTextFormattedCitation":"(34)","previouslyFormattedCitation":"(34)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(34)</w:t>
            </w:r>
            <w:r w:rsidRPr="00A97EA2">
              <w:rPr>
                <w:rFonts w:ascii="Calibri" w:hAnsi="Calibri" w:cs="Calibri"/>
                <w:sz w:val="20"/>
                <w:szCs w:val="20"/>
                <w:lang w:val="en-US"/>
              </w:rPr>
              <w:fldChar w:fldCharType="end"/>
            </w:r>
          </w:p>
        </w:tc>
      </w:tr>
      <w:tr w:rsidR="005C000D" w:rsidRPr="00A97EA2" w14:paraId="6659B5EA" w14:textId="77777777" w:rsidTr="00BC29AE">
        <w:trPr>
          <w:trHeight w:val="283"/>
        </w:trPr>
        <w:tc>
          <w:tcPr>
            <w:tcW w:w="2127" w:type="dxa"/>
          </w:tcPr>
          <w:p w14:paraId="16231AC5"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lastRenderedPageBreak/>
              <w:t>levobupivacaine</w:t>
            </w:r>
          </w:p>
        </w:tc>
        <w:tc>
          <w:tcPr>
            <w:tcW w:w="1559" w:type="dxa"/>
            <w:vAlign w:val="bottom"/>
          </w:tcPr>
          <w:p w14:paraId="723498CA" w14:textId="7FD1CF1D"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0.61</w:t>
            </w:r>
          </w:p>
        </w:tc>
        <w:tc>
          <w:tcPr>
            <w:tcW w:w="1417" w:type="dxa"/>
          </w:tcPr>
          <w:p w14:paraId="66D68440"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0.41</w:t>
            </w:r>
          </w:p>
        </w:tc>
        <w:tc>
          <w:tcPr>
            <w:tcW w:w="3884" w:type="dxa"/>
          </w:tcPr>
          <w:p w14:paraId="4E9C89A7" w14:textId="18DD7D7F"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{"citationItems":[{"id":"ITEM-1","itemData":{"DOI":"10.1097/ALN.0b013e3181d9cc54","ISSN":"15281175","PMID":"20460991","abstract":"Background: We have compared the pharmacokinetics and brain distribution of lidocaine, racemic bupivacaine (bupivacaine), and levobupivacaine in awake, spontaneously breathing rats. Methods: Lidocaine (0.5 mg • kg-1 • min-1), bupivacaine (0.1 mg • kg-1 • min-1), or levobupivacaine (0.1 mg • kg-1 • min-1) was continuously administered to rats for 2 h (n = 12, each anesthetic). Blood samples and cerebral dialysate were collected during infusion and for 2 h after termination of infusion. Concentrations of anesthetics in the cerebral extracellular fluid were measured by microdialysis using the retrodialysis calibration method. Tissue-to-plasma partition coefficients calculated from the total (protein-bound and unbound) and unbound concentrations in plasma and brain as well as pharmacokinetic parameters in plasma and cerebral extracellular fluid were compared among the three anesthetics. Results: There were no differences in plasma total or unbound concentrations between bupivacaine and levobupivacaine. Concentrations of bupivacaine in the cerebral extracellular fluid were significantly higher than levobupivacaine (P &lt; 0.001). Despite no differences in the ratio of total brain concentration to total plasma concentration among the three anesthetics, the ratio of cerebral extracellular fluid concentration to plasma unbound fraction of bupivacaine was significantly higher than lidocaine and levobupivacaine (0.58 ± 0.09, 0.47 ± 0.18, and 0.40 ± 0.09, respectively; P = 0.03 and 0.003, respectively). Conclusions: Although the ratio of total brain concentration to total plasma concentrations of lidocaine, bupivacaine, and levobupivacaine was similar, concentration ratio of bupivacaine in the cerebral extracellular fluid to plasma unbound fraction was significantly higher than lidocaine and levobupivacaine. Copyright © 2010, the American Society of Anesthesiologists, Inc. Lippincott Williams &amp; Wilkins.","author":[{"dropping-particle":"","family":"Ikeda","given":"Yuko","non-dropping-particle":"","parse-names":false,"suffix":""},{"dropping-particle":"","family":"Oda","given":"Yutaka","non-dropping-particle":"","parse-names":false,"suffix":""},{"dropping-particle":"","family":"Nakamura","given":"Taketo","non-dropping-particle":"","parse-names":false,"suffix":""},{"dropping-particle":"","family":"Takahashi","given":"Ryota","non-dropping-particle":"","parse-names":false,"suffix":""},{"dropping-particle":"","family":"Miyake","given":"Wakako","non-dropping-particle":"","parse-names":false,"suffix":""},{"dropping-particle":"","family":"Hase","given":"Ichiro","non-dropping-particle":"","parse-names":false,"suffix":""},{"dropping-particle":"","family":"Asada","given":"Akira","non-dropping-particle":"","parse-names":false,"suffix":""}],"container-title":"Anesthesiology","id":"ITEM-1","issue":"6","issued":{"date-parts":[["2010"]]},"page":"1396-1403","publisher":"Anesthesiology","title":"Pharmacokinetics of lidocaine, bupivacaine, and levobupivacaine in plasma and brain in awake rats","type":"article-journal","volume":"112"},"uris":["http://www.mendeley.com/documents/?uuid=0226f073-fe96-490d-8392-ecf12a8efd84"]}],"mendeley":{"formattedCitation":"(10)","plainTextFormattedCitation":"(10)","previouslyFormattedCitation":"(10)"},"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(10)</w:t>
            </w:r>
            <w:r w:rsidRPr="00A97EA2">
              <w:rPr>
                <w:rFonts w:ascii="Calibri" w:hAnsi="Calibri" w:cs="Calibri"/>
                <w:sz w:val="20"/>
                <w:szCs w:val="20"/>
                <w:lang w:val="en-US"/>
              </w:rPr>
              <w:fldChar w:fldCharType="end"/>
            </w:r>
          </w:p>
        </w:tc>
      </w:tr>
      <w:tr w:rsidR="005C000D" w:rsidRPr="00A97EA2" w14:paraId="72DEDC5A" w14:textId="77777777" w:rsidTr="00BC29AE">
        <w:trPr>
          <w:trHeight w:val="283"/>
        </w:trPr>
        <w:tc>
          <w:tcPr>
            <w:tcW w:w="2127" w:type="dxa"/>
          </w:tcPr>
          <w:p w14:paraId="56841AB1"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memantine</w:t>
            </w:r>
          </w:p>
        </w:tc>
        <w:tc>
          <w:tcPr>
            <w:tcW w:w="1559" w:type="dxa"/>
            <w:vAlign w:val="bottom"/>
          </w:tcPr>
          <w:p w14:paraId="2BC9BDE8" w14:textId="359908E5"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0.71</w:t>
            </w:r>
          </w:p>
        </w:tc>
        <w:tc>
          <w:tcPr>
            <w:tcW w:w="1417" w:type="dxa"/>
          </w:tcPr>
          <w:p w14:paraId="758738BB"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1.8</w:t>
            </w:r>
          </w:p>
        </w:tc>
        <w:tc>
          <w:tcPr>
            <w:tcW w:w="3884" w:type="dxa"/>
          </w:tcPr>
          <w:p w14:paraId="5F985AC3" w14:textId="1A343C94"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{"citationItems":[{"id":"ITEM-1","itemData":{"DOI":"10.1002/jps.24691","ISSN":"15206017","PMID":"26554532","abstract":"Brain microdialysis is a powerful tool to estimate brain-to-plasma unbound concentration ratio at the steady state (Kp,uu) of compounds by direct measurement of the unbound concentration in brain interstitial fluid. Here, we evaluated a method to estimate Kp,uu values of multiple organic-cationic drugs simultaneously, by means of brain microdialysis combined with cocktail dosing. Five cationic drugs (diphenhydramine, memantine, oxycodone, pyrilamine, and tramadol), substrates of the proton-coupled organic cation antiport system, were selected as model drugs, and compared under single-dosing and cocktail-dosing conditions. We selected doses of the drugs at which no significant drug-drug interaction occurs at the proton-coupled organic cation antiport system in the blood-brain barrier (BBB). This was confirmed by uptake studies in hCMEC/D3 cells, an in vitro BBB model. The Kp,uu values after cocktail administration were in the range of 1.8-5.2, and were in good agreement with those after single administration. These results suggest that the microdialysis method with cocktail dosing is suitable to estimate Kp,uu values of several cationic drugs simultaneously, if there is no drug-drug interaction during BBB transport. The method could be useful for evaluating drug candidates with high Kp,uu values at an early stage in the development of central nervous system-acting drugs.","author":[{"dropping-particle":"","family":"Kitamura","given":"Atsushi","non-dropping-particle":"","parse-names":false,"suffix":""},{"dropping-particle":"","family":"Okura","given":"Takashi","non-dropping-particle":"","parse-names":false,"suffix":""},{"dropping-particle":"","family":"Higuchi","given":"Kei","non-dropping-particle":"","parse-names":false,"suffix":""},{"dropping-particle":"","family":"Deguchi","given":"Yoshiharu","non-dropping-particle":"","parse-names":false,"suffix":""}],"container-title":"Journal of Pharmaceutical Sciences","id":"ITEM-1","issue":"2","issued":{"date-parts":[["2016"]]},"page":"935-940","publisher":"Elsevier Ltd","title":"Cocktail-Dosing Microdialysis Study to Simultaneously Assess Delivery of Multiple Organic-Cationic Drugs to the Brain","type":"article-journal","volume":"105"},"uris":["http://www.mendeley.com/documents/?uuid=d1bdcfcc-ff8a-4a3a-99a5-a40124ab3aec"]}],"mendeley":{"formattedCitation":"(22)","plainTextFormattedCitation":"(22)","previouslyFormattedCitation":"(22)"},"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(22)</w:t>
            </w:r>
            <w:r w:rsidRPr="00A97EA2">
              <w:rPr>
                <w:rFonts w:ascii="Calibri" w:hAnsi="Calibri" w:cs="Calibri"/>
                <w:sz w:val="20"/>
                <w:szCs w:val="20"/>
                <w:lang w:val="en-US"/>
              </w:rPr>
              <w:fldChar w:fldCharType="end"/>
            </w:r>
          </w:p>
        </w:tc>
      </w:tr>
      <w:tr w:rsidR="005C000D" w:rsidRPr="00A97EA2" w14:paraId="075D5105" w14:textId="77777777" w:rsidTr="00BC29AE">
        <w:trPr>
          <w:trHeight w:val="283"/>
        </w:trPr>
        <w:tc>
          <w:tcPr>
            <w:tcW w:w="2127" w:type="dxa"/>
          </w:tcPr>
          <w:p w14:paraId="069FAA9E"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M3G</w:t>
            </w:r>
          </w:p>
        </w:tc>
        <w:tc>
          <w:tcPr>
            <w:tcW w:w="1559" w:type="dxa"/>
            <w:vAlign w:val="bottom"/>
          </w:tcPr>
          <w:p w14:paraId="46EB63E7" w14:textId="01602594"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0.03</w:t>
            </w:r>
          </w:p>
        </w:tc>
        <w:tc>
          <w:tcPr>
            <w:tcW w:w="1417" w:type="dxa"/>
          </w:tcPr>
          <w:p w14:paraId="4F64628B"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0.08</w:t>
            </w:r>
          </w:p>
        </w:tc>
        <w:tc>
          <w:tcPr>
            <w:tcW w:w="3884" w:type="dxa"/>
          </w:tcPr>
          <w:p w14:paraId="59254F3A" w14:textId="4C45956D"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{"citationItems":[{"id":"ITEM-1","itemData":{"DOI":"10.1038/sj.bjp.0703759","ISSN":"00071188","abstract":"1 The objective of this study was to investigate the impact of probenecid on the blood-brain barrier (BBB) transport of morphinefile:///C:/Users/gulaveb/Dropbox/2022- Morphine- M3G and M6G- PK and PD and other interesting knowledge/Xie. Modelling BBB transport M3G- involvement probenecid sensitive BBB tranport. 2000.pdf-3-glucuronide (M3G). 2 Two groups of rats received an exponential infusion of M3G over 4 h to reach a target plasma concentration of 65 μM on two consecutive days. Probenecid was co-administered in the treatment group on day 2. Microdialysis was used to estimate unbound M3G concentrations in brain extracellular fluid (ECF) and blood. In vivo recovery of M3G was calculated with retrodialysis by drug, preceding the drug administration. The BBB transport was modelled using NONMEM. 3 In the probenecid group, the ratio of the steady-state concentration of unbound M3G in brain ECF to that in blood was 0.08±0.02 in the absence and 0.16±0.05 in the presence of probenecid (P= 0.001). In the control group, no significant difference was found in this ratio between the 2 days (0.11±0.05 and 0.10±0.02, respectively). The process that appears to be mainly influenced by probenecid is influx clearance into the brain (0.11 μl min-1 g-brain-1 vs 0.17 μl min-1 g-brain-1, in the absence vs presence of probenecid, P&lt; 0.001). The efflux clearance was 1.15 μl min-1 g-brain-1. The half-life of M3G was 81±25 min in brain ECF vs 22±2 min in blood (P &lt; 0.0001). Blood pharmacokinetics was not influenced by probenecid. 4 In conclusion, a probenecid-sensitive transport system is involved in the transport of M3G across the BBB.","author":[{"dropping-particle":"","family":"Xie","given":"R.","non-dropping-particle":"","parse-names":false,"suffix":""},{"dropping-particle":"","family":"Bouw","given":"M. R.","non-dropping-particle":"","parse-names":false,"suffix":""},{"dropping-particle":"","family":"Hammarlund-Udenaes","given":"M.","non-dropping-particle":"","parse-names":false,"suffix":""}],"container-title":"British Journal of Pharmacology","id":"ITEM-1","issue":"8","issued":{"date-parts":[["2000"]]},"page":"1784-1792","title":"Modelling of the blood-brain barrier transport of morphine-3-glucuronide studied using microdialysis in the rat: Involvement of probenecid-sensitive transport","type":"article-journal","volume":"131"},"uris":["http://www.mendeley.com/documents/?uuid=bd21232d-7ff6-4004-bbc3-b41e8da4cbcf"]}],"mendeley":{"formattedCitation":"(54)","plainTextFormattedCitation":"(54)","previouslyFormattedCitation":"(54)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(54)</w:t>
            </w:r>
            <w:r w:rsidRPr="00A97EA2">
              <w:rPr>
                <w:rFonts w:ascii="Calibri" w:hAnsi="Calibri" w:cs="Calibri"/>
                <w:sz w:val="20"/>
                <w:szCs w:val="20"/>
                <w:lang w:val="en-US"/>
              </w:rPr>
              <w:fldChar w:fldCharType="end"/>
            </w:r>
          </w:p>
        </w:tc>
      </w:tr>
      <w:tr w:rsidR="005C000D" w:rsidRPr="00A97EA2" w14:paraId="2EFA9159" w14:textId="77777777" w:rsidTr="00BC29AE">
        <w:trPr>
          <w:trHeight w:val="283"/>
        </w:trPr>
        <w:tc>
          <w:tcPr>
            <w:tcW w:w="2127" w:type="dxa"/>
          </w:tcPr>
          <w:p w14:paraId="0E399A44"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propranolol</w:t>
            </w:r>
          </w:p>
        </w:tc>
        <w:tc>
          <w:tcPr>
            <w:tcW w:w="1559" w:type="dxa"/>
            <w:vAlign w:val="bottom"/>
          </w:tcPr>
          <w:p w14:paraId="737B4E19" w14:textId="4C8BE200"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0.73</w:t>
            </w:r>
          </w:p>
        </w:tc>
        <w:tc>
          <w:tcPr>
            <w:tcW w:w="1417" w:type="dxa"/>
          </w:tcPr>
          <w:p w14:paraId="5C701CA0"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1.562</w:t>
            </w:r>
          </w:p>
        </w:tc>
        <w:tc>
          <w:tcPr>
            <w:tcW w:w="3884" w:type="dxa"/>
          </w:tcPr>
          <w:p w14:paraId="54071697" w14:textId="5442428E"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{"citationItems":[{"id":"ITEM-1","itemData":{"DOI":"10.1002/PRP2.575","ISSN":"2052-1707","PMID":"32266794","abstract":"In clinical pharmacology, the free drug hypothesis has been widely applied in the interpretation of the relationship between pharmacokinetics and pharmacodynamics (PK/PD). The free drug hypothesis assumes that the unbound drug concentration in blood is the same as that in the site of action at steady state. The objective of this study is to demonstrate whether the free drug hypothesis is universally applicable for all drugs. The unbound concentrations of the 18 compounds in blood and in brain interstitial fluids (ISF) at steady state following constant intravenous infusion were simultaneously monitored up to 6 hours via in vivo microdialysis technique. Based on the permeability and efflux ratio (ER), the test compounds can be divided into two classes. Class I includes the compounds with good membrane permeability that are not substrates of efflux transporters (eg, P-gp, BCRP, and MRPs), whereas Class II includes the compounds that are substrates of efflux transporters. The steady-state unbound drug concentrations in blood, brain, and CSF are quantitatively very similar for Class I compounds, whereas the steady-state unbound concentrations in the brain and CSF are significantly lower than those in blood for Class II compounds. These results strongly suggest that the free drug hypothesis is not universal for all drugs but is only applicable for drugs with good permeability that are not substrates of efflux transporters.","author":[{"dropping-particle":"","family":"Chen","given":"Chun","non-dropping-particle":"","parse-names":false,"suffix":""},{"dropping-particle":"","family":"Zhou","given":"Hongyu","non-dropping-particle":"","parse-names":false,"suffix":""},{"dropping-particle":"","family":"Guan","given":"Chi","non-dropping-particle":"","parse-names":false,"suffix":""},{"dropping-particle":"","family":"Zhang","given":"Huanhuan","non-dropping-particle":"","parse-names":false,"suffix":""},{"dropping-particle":"","family":"Li","given":"Yingying","non-dropping-particle":"","parse-names":false,"suffix":""},{"dropping-particle":"","family":"Jiang","given":"Xue","non-dropping-particle":"","parse-names":false,"suffix":""},{"dropping-particle":"","family":"Dong","given":"Zheng","non-dropping-particle":"","parse-names":false,"suffix":""},{"dropping-particle":"","family":"Tao","given":"Yuanyuan","non-dropping-particle":"","parse-names":false,"suffix":""},{"dropping-particle":"","family":"Du","given":"Juan","non-dropping-particle":"","parse-names":false,"suffix":""},{"dropping-particle":"","family":"Wang","given":"Shuyao","non-dropping-particle":"","parse-names":false,"suffix":""},{"dropping-particle":"","family":"Zhang","given":"Teng","non-dropping-particle":"","parse-names":false,"suffix":""},{"dropping-particle":"","family":"Du","given":"Na","non-dropping-particle":"","parse-names":false,"suffix":""},{"dropping-particle":"","family":"Guo","given":"Junyang","non-dropping-particle":"","parse-names":false,"suffix":""},{"dropping-particle":"","family":"Wu","given":"Yaqiong","non-dropping-particle":"","parse-names":false,"suffix":""},{"dropping-particle":"","family":"Song","given":"Zehai","non-dropping-particle":"","parse-names":false,"suffix":""},{"dropping-particle":"","family":"Luan","given":"Haofei","non-dropping-particle":"","parse-names":false,"suffix":""},{"dropping-particle":"","family":"Wang","given":"Yu","non-dropping-particle":"","parse-names":false,"suffix":""},{"dropping-particle":"","family":"Du","given":"Hongwen","non-dropping-particle":"","parse-names":false,"suffix":""},{"dropping-particle":"","family":"Zhang","given":"Shaofeng","non-dropping-particle":"","parse-names":false,"suffix":""},{"dropping-particle":"","family":"Li","given":"Chen","non-dropping-particle":"","parse-names":false,"suffix":""},{"dropping-particle":"","family":"Chang","given":"Hang","non-dropping-particle":"","parse-names":false,"suffix":""},{"dropping-particle":"","family":"Wang","given":"Tao","non-dropping-particle":"","parse-names":false,"suffix":""}],"container-title":"Pharmacology research &amp; perspectives","id":"ITEM-1","issue":"2","issued":{"date-parts":[["2020","4"]]},"publisher":"Pharmacol Res Perspect","title":"Applicability of free drug hypothesis to drugs with good membrane permeability that are not efflux transporter substrates: A microdialysis study in rats","type":"article-journal","volume":"8"},"uris":["http://www.mendeley.com/documents/?uuid=bd46f417-bc9d-4ffa-86a4-dec45f711fe9"]}],"mendeley":{"formattedCitation":"(7)","plainTextFormattedCitation":"(7)","previouslyFormattedCitation":"(7)"},"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(7)</w:t>
            </w:r>
            <w:r w:rsidRPr="00A97EA2">
              <w:rPr>
                <w:rFonts w:ascii="Calibri" w:hAnsi="Calibri" w:cs="Calibri"/>
                <w:sz w:val="20"/>
                <w:szCs w:val="20"/>
                <w:lang w:val="en-US"/>
              </w:rPr>
              <w:fldChar w:fldCharType="end"/>
            </w:r>
          </w:p>
        </w:tc>
      </w:tr>
      <w:tr w:rsidR="005C000D" w:rsidRPr="00A97EA2" w14:paraId="2B9D7479" w14:textId="77777777" w:rsidTr="00BC29AE">
        <w:trPr>
          <w:trHeight w:val="283"/>
        </w:trPr>
        <w:tc>
          <w:tcPr>
            <w:tcW w:w="2127" w:type="dxa"/>
          </w:tcPr>
          <w:p w14:paraId="51E03DB5"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raclopride</w:t>
            </w:r>
          </w:p>
        </w:tc>
        <w:tc>
          <w:tcPr>
            <w:tcW w:w="1559" w:type="dxa"/>
            <w:vAlign w:val="bottom"/>
          </w:tcPr>
          <w:p w14:paraId="42B79BDF" w14:textId="56EFB76E"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0.24</w:t>
            </w:r>
          </w:p>
        </w:tc>
        <w:tc>
          <w:tcPr>
            <w:tcW w:w="1417" w:type="dxa"/>
          </w:tcPr>
          <w:p w14:paraId="18E38EC2"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1.1</w:t>
            </w:r>
          </w:p>
        </w:tc>
        <w:tc>
          <w:tcPr>
            <w:tcW w:w="3884" w:type="dxa"/>
          </w:tcPr>
          <w:p w14:paraId="6CE86CA9" w14:textId="5753D540"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{"citationItems":[{"id":"ITEM-1","itemData":{"DOI":"10.1002/psp4.12250","ISSN":"21638306","PMID":"28891201","abstract":"Drug development targeting the central nervous system (CNS) is challenging due to poor predictability of drug concentrations in various CNS compartments. We developed a generic physiologically based pharmacokinetic (PBPK) model for prediction of drug concentrations in physiologically relevant CNS compartments. System-specific and drug-specific model parameters were derived from literature and in silico predictions. The model was validated using detailed concentration-time profiles from 10 drugs in rat plasma, brain extracellular fluid, 2 cerebrospinal fluid sites, and total brain tissue. These drugs, all small molecules, were selected to cover a wide range of physicochemical properties. The concentration-time profiles for these drugs were adequately predicted across the CNS compartments (symmetric mean absolute percentage error for the model prediction was &lt;91%). In conclusion, the developed PBPK model can be used to predict temporal concentration profiles of drugs in multiple relevant CNS compartments, which we consider valuable information for efficient CNS drug development.","author":[{"dropping-particle":"","family":"Yamamoto","given":"Yumi","non-dropping-particle":"","parse-names":false,"suffix":""},{"dropping-particle":"","family":"Välitalo","given":"Pyry A.","non-dropping-particle":"","parse-names":false,"suffix":""},{"dropping-particle":"","family":"Huntjens","given":"Dymphy R.","non-dropping-particle":"","parse-names":false,"suffix":""},{"dropping-particle":"","family":"Proost","given":"Johannes H.","non-dropping-particle":"","parse-names":false,"suffix":""},{"dropping-particle":"","family":"Vermeulen","given":"An","non-dropping-particle":"","parse-names":false,"suffix":""},{"dropping-particle":"","family":"Krauwinkel","given":"Walter","non-dropping-particle":"","parse-names":false,"suffix":""},{"dropping-particle":"","family":"Beukers","given":"Margot W.","non-dropping-particle":"","parse-names":false,"suffix":""},{"dropping-particle":"","family":"Berg","given":"Dirk Jan","non-dropping-particle":"Van Den","parse-names":false,"suffix":""},{"dropping-particle":"","family":"Hartman","given":"Robin","non-dropping-particle":"","parse-names":false,"suffix":""},{"dropping-particle":"","family":"Wong","given":"Yin Cheong","non-dropping-particle":"","parse-names":false,"suffix":""},{"dropping-particle":"","family":"Danhof","given":"Meindert","non-dropping-particle":"","parse-names":false,"suffix":""},{"dropping-particle":"","family":"Hasselt","given":"John G.C.","non-dropping-particle":"Van","parse-names":false,"suffix":""},{"dropping-particle":"","family":"Lange","given":"Elizabeth C.M.","non-dropping-particle":"De","parse-names":false,"suffix":""}],"container-title":"CPT: Pharmacometrics and Systems Pharmacology","id":"ITEM-1","issue":"11","issued":{"date-parts":[["2017"]]},"page":"765-777","title":"Predicting drug concentration-time profiles in multiple CNS compartments using a comprehensive physiologically-based pharmacokinetic model","type":"article-journal","volume":"6"},"uris":["http://www.mendeley.com/documents/?uuid=9268abe4-137c-4963-8186-f6c995bfb878"]}],"mendeley":{"formattedCitation":"(44)","plainTextFormattedCitation":"(44)","previouslyFormattedCitation":"(44)"},"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(44)</w:t>
            </w:r>
            <w:r w:rsidRPr="00A97EA2">
              <w:rPr>
                <w:rFonts w:ascii="Calibri" w:hAnsi="Calibri" w:cs="Calibri"/>
                <w:sz w:val="20"/>
                <w:szCs w:val="20"/>
                <w:lang w:val="en-US"/>
              </w:rPr>
              <w:fldChar w:fldCharType="end"/>
            </w:r>
          </w:p>
        </w:tc>
      </w:tr>
      <w:tr w:rsidR="005C000D" w:rsidRPr="005001B1" w14:paraId="7C302F73" w14:textId="77777777" w:rsidTr="00BC29AE">
        <w:trPr>
          <w:trHeight w:val="283"/>
        </w:trPr>
        <w:tc>
          <w:tcPr>
            <w:tcW w:w="2127" w:type="dxa"/>
          </w:tcPr>
          <w:p w14:paraId="7B5755F4"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salicylate</w:t>
            </w:r>
          </w:p>
        </w:tc>
        <w:tc>
          <w:tcPr>
            <w:tcW w:w="1559" w:type="dxa"/>
            <w:vAlign w:val="bottom"/>
          </w:tcPr>
          <w:p w14:paraId="14E3F194" w14:textId="14615E8B" w:rsidR="005C000D" w:rsidRPr="009B40F1" w:rsidRDefault="005C000D" w:rsidP="005C000D">
            <w:pPr>
              <w:spacing w:line="276" w:lineRule="auto"/>
              <w:rPr>
                <w:rFonts w:ascii="Calibri" w:hAnsi="Calibri" w:cs="Calibri"/>
                <w:color w:val="0070C0"/>
                <w:sz w:val="20"/>
                <w:szCs w:val="20"/>
                <w:lang w:val="en-US"/>
              </w:rPr>
            </w:pPr>
            <w:r w:rsidRPr="009B40F1">
              <w:rPr>
                <w:rFonts w:ascii="Calibri" w:hAnsi="Calibri" w:cs="Calibri"/>
                <w:color w:val="0070C0"/>
                <w:sz w:val="20"/>
                <w:szCs w:val="20"/>
              </w:rPr>
              <w:t>0.07</w:t>
            </w:r>
          </w:p>
        </w:tc>
        <w:tc>
          <w:tcPr>
            <w:tcW w:w="1417" w:type="dxa"/>
          </w:tcPr>
          <w:p w14:paraId="07B78180" w14:textId="7777777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t>0.13</w:t>
            </w:r>
          </w:p>
        </w:tc>
        <w:tc>
          <w:tcPr>
            <w:tcW w:w="3884" w:type="dxa"/>
          </w:tcPr>
          <w:p w14:paraId="25EFD0F6" w14:textId="2612B0B7" w:rsidR="005C000D" w:rsidRPr="00A97EA2" w:rsidRDefault="005C000D" w:rsidP="005C000D">
            <w:pPr>
              <w:spacing w:line="276" w:lineRule="auto"/>
              <w:rPr>
                <w:rFonts w:ascii="Calibri" w:hAnsi="Calibri" w:cs="Calibri"/>
                <w:sz w:val="20"/>
                <w:szCs w:val="20"/>
                <w:lang w:val="en-US"/>
              </w:rPr>
            </w:pPr>
            <w:r w:rsidRPr="00A97EA2">
              <w:rPr>
                <w:rFonts w:ascii="Calibri" w:hAnsi="Calibri" w:cs="Calibri"/>
                <w:sz w:val="20"/>
                <w:szCs w:val="20"/>
                <w:lang w:val="en-US"/>
              </w:rPr>
              <w:fldChar w:fldCharType="begin" w:fldLock="1"/>
            </w:r>
            <w:r>
              <w:rPr>
                <w:rFonts w:ascii="Calibri" w:hAnsi="Calibri" w:cs="Calibri"/>
                <w:sz w:val="20"/>
                <w:szCs w:val="20"/>
                <w:lang w:val="en-US"/>
              </w:rPr>
              <w:instrText>ADDIN CSL_CITATION {"citationItems":[{"id":"ITEM-1","itemData":{"ISSN":"00223565","PMID":"9023263","abstract":"This study was performed to evaluate quantitatively the brain distribution and the efflux transport across the blood-brain barrier of probenecid, using in vivo microdialysis and in situ brain perfusion techniques. The brain interstitial fluid (ISF)-to-plasma cerebrospinal fluid (CSF)-to-plasma and brain tissue-to-plasma unbound concentration ratios of probenecid at steady state were less than unity, which suggests restricted distribution in the brain. An uphill concentration gradient from ISF to plasma and a downhill concentration gradient from CSF to ISF were observed. Kinetic analysis revealed that the efflux clearance from brain ISF to plasma (0.0373 ml/min/g brain) was significantly greater than the influx clearance from plasma to brain (0.00733 ml/min/g brain). The ratio of the ISF concentration (C(isf)) to the plasma unbound concentration (C(p,f)) of probenecid was increased 2- to 3-fold by salicylate (3.7 mM) and benzoate (3.6 mM), which are accepted as substrates of the monocarboxylic acid transport system, compared with the same ratio for the control. In addition, the ratio C(isf)/C(p,f) was increased by treatment with N-ethylmaleimide, a sulfhydryl-modifying agent, whereas p-aminohippuric acid and choline did not produce increasing effects on C(isf)/C(p,f). These data suggest that the restricted distribution of probenecid in the brain may be ascribed to efficient efflux from the brain ISF, which may be regulated by the monocarboxylic acid transport system at a relatively high ISF concentration.","author":[{"dropping-particle":"","family":"Deguchi","given":"Yoshiharu","non-dropping-particle":"","parse-names":false,"suffix":""},{"dropping-particle":"","family":"Nozawa","given":"Kenji","non-dropping-particle":"","parse-names":false,"suffix":""},{"dropping-particle":"","family":"Yamada","given":"Shizuo","non-dropping-particle":"","parse-names":false,"suffix":""},{"dropping-particle":"","family":"Yokoyama","given":"Yoshinari","non-dropping-particle":"","parse-names":false,"suffix":""},{"dropping-particle":"","family":"Kimura","given":"Ryohei","non-dropping-particle":"","parse-names":false,"suffix":""}],"container-title":"Journal of Pharmacology and Experimental Therapeutics","id":"ITEM-1","issue":"2","issued":{"date-parts":[["1997"]]},"page":"551-560","title":"Quantitative evaluation of brain distribution and blood-brain barrier efflux transport of probenecid in rats by microdialysis: Possible involvement of the monocarboxylic acid transport system","type":"article-journal","volume":"280"},"uris":["http://www.mendeley.com/documents/?uuid=069b92d0-cd88-4e02-8fa1-9d49564cf5e4"]}],"mendeley":{"formattedCitation":"(43)","plainTextFormattedCitation":"(43)","previouslyFormattedCitation":"(43)"},"properties":{"noteIndex":0},"schema":"https://github.com/citation-style-language/schema/raw/master/csl-citation.json"}</w:instrText>
            </w:r>
            <w:r w:rsidRPr="00A97EA2">
              <w:rPr>
                <w:rFonts w:ascii="Calibri" w:hAnsi="Calibri" w:cs="Calibri"/>
                <w:sz w:val="20"/>
                <w:szCs w:val="20"/>
                <w:lang w:val="en-US"/>
              </w:rPr>
              <w:fldChar w:fldCharType="separate"/>
            </w:r>
            <w:r w:rsidRPr="00FD47FE">
              <w:rPr>
                <w:rFonts w:ascii="Calibri" w:hAnsi="Calibri" w:cs="Calibri"/>
                <w:noProof/>
                <w:sz w:val="20"/>
                <w:szCs w:val="20"/>
                <w:lang w:val="en-US"/>
              </w:rPr>
              <w:t>(43)</w:t>
            </w:r>
            <w:r w:rsidRPr="00A97EA2">
              <w:rPr>
                <w:rFonts w:ascii="Calibri" w:hAnsi="Calibri" w:cs="Calibri"/>
                <w:sz w:val="20"/>
                <w:szCs w:val="20"/>
                <w:lang w:val="en-US"/>
              </w:rPr>
              <w:fldChar w:fldCharType="end"/>
            </w:r>
          </w:p>
        </w:tc>
      </w:tr>
    </w:tbl>
    <w:p w14:paraId="7D1724D1" w14:textId="77777777" w:rsidR="00E85898" w:rsidRPr="00A97EA2" w:rsidRDefault="00E85898">
      <w:pPr>
        <w:spacing w:after="160" w:line="259" w:lineRule="auto"/>
        <w:rPr>
          <w:rFonts w:ascii="Calibri" w:hAnsi="Calibri" w:cs="Calibri"/>
          <w:lang w:val="en-US"/>
        </w:rPr>
      </w:pPr>
      <w:r w:rsidRPr="00A97EA2">
        <w:rPr>
          <w:rFonts w:ascii="Calibri" w:hAnsi="Calibri" w:cs="Calibri"/>
          <w:lang w:val="en-US"/>
        </w:rPr>
        <w:br w:type="page"/>
      </w:r>
    </w:p>
    <w:p w14:paraId="376FEDCD" w14:textId="1C0F2AF6" w:rsidR="00E85898" w:rsidRPr="00A97EA2" w:rsidRDefault="00E85898" w:rsidP="008F7757">
      <w:pPr>
        <w:widowControl w:val="0"/>
        <w:autoSpaceDE w:val="0"/>
        <w:autoSpaceDN w:val="0"/>
        <w:adjustRightInd w:val="0"/>
        <w:ind w:left="480" w:hanging="480"/>
        <w:rPr>
          <w:rFonts w:ascii="Calibri" w:hAnsi="Calibri" w:cs="Calibri"/>
          <w:b/>
          <w:bCs/>
          <w:sz w:val="24"/>
          <w:szCs w:val="32"/>
          <w:lang w:val="en-US"/>
        </w:rPr>
      </w:pPr>
      <w:r w:rsidRPr="00A97EA2">
        <w:rPr>
          <w:rFonts w:ascii="Calibri" w:hAnsi="Calibri" w:cs="Calibri"/>
          <w:b/>
          <w:bCs/>
          <w:sz w:val="24"/>
          <w:szCs w:val="32"/>
          <w:lang w:val="en-US"/>
        </w:rPr>
        <w:lastRenderedPageBreak/>
        <w:t>References</w:t>
      </w:r>
    </w:p>
    <w:p w14:paraId="6D956C2E" w14:textId="77777777" w:rsidR="00E85898" w:rsidRPr="00A97EA2" w:rsidRDefault="00E85898" w:rsidP="008F7757">
      <w:pPr>
        <w:widowControl w:val="0"/>
        <w:autoSpaceDE w:val="0"/>
        <w:autoSpaceDN w:val="0"/>
        <w:adjustRightInd w:val="0"/>
        <w:ind w:left="480" w:hanging="480"/>
        <w:rPr>
          <w:rFonts w:ascii="Calibri" w:hAnsi="Calibri" w:cs="Calibri"/>
          <w:lang w:val="en-US"/>
        </w:rPr>
      </w:pPr>
    </w:p>
    <w:p w14:paraId="1884AC64" w14:textId="7701BADF" w:rsidR="00FB520A" w:rsidRPr="003146CB" w:rsidRDefault="008F7757" w:rsidP="00FB520A">
      <w:pPr>
        <w:widowControl w:val="0"/>
        <w:autoSpaceDE w:val="0"/>
        <w:autoSpaceDN w:val="0"/>
        <w:adjustRightInd w:val="0"/>
        <w:ind w:left="640" w:hanging="640"/>
        <w:rPr>
          <w:rFonts w:ascii="Calibri" w:hAnsi="Calibri" w:cs="Calibri"/>
          <w:noProof/>
          <w:sz w:val="20"/>
          <w:lang w:val="es-ES"/>
        </w:rPr>
      </w:pPr>
      <w:r w:rsidRPr="00A97EA2">
        <w:rPr>
          <w:rFonts w:ascii="Calibri" w:hAnsi="Calibri" w:cs="Calibri"/>
          <w:lang w:val="en-US"/>
        </w:rPr>
        <w:fldChar w:fldCharType="begin" w:fldLock="1"/>
      </w:r>
      <w:r w:rsidRPr="00A97EA2">
        <w:rPr>
          <w:rFonts w:ascii="Calibri" w:hAnsi="Calibri" w:cs="Calibri"/>
          <w:lang w:val="en-US"/>
        </w:rPr>
        <w:instrText xml:space="preserve">ADDIN Mendeley Bibliography CSL_BIBLIOGRAPHY </w:instrText>
      </w:r>
      <w:r w:rsidRPr="00A97EA2">
        <w:rPr>
          <w:rFonts w:ascii="Calibri" w:hAnsi="Calibri" w:cs="Calibri"/>
          <w:lang w:val="en-US"/>
        </w:rPr>
        <w:fldChar w:fldCharType="separate"/>
      </w:r>
      <w:r w:rsidR="00FB520A" w:rsidRPr="003146CB">
        <w:rPr>
          <w:rFonts w:ascii="Calibri" w:hAnsi="Calibri" w:cs="Calibri"/>
          <w:noProof/>
          <w:sz w:val="20"/>
          <w:lang w:val="en-US"/>
        </w:rPr>
        <w:t xml:space="preserve">1. </w:t>
      </w:r>
      <w:r w:rsidR="00FB520A" w:rsidRPr="003146CB">
        <w:rPr>
          <w:rFonts w:ascii="Calibri" w:hAnsi="Calibri" w:cs="Calibri"/>
          <w:noProof/>
          <w:sz w:val="20"/>
          <w:lang w:val="en-US"/>
        </w:rPr>
        <w:tab/>
        <w:t xml:space="preserve">Kursa MB, Rudnicki WR. Feature selection with the boruta package. </w:t>
      </w:r>
      <w:r w:rsidR="00FB520A" w:rsidRPr="003146CB">
        <w:rPr>
          <w:rFonts w:ascii="Calibri" w:hAnsi="Calibri" w:cs="Calibri"/>
          <w:noProof/>
          <w:sz w:val="20"/>
          <w:lang w:val="es-ES"/>
        </w:rPr>
        <w:t xml:space="preserve">J Stat Softw. 2010;36(11):1–13. </w:t>
      </w:r>
    </w:p>
    <w:p w14:paraId="34D634F2"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s-ES"/>
        </w:rPr>
        <w:t xml:space="preserve">2. </w:t>
      </w:r>
      <w:r w:rsidRPr="003146CB">
        <w:rPr>
          <w:rFonts w:ascii="Calibri" w:hAnsi="Calibri" w:cs="Calibri"/>
          <w:noProof/>
          <w:sz w:val="20"/>
          <w:lang w:val="es-ES"/>
        </w:rPr>
        <w:tab/>
        <w:t xml:space="preserve">Shan Y, Cen Y, Zhang Y, Tan R, Zhao J, Nie Z, et al. </w:t>
      </w:r>
      <w:r w:rsidRPr="003146CB">
        <w:rPr>
          <w:rFonts w:ascii="Calibri" w:hAnsi="Calibri" w:cs="Calibri"/>
          <w:noProof/>
          <w:sz w:val="20"/>
          <w:lang w:val="en-US"/>
        </w:rPr>
        <w:t>Acyclovir Brain Disposition: Interactions with P-gp, Bcrp, Mrp2, and Oat3 at the Blood–Brain Barrier. Eur J Drug Metab Pharmacokinet [Internet]. 2022;47(2):279–89. Available from: https://doi.org/10.1007/s13318-021-00733-w</w:t>
      </w:r>
    </w:p>
    <w:p w14:paraId="18B9FFBC"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3. </w:t>
      </w:r>
      <w:r w:rsidRPr="003146CB">
        <w:rPr>
          <w:rFonts w:ascii="Calibri" w:hAnsi="Calibri" w:cs="Calibri"/>
          <w:noProof/>
          <w:sz w:val="20"/>
          <w:lang w:val="en-US"/>
        </w:rPr>
        <w:tab/>
        <w:t xml:space="preserve">Stahle L BN. Transport of alovudine (3′-fluorothymidine) into the brain and the cerebrospinal fluid of the rat, studied by microdialysis. Life Sci. 2000;66(19):1805–16. </w:t>
      </w:r>
    </w:p>
    <w:p w14:paraId="32947E47"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4. </w:t>
      </w:r>
      <w:r w:rsidRPr="003146CB">
        <w:rPr>
          <w:rFonts w:ascii="Calibri" w:hAnsi="Calibri" w:cs="Calibri"/>
          <w:noProof/>
          <w:sz w:val="20"/>
          <w:lang w:val="en-US"/>
        </w:rPr>
        <w:tab/>
        <w:t xml:space="preserve">Hakkarainen JJ, Jalkanen AJ, Kääriäinen TM, Keski-Rahkonen P, Venäläinen T, Hokkanen J, et al. Comparison of in vitro cell models in predicting in vivo brain entry of drugs. Int J Pharm. 2010 Dec;402(1–2):27–36. </w:t>
      </w:r>
    </w:p>
    <w:p w14:paraId="05BD3F5D"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5. </w:t>
      </w:r>
      <w:r w:rsidRPr="003146CB">
        <w:rPr>
          <w:rFonts w:ascii="Calibri" w:hAnsi="Calibri" w:cs="Calibri"/>
          <w:noProof/>
          <w:sz w:val="20"/>
          <w:lang w:val="en-US"/>
        </w:rPr>
        <w:tab/>
        <w:t xml:space="preserve">Yang CN, Peng WY, Lin LC, Tsai TH. Protein unbound pharmacokinetics of ambroxol in the blood and brains of rats and the interaction of ambroxol with Polygala tenuifolia by multiple microdialysis. J Ethnopharmacol. 2021 Apr;269. </w:t>
      </w:r>
    </w:p>
    <w:p w14:paraId="483496E5"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6. </w:t>
      </w:r>
      <w:r w:rsidRPr="003146CB">
        <w:rPr>
          <w:rFonts w:ascii="Calibri" w:hAnsi="Calibri" w:cs="Calibri"/>
          <w:noProof/>
          <w:sz w:val="20"/>
          <w:lang w:val="en-US"/>
        </w:rPr>
        <w:tab/>
        <w:t xml:space="preserve">Edwards JE, Brouwer KR, McNamara PJ. GF120918, a P-glycoprotein modulator, increases the concentration of unbound amprenavir in the central nervous system in rats. Antimicrob Agents Chemother. 2002;46(7):2284–6. </w:t>
      </w:r>
    </w:p>
    <w:p w14:paraId="248DAD4E"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7. </w:t>
      </w:r>
      <w:r w:rsidRPr="003146CB">
        <w:rPr>
          <w:rFonts w:ascii="Calibri" w:hAnsi="Calibri" w:cs="Calibri"/>
          <w:noProof/>
          <w:sz w:val="20"/>
          <w:lang w:val="en-US"/>
        </w:rPr>
        <w:tab/>
        <w:t xml:space="preserve">Chen C, Zhou H, Guan C, Zhang H, Li Y, Jiang X, et al. Applicability of free drug hypothesis to drugs with good membrane permeability that are not efflux transporter substrates: A microdialysis study in rats. Pharmacol Res Perspect. 2020 Apr;8(2). </w:t>
      </w:r>
    </w:p>
    <w:p w14:paraId="6A3E4234"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8. </w:t>
      </w:r>
      <w:r w:rsidRPr="003146CB">
        <w:rPr>
          <w:rFonts w:ascii="Calibri" w:hAnsi="Calibri" w:cs="Calibri"/>
          <w:noProof/>
          <w:sz w:val="20"/>
          <w:lang w:val="en-US"/>
        </w:rPr>
        <w:tab/>
        <w:t xml:space="preserve">Sam E, Sarre S, Michotte Y, Verbeke N. Distribution of apomorphine enantiomers in plasma, brain tissue and striatal extracellular fluid. Eur J Pharmacol. 1997;329(1):9–15. </w:t>
      </w:r>
    </w:p>
    <w:p w14:paraId="717EBFEC"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9. </w:t>
      </w:r>
      <w:r w:rsidRPr="003146CB">
        <w:rPr>
          <w:rFonts w:ascii="Calibri" w:hAnsi="Calibri" w:cs="Calibri"/>
          <w:noProof/>
          <w:sz w:val="20"/>
          <w:lang w:val="en-US"/>
        </w:rPr>
        <w:tab/>
        <w:t xml:space="preserve">Tsai TH, Liu SC, Tsai PL, Ho LK, Shum AYC, Chen CF. The effects of the cyclosporin A , a P-glycoprotein inhibitor , on the pharmacokinetics of baicalein in the rat : a microdialysis study. Br J Pharmacol. 2002;137:1314–20. </w:t>
      </w:r>
    </w:p>
    <w:p w14:paraId="2695A451"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10. </w:t>
      </w:r>
      <w:r w:rsidRPr="003146CB">
        <w:rPr>
          <w:rFonts w:ascii="Calibri" w:hAnsi="Calibri" w:cs="Calibri"/>
          <w:noProof/>
          <w:sz w:val="20"/>
          <w:lang w:val="en-US"/>
        </w:rPr>
        <w:tab/>
        <w:t xml:space="preserve">Ikeda Y, Oda Y, Nakamura T, Takahashi R, Miyake W, Hase I, et al. Pharmacokinetics of lidocaine, bupivacaine, and levobupivacaine in plasma and brain in awake rats. Anesthesiology. 2010;112(6):1396–403. </w:t>
      </w:r>
    </w:p>
    <w:p w14:paraId="55CD7A56"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11. </w:t>
      </w:r>
      <w:r w:rsidRPr="003146CB">
        <w:rPr>
          <w:rFonts w:ascii="Calibri" w:hAnsi="Calibri" w:cs="Calibri"/>
          <w:noProof/>
          <w:sz w:val="20"/>
          <w:lang w:val="en-US"/>
        </w:rPr>
        <w:tab/>
        <w:t xml:space="preserve">Summerfield SG, Zhang Y, Liu H. Examining the uptake of central nervous system drugs and candidates across the blood-brain barrier. J Pharmacol Exp Ther. 2016;358(2):294–305. </w:t>
      </w:r>
    </w:p>
    <w:p w14:paraId="46DB16F3"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12. </w:t>
      </w:r>
      <w:r w:rsidRPr="003146CB">
        <w:rPr>
          <w:rFonts w:ascii="Calibri" w:hAnsi="Calibri" w:cs="Calibri"/>
          <w:noProof/>
          <w:sz w:val="20"/>
          <w:lang w:val="en-US"/>
        </w:rPr>
        <w:tab/>
        <w:t xml:space="preserve">Tsai TH, Lee CH, Yeh PH. Effect of P-glycoprotein modulators on the pharmacokinetics of camptothecin using microdialysis. Br J Pharmacol. 2001;134:1245–52. </w:t>
      </w:r>
    </w:p>
    <w:p w14:paraId="5E0C3CB8"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13. </w:t>
      </w:r>
      <w:r w:rsidRPr="003146CB">
        <w:rPr>
          <w:rFonts w:ascii="Calibri" w:hAnsi="Calibri" w:cs="Calibri"/>
          <w:noProof/>
          <w:sz w:val="20"/>
          <w:lang w:val="en-US"/>
        </w:rPr>
        <w:tab/>
        <w:t xml:space="preserve">Hammarlund-Udenaes M. The use of microdialysis in CNS drug delivery studies: Pharmacokinetic perspectives and results with analgesics and antiepileptics. Adv Drug Deliv Rev. 2000;45(2–3):283–94. </w:t>
      </w:r>
    </w:p>
    <w:p w14:paraId="168253E2"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14. </w:t>
      </w:r>
      <w:r w:rsidRPr="003146CB">
        <w:rPr>
          <w:rFonts w:ascii="Calibri" w:hAnsi="Calibri" w:cs="Calibri"/>
          <w:noProof/>
          <w:sz w:val="20"/>
          <w:lang w:val="en-US"/>
        </w:rPr>
        <w:tab/>
        <w:t xml:space="preserve">Tsai TH, Chen Y. Simultaneous determination of cefazolin in rat blood and brain by microdialysis and microbore liquid chromatography. | Semantic Scholar. Biomedical Chromatography. 2000. p. 274–8. </w:t>
      </w:r>
    </w:p>
    <w:p w14:paraId="20D8D44E"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15. </w:t>
      </w:r>
      <w:r w:rsidRPr="003146CB">
        <w:rPr>
          <w:rFonts w:ascii="Calibri" w:hAnsi="Calibri" w:cs="Calibri"/>
          <w:noProof/>
          <w:sz w:val="20"/>
          <w:lang w:val="en-US"/>
        </w:rPr>
        <w:tab/>
        <w:t xml:space="preserve">Granero L, Santiago M, Cano J, Machado A, Peris JE. Analysis of ceftriaxone and ceftazidime distribution in cerebrospinal fluid of and cerebral extracellular space in awake rats by in vivo microdialysis. Antimicrob Agents Chemother. 1995;39(12):2728–31. </w:t>
      </w:r>
    </w:p>
    <w:p w14:paraId="39556796"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16. </w:t>
      </w:r>
      <w:r w:rsidRPr="003146CB">
        <w:rPr>
          <w:rFonts w:ascii="Calibri" w:hAnsi="Calibri" w:cs="Calibri"/>
          <w:noProof/>
          <w:sz w:val="20"/>
          <w:lang w:val="en-US"/>
        </w:rPr>
        <w:tab/>
        <w:t xml:space="preserve">Weber ML, Hofland CM, Shaffer CL, Flik G, Cremers T, Hurst RS, et al. Therapeutic doses of antidepressants are projected not to inhibit human </w:t>
      </w:r>
      <w:r w:rsidRPr="00FB520A">
        <w:rPr>
          <w:rFonts w:ascii="Calibri" w:hAnsi="Calibri" w:cs="Calibri"/>
          <w:noProof/>
          <w:sz w:val="20"/>
        </w:rPr>
        <w:t>α</w:t>
      </w:r>
      <w:r w:rsidRPr="003146CB">
        <w:rPr>
          <w:rFonts w:ascii="Calibri" w:hAnsi="Calibri" w:cs="Calibri"/>
          <w:noProof/>
          <w:sz w:val="20"/>
          <w:lang w:val="en-US"/>
        </w:rPr>
        <w:t>4</w:t>
      </w:r>
      <w:r w:rsidRPr="00FB520A">
        <w:rPr>
          <w:rFonts w:ascii="Calibri" w:hAnsi="Calibri" w:cs="Calibri"/>
          <w:noProof/>
          <w:sz w:val="20"/>
        </w:rPr>
        <w:t>β</w:t>
      </w:r>
      <w:r w:rsidRPr="003146CB">
        <w:rPr>
          <w:rFonts w:ascii="Calibri" w:hAnsi="Calibri" w:cs="Calibri"/>
          <w:noProof/>
          <w:sz w:val="20"/>
          <w:lang w:val="en-US"/>
        </w:rPr>
        <w:t xml:space="preserve">2 nicotinic acetylcholine receptors. Neuropharmacology. 2013;72:88–95. </w:t>
      </w:r>
    </w:p>
    <w:p w14:paraId="1C73C8A0"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17. </w:t>
      </w:r>
      <w:r w:rsidRPr="003146CB">
        <w:rPr>
          <w:rFonts w:ascii="Calibri" w:hAnsi="Calibri" w:cs="Calibri"/>
          <w:noProof/>
          <w:sz w:val="20"/>
          <w:lang w:val="en-US"/>
        </w:rPr>
        <w:tab/>
        <w:t xml:space="preserve">Hou ML, Lin CH, Lin LC, Tsai TH. The Drug-Drug Effects of Rhein on the Pharmacokinetics and Pharmacodynamics of Clozapine in Rat Brain Extracellular Fluid by In Vivo Microdialysis. J Pharmacol Exp Ther. 2015 Oct;355(1):125–34. </w:t>
      </w:r>
    </w:p>
    <w:p w14:paraId="20E46184"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18. </w:t>
      </w:r>
      <w:r w:rsidRPr="003146CB">
        <w:rPr>
          <w:rFonts w:ascii="Calibri" w:hAnsi="Calibri" w:cs="Calibri"/>
          <w:noProof/>
          <w:sz w:val="20"/>
          <w:lang w:val="en-US"/>
        </w:rPr>
        <w:tab/>
        <w:t xml:space="preserve">Chen Y, Chang C, Wang S, Tsai T. Measurement of unbound cocaine in blood , brain and bile of anesthetized rats using microdialysis coupled with liquid chromatography and verified by tandem mass spectrometry. Biomed Chromatogr. 2005;408:402–8. </w:t>
      </w:r>
    </w:p>
    <w:p w14:paraId="747DD20D"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19. </w:t>
      </w:r>
      <w:r w:rsidRPr="003146CB">
        <w:rPr>
          <w:rFonts w:ascii="Calibri" w:hAnsi="Calibri" w:cs="Calibri"/>
          <w:noProof/>
          <w:sz w:val="20"/>
          <w:lang w:val="en-US"/>
        </w:rPr>
        <w:tab/>
        <w:t xml:space="preserve">Desrayaud S, Guntz P, Scherrmann JM LM. Effect of the P-glycoprotein inhibitor, SDZ PSC 833, on the blood and brain pharmacokinetics of colchicine. Life Sci. 1997;61(2):153–63. </w:t>
      </w:r>
    </w:p>
    <w:p w14:paraId="19F03968"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20. </w:t>
      </w:r>
      <w:r w:rsidRPr="003146CB">
        <w:rPr>
          <w:rFonts w:ascii="Calibri" w:hAnsi="Calibri" w:cs="Calibri"/>
          <w:noProof/>
          <w:sz w:val="20"/>
          <w:lang w:val="en-US"/>
        </w:rPr>
        <w:tab/>
        <w:t xml:space="preserve">Lindqvist A, Rip J, Gaillard PJ, Hammarlund-udenaes M. Enhanced Brain Delivery of the Opioid Peptide DAMGO in Glutathione PEGylated Liposomes: A Microdialysis Study. 2013; </w:t>
      </w:r>
    </w:p>
    <w:p w14:paraId="2FD707D9"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21. </w:t>
      </w:r>
      <w:r w:rsidRPr="003146CB">
        <w:rPr>
          <w:rFonts w:ascii="Calibri" w:hAnsi="Calibri" w:cs="Calibri"/>
          <w:noProof/>
          <w:sz w:val="20"/>
          <w:lang w:val="en-US"/>
        </w:rPr>
        <w:tab/>
        <w:t xml:space="preserve">Dubey RK, McAllister CB, Inoue M, Wilkinson GR. Plasma binding and transport of diazepam across the blood-brain barrier. No evidence for in vivo enhanced dissociation. J Clin Invest. 1989;84(4):1155–9. </w:t>
      </w:r>
    </w:p>
    <w:p w14:paraId="6754EB18"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22. </w:t>
      </w:r>
      <w:r w:rsidRPr="003146CB">
        <w:rPr>
          <w:rFonts w:ascii="Calibri" w:hAnsi="Calibri" w:cs="Calibri"/>
          <w:noProof/>
          <w:sz w:val="20"/>
          <w:lang w:val="en-US"/>
        </w:rPr>
        <w:tab/>
        <w:t>Kitamura A, Okura T, Higuchi K, Deguchi Y. Cocktail-Dosing Microdialysis Study to Simultaneously Assess Delivery of Multiple Organic-Cationic Drugs to the Brain. J Pharm Sci [Internet]. 2016;105(2):935–40. Available from: http://dx.doi.org/10.1002/jps.24691</w:t>
      </w:r>
    </w:p>
    <w:p w14:paraId="3FCBDAB3"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lastRenderedPageBreak/>
        <w:t xml:space="preserve">23. </w:t>
      </w:r>
      <w:r w:rsidRPr="003146CB">
        <w:rPr>
          <w:rFonts w:ascii="Calibri" w:hAnsi="Calibri" w:cs="Calibri"/>
          <w:noProof/>
          <w:sz w:val="20"/>
          <w:lang w:val="en-US"/>
        </w:rPr>
        <w:tab/>
        <w:t xml:space="preserve">Kielbasa W, Stratford RE. Exploratory translational modeling approach in drug development to predict human brain pharmacokinetics and pharmacologically relevant clinical doses. Drug Metab Dispos. 2012;40(5):877–83. </w:t>
      </w:r>
    </w:p>
    <w:p w14:paraId="0A91DCD9"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24. </w:t>
      </w:r>
      <w:r w:rsidRPr="003146CB">
        <w:rPr>
          <w:rFonts w:ascii="Calibri" w:hAnsi="Calibri" w:cs="Calibri"/>
          <w:noProof/>
          <w:sz w:val="20"/>
          <w:lang w:val="en-US"/>
        </w:rPr>
        <w:tab/>
        <w:t xml:space="preserve">Bundgaard C, Jørgensen M, Larsen F. Pharmacokinetic modelling of blood–brain barrier transport of escitalopram in rats. Biopharm Drug Dispos. 2007 Oct;28(7):349–60. </w:t>
      </w:r>
    </w:p>
    <w:p w14:paraId="18D21FD1"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25. </w:t>
      </w:r>
      <w:r w:rsidRPr="003146CB">
        <w:rPr>
          <w:rFonts w:ascii="Calibri" w:hAnsi="Calibri" w:cs="Calibri"/>
          <w:noProof/>
          <w:sz w:val="20"/>
          <w:lang w:val="en-US"/>
        </w:rPr>
        <w:tab/>
        <w:t xml:space="preserve">Sun H, Miller DW, Elmquist WF. Effect of Probenecid on Fluorescein Transport in the Central Nervous System Using In Vitro and In Vivo Models. Pharm Res. 2001;18(11):1542–9. </w:t>
      </w:r>
    </w:p>
    <w:p w14:paraId="501B4421"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26. </w:t>
      </w:r>
      <w:r w:rsidRPr="003146CB">
        <w:rPr>
          <w:rFonts w:ascii="Calibri" w:hAnsi="Calibri" w:cs="Calibri"/>
          <w:noProof/>
          <w:sz w:val="20"/>
          <w:lang w:val="en-US"/>
        </w:rPr>
        <w:tab/>
        <w:t xml:space="preserve">Tsai T. Concurrent measurement of unbound genistein in the blood , brain and bile of anesthetized rats using microdialysis and its pharmacokinetic application. J Chromatogr A. 2005;1073:317–22. </w:t>
      </w:r>
    </w:p>
    <w:p w14:paraId="41119076"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27. </w:t>
      </w:r>
      <w:r w:rsidRPr="003146CB">
        <w:rPr>
          <w:rFonts w:ascii="Calibri" w:hAnsi="Calibri" w:cs="Calibri"/>
          <w:noProof/>
          <w:sz w:val="20"/>
          <w:lang w:val="en-US"/>
        </w:rPr>
        <w:tab/>
        <w:t xml:space="preserve">Huang CT, Chen CF, Tsai TH. Pharmacokinetics of granisetron in rat blood and brain by microdialysis. Life Sci. 1999 Apr;64(21):1921–31. </w:t>
      </w:r>
    </w:p>
    <w:p w14:paraId="59DFDCFA"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28. </w:t>
      </w:r>
      <w:r w:rsidRPr="003146CB">
        <w:rPr>
          <w:rFonts w:ascii="Calibri" w:hAnsi="Calibri" w:cs="Calibri"/>
          <w:noProof/>
          <w:sz w:val="20"/>
          <w:lang w:val="en-US"/>
        </w:rPr>
        <w:tab/>
        <w:t xml:space="preserve">O’Brien FE, Clarke G, Fitzgerald P, Dinan TG, Griffin BT, Cryan JF. Inhibition of P-glycoprotein enhances transport of imipramine across the blood-brain barrier: microdialysis studies in conscious freely moving rats. Br J Pharmacol. 2012 Jun;166(4):1333–43. </w:t>
      </w:r>
    </w:p>
    <w:p w14:paraId="7C2D420D"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29. </w:t>
      </w:r>
      <w:r w:rsidRPr="003146CB">
        <w:rPr>
          <w:rFonts w:ascii="Calibri" w:hAnsi="Calibri" w:cs="Calibri"/>
          <w:noProof/>
          <w:sz w:val="20"/>
          <w:lang w:val="en-US"/>
        </w:rPr>
        <w:tab/>
        <w:t>Saleh MAA, Loo CF, Elassaiss-Schaap J, De Lange ECM. Lumbar cerebrospinal fluid-to-brain extracellular fluid surrogacy is context-specific: insights from LeiCNS-PK3.0 simulations. J Pharmacokinet Pharmacodyn [Internet]. 2021;48(5):725–41. Available from: https://doi.org/10.1007/s10928-021-09768-7</w:t>
      </w:r>
    </w:p>
    <w:p w14:paraId="6F4BE7C1"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30. </w:t>
      </w:r>
      <w:r w:rsidRPr="003146CB">
        <w:rPr>
          <w:rFonts w:ascii="Calibri" w:hAnsi="Calibri" w:cs="Calibri"/>
          <w:noProof/>
          <w:sz w:val="20"/>
          <w:lang w:val="en-US"/>
        </w:rPr>
        <w:tab/>
        <w:t xml:space="preserve">Saleh MAA, de Lange ECM. Impact of cns diseases on drug delivery to brain extracellular and intracellular target sites in human: A “what-if” simulation study. Pharmaceutics. 2021;13(1):1–17. </w:t>
      </w:r>
    </w:p>
    <w:p w14:paraId="4E06BAD8"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31. </w:t>
      </w:r>
      <w:r w:rsidRPr="003146CB">
        <w:rPr>
          <w:rFonts w:ascii="Calibri" w:hAnsi="Calibri" w:cs="Calibri"/>
          <w:noProof/>
          <w:sz w:val="20"/>
          <w:lang w:val="en-US"/>
        </w:rPr>
        <w:tab/>
        <w:t xml:space="preserve">Cen Y, Shan Y, Zhao J, Xu X, Nie Z, Zhang J. Multiple drug transporters contribute to the brain transfer of levofloxacin. CNS Neurosci Ther. 2023 Jan;29(1):445–57. </w:t>
      </w:r>
    </w:p>
    <w:p w14:paraId="733AC150"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32. </w:t>
      </w:r>
      <w:r w:rsidRPr="003146CB">
        <w:rPr>
          <w:rFonts w:ascii="Calibri" w:hAnsi="Calibri" w:cs="Calibri"/>
          <w:noProof/>
          <w:sz w:val="20"/>
          <w:lang w:val="en-US"/>
        </w:rPr>
        <w:tab/>
        <w:t xml:space="preserve">Hansen DK, Scott DO, Otis KW, Lunte SM. Comparison of in vitro BBMEC permeability and in vivo CNS uptake by microdialysis sampling. J Pharm Biomed Anal. 2002 Mar;27(6):945–58. </w:t>
      </w:r>
    </w:p>
    <w:p w14:paraId="301719E4"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33. </w:t>
      </w:r>
      <w:r w:rsidRPr="003146CB">
        <w:rPr>
          <w:rFonts w:ascii="Calibri" w:hAnsi="Calibri" w:cs="Calibri"/>
          <w:noProof/>
          <w:sz w:val="20"/>
          <w:lang w:val="en-US"/>
        </w:rPr>
        <w:tab/>
        <w:t xml:space="preserve">Deguchi Y, Y Yokoyama, T Sakamoto, H Hayashi, T Naito, S Yamada RK. Brain distribution of 6-mercaptopurine is regulated by the efflux transport system in the blood-brain barrier. Life Sci. 2000;66(7):649–62. </w:t>
      </w:r>
    </w:p>
    <w:p w14:paraId="0149152D"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34. </w:t>
      </w:r>
      <w:r w:rsidRPr="003146CB">
        <w:rPr>
          <w:rFonts w:ascii="Calibri" w:hAnsi="Calibri" w:cs="Calibri"/>
          <w:noProof/>
          <w:sz w:val="20"/>
          <w:lang w:val="en-US"/>
        </w:rPr>
        <w:tab/>
        <w:t>Nagaya Y, Nozaki Y, Takenaka O, Watari R, Kusano K, Yoshimura T, et al. Investigation of utility of cerebrospinal fluid drug concentration as a surrogate for interstitial fluid concentration using microdialysis coupled with cisternal cerebrospinal fluid sampling in wild-type and Mdr1a(-/-) rats. Drug Metab Pharmacokinet [Internet]. 2016;31(1):57–66. Available from: http://dx.doi.org/10.1016/j.dmpk.2015.10.003</w:t>
      </w:r>
    </w:p>
    <w:p w14:paraId="6BBE0E8D"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35. </w:t>
      </w:r>
      <w:r w:rsidRPr="003146CB">
        <w:rPr>
          <w:rFonts w:ascii="Calibri" w:hAnsi="Calibri" w:cs="Calibri"/>
          <w:noProof/>
          <w:sz w:val="20"/>
          <w:lang w:val="en-US"/>
        </w:rPr>
        <w:tab/>
        <w:t>Kong WM, Mohamed Z, Alshawsh MA, Chik Z. Evaluation of pharmacokinetics and blood-brain barrier permeability of mitragynine using in vivo microdialysis technique. J Pharm Biomed Anal [Internet]. 2017;143:43–7. Available from: http://dx.doi.org/10.1016/j.jpba.2017.05.020</w:t>
      </w:r>
    </w:p>
    <w:p w14:paraId="754121B2"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36. </w:t>
      </w:r>
      <w:r w:rsidRPr="003146CB">
        <w:rPr>
          <w:rFonts w:ascii="Calibri" w:hAnsi="Calibri" w:cs="Calibri"/>
          <w:noProof/>
          <w:sz w:val="20"/>
          <w:lang w:val="en-US"/>
        </w:rPr>
        <w:tab/>
        <w:t xml:space="preserve">Tunblad K, Hammarlund-Udenaes M, Jonsson EN. Influence of probenecid on the delivery of morphine-6-glucuronide to the brain. Eur J Pharm Sci. 2005;24(1):49–57. </w:t>
      </w:r>
    </w:p>
    <w:p w14:paraId="5EB69363"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37. </w:t>
      </w:r>
      <w:r w:rsidRPr="003146CB">
        <w:rPr>
          <w:rFonts w:ascii="Calibri" w:hAnsi="Calibri" w:cs="Calibri"/>
          <w:noProof/>
          <w:sz w:val="20"/>
          <w:lang w:val="en-US"/>
        </w:rPr>
        <w:tab/>
        <w:t xml:space="preserve">Durk MR, Deshmukh G, Valle N, Ding X, Liederer BM, Liu X. Use of subcutaneous and intraperitoneal administration methods to facilitate cassette dosing in microdialysis studies in rats. Drug Metab Dispos. 2018;46(7):964–9. </w:t>
      </w:r>
    </w:p>
    <w:p w14:paraId="1D412232"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38. </w:t>
      </w:r>
      <w:r w:rsidRPr="003146CB">
        <w:rPr>
          <w:rFonts w:ascii="Calibri" w:hAnsi="Calibri" w:cs="Calibri"/>
          <w:noProof/>
          <w:sz w:val="20"/>
          <w:lang w:val="en-US"/>
        </w:rPr>
        <w:tab/>
        <w:t xml:space="preserve">Tsai TH. Determination of Naringin in Rat Blood , Brain , Liver , and Bile Using Microdialysis and Its Interaction with Cyclosporin A , a P-Glycoprotein Modulator. J Agric Food Chemsitry. 2002;50(23):6669–74. </w:t>
      </w:r>
    </w:p>
    <w:p w14:paraId="66C99AD9"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39. </w:t>
      </w:r>
      <w:r w:rsidRPr="003146CB">
        <w:rPr>
          <w:rFonts w:ascii="Calibri" w:hAnsi="Calibri" w:cs="Calibri"/>
          <w:noProof/>
          <w:sz w:val="20"/>
          <w:lang w:val="en-US"/>
        </w:rPr>
        <w:tab/>
        <w:t xml:space="preserve">Ooie T, Terasaki T, Suzuki H SY. Quantitative brain microdialysis study on the mechanism of quinolones distribution in the central nervous system. Drug Metab Dispos. 1997;25(7):784–9. </w:t>
      </w:r>
    </w:p>
    <w:p w14:paraId="5F4669FF"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40. </w:t>
      </w:r>
      <w:r w:rsidRPr="003146CB">
        <w:rPr>
          <w:rFonts w:ascii="Calibri" w:hAnsi="Calibri" w:cs="Calibri"/>
          <w:noProof/>
          <w:sz w:val="20"/>
          <w:lang w:val="en-US"/>
        </w:rPr>
        <w:tab/>
        <w:t xml:space="preserve">Cheng FC, Ho YF, Hung LC, Chen CF, Tsai TH. Determination and pharmacokinetic profile of omeprazole in rat blood, brain and bile by microdialysis and high-performance liquid chromatography. J Chromatogr A. 2002 Mar;949(1–2):35–42. </w:t>
      </w:r>
    </w:p>
    <w:p w14:paraId="2B5D3C72"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fr-FR"/>
        </w:rPr>
      </w:pPr>
      <w:r w:rsidRPr="003146CB">
        <w:rPr>
          <w:rFonts w:ascii="Calibri" w:hAnsi="Calibri" w:cs="Calibri"/>
          <w:noProof/>
          <w:sz w:val="20"/>
          <w:lang w:val="en-US"/>
        </w:rPr>
        <w:t xml:space="preserve">41. </w:t>
      </w:r>
      <w:r w:rsidRPr="003146CB">
        <w:rPr>
          <w:rFonts w:ascii="Calibri" w:hAnsi="Calibri" w:cs="Calibri"/>
          <w:noProof/>
          <w:sz w:val="20"/>
          <w:lang w:val="en-US"/>
        </w:rPr>
        <w:tab/>
        <w:t xml:space="preserve">Gustafsson S, Eriksson J, Syvänen S, Eriksson O, Hammarlund-Udenaes M, Antoni G. Combined PET and microdialysis for in vivo estimation of drug blood-brain barrier transport and brain unbound concentrations. </w:t>
      </w:r>
      <w:r w:rsidRPr="003146CB">
        <w:rPr>
          <w:rFonts w:ascii="Calibri" w:hAnsi="Calibri" w:cs="Calibri"/>
          <w:noProof/>
          <w:sz w:val="20"/>
          <w:lang w:val="fr-FR"/>
        </w:rPr>
        <w:t>Neuroimage [Internet]. 2017;155:177–86. Available from: http://dx.doi.org/10.1016/j.neuroimage.2017.04.068</w:t>
      </w:r>
    </w:p>
    <w:p w14:paraId="32E4AEF7"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42. </w:t>
      </w:r>
      <w:r w:rsidRPr="003146CB">
        <w:rPr>
          <w:rFonts w:ascii="Calibri" w:hAnsi="Calibri" w:cs="Calibri"/>
          <w:noProof/>
          <w:sz w:val="20"/>
          <w:lang w:val="en-US"/>
        </w:rPr>
        <w:tab/>
        <w:t xml:space="preserve">Feng MR, Turluck D, Burleigh J, Lister R, Fan C, Middlebrook A, et al. Brain microdialysis and PK/PD correlation of pregabalin in rats. Eur J Drug Metab Pharmacokinet. 2001;26(1–2):123–8. </w:t>
      </w:r>
    </w:p>
    <w:p w14:paraId="0A191380"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43. </w:t>
      </w:r>
      <w:r w:rsidRPr="003146CB">
        <w:rPr>
          <w:rFonts w:ascii="Calibri" w:hAnsi="Calibri" w:cs="Calibri"/>
          <w:noProof/>
          <w:sz w:val="20"/>
          <w:lang w:val="en-US"/>
        </w:rPr>
        <w:tab/>
        <w:t xml:space="preserve">Deguchi Y, Nozawa K, Yamada S, Yokoyama Y, Kimura R. Quantitative evaluation of brain distribution and blood-brain barrier efflux transport of probenecid in rats by microdialysis: Possible involvement of the monocarboxylic acid transport system. J Pharmacol Exp Ther. 1997;280(2):551–60. </w:t>
      </w:r>
    </w:p>
    <w:p w14:paraId="7F0DB9D6"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lastRenderedPageBreak/>
        <w:t xml:space="preserve">44. </w:t>
      </w:r>
      <w:r w:rsidRPr="003146CB">
        <w:rPr>
          <w:rFonts w:ascii="Calibri" w:hAnsi="Calibri" w:cs="Calibri"/>
          <w:noProof/>
          <w:sz w:val="20"/>
          <w:lang w:val="en-US"/>
        </w:rPr>
        <w:tab/>
        <w:t xml:space="preserve">Yamamoto Y, Välitalo PA, Huntjens DR, Proost JH, Vermeulen A, Krauwinkel W, et al. Predicting drug concentration-time profiles in multiple CNS compartments using a comprehensive physiologically-based pharmacokinetic model. CPT Pharmacometrics Syst Pharmacol. 2017;6(11):765–77. </w:t>
      </w:r>
    </w:p>
    <w:p w14:paraId="4C9F4A9E"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45. </w:t>
      </w:r>
      <w:r w:rsidRPr="003146CB">
        <w:rPr>
          <w:rFonts w:ascii="Calibri" w:hAnsi="Calibri" w:cs="Calibri"/>
          <w:noProof/>
          <w:sz w:val="20"/>
          <w:lang w:val="en-US"/>
        </w:rPr>
        <w:tab/>
        <w:t xml:space="preserve">Yang Z, Brundage RC, Barbhaiya RH, Sawchuk RJ. Microdialysis studies of the distribution of stavudine into the central nervous system in the freely-moving rat. Vol. 14, Pharmaceutical Research. 1997. p. 865–72. </w:t>
      </w:r>
    </w:p>
    <w:p w14:paraId="15FE5D40"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46. </w:t>
      </w:r>
      <w:r w:rsidRPr="003146CB">
        <w:rPr>
          <w:rFonts w:ascii="Calibri" w:hAnsi="Calibri" w:cs="Calibri"/>
          <w:noProof/>
          <w:sz w:val="20"/>
          <w:lang w:val="en-US"/>
        </w:rPr>
        <w:tab/>
        <w:t xml:space="preserve">Terasaki T, Deguchi Y, Sato H, Hirai K ichi, Tsuji A. In Vivo Transport of a Dynorphin-like Analgesic Peptide, E-2078, Through the Blood–Brain Barrier: An Application of Brain Microdialysis. Vol. 8, Pharmaceutical Research: An Official Journal of the American Association of Pharmaceutical Scientists. 1991. p. 815–20. </w:t>
      </w:r>
    </w:p>
    <w:p w14:paraId="5A4C2F86"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47. </w:t>
      </w:r>
      <w:r w:rsidRPr="003146CB">
        <w:rPr>
          <w:rFonts w:ascii="Calibri" w:hAnsi="Calibri" w:cs="Calibri"/>
          <w:noProof/>
          <w:sz w:val="20"/>
          <w:lang w:val="en-US"/>
        </w:rPr>
        <w:tab/>
        <w:t xml:space="preserve">Arora P, Adams CH, Gudelsky G, DasGupta B, Desai PB. Plasma and brain pharmacokinetics of letrozole and drug interaction studies with temozolomide in NOD-scid gamma mice and sprague dawley rats. Cancer Chemother Pharmacol. 2019 Jan;83(1):81–9. </w:t>
      </w:r>
    </w:p>
    <w:p w14:paraId="37C80843"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48. </w:t>
      </w:r>
      <w:r w:rsidRPr="003146CB">
        <w:rPr>
          <w:rFonts w:ascii="Calibri" w:hAnsi="Calibri" w:cs="Calibri"/>
          <w:noProof/>
          <w:sz w:val="20"/>
          <w:lang w:val="en-US"/>
        </w:rPr>
        <w:tab/>
        <w:t xml:space="preserve">Tsai T, Liang C. Pharmacokinetics of tetramethylpyrazine in rat blood and brain using microdialysis. Int J Pharm. 2001;216:61–6. </w:t>
      </w:r>
    </w:p>
    <w:p w14:paraId="0FF1D15A"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49. </w:t>
      </w:r>
      <w:r w:rsidRPr="003146CB">
        <w:rPr>
          <w:rFonts w:ascii="Calibri" w:hAnsi="Calibri" w:cs="Calibri"/>
          <w:noProof/>
          <w:sz w:val="20"/>
          <w:lang w:val="en-US"/>
        </w:rPr>
        <w:tab/>
        <w:t xml:space="preserve">Kielbasa W, Kalvass JC, Stratford R. Microdialysis evaluation of atomoxetine brain penetration and central nervous system pharmacokinetics in rats. Drug Metab Dispos. 2009 Jan;37(1):137–42. </w:t>
      </w:r>
    </w:p>
    <w:p w14:paraId="4AF92975"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50. </w:t>
      </w:r>
      <w:r w:rsidRPr="003146CB">
        <w:rPr>
          <w:rFonts w:ascii="Calibri" w:hAnsi="Calibri" w:cs="Calibri"/>
          <w:noProof/>
          <w:sz w:val="20"/>
          <w:lang w:val="en-US"/>
        </w:rPr>
        <w:tab/>
        <w:t xml:space="preserve">Donovan MD, O’Brien FE, Boylan GB, Cryan JF, Griffin BT. The effect of organic anion transporter 3 inhibitor probenecid on bumetanide levels in the brain: an integrated in vivo microdialysis study in the rat. J Pharm Pharmacol. 2015;67(4):501–10. </w:t>
      </w:r>
    </w:p>
    <w:p w14:paraId="53B85D72"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51. </w:t>
      </w:r>
      <w:r w:rsidRPr="003146CB">
        <w:rPr>
          <w:rFonts w:ascii="Calibri" w:hAnsi="Calibri" w:cs="Calibri"/>
          <w:noProof/>
          <w:sz w:val="20"/>
          <w:lang w:val="en-US"/>
        </w:rPr>
        <w:tab/>
        <w:t xml:space="preserve">Chen X, Loryan I, Payan M, Keep RF, Smith DE, Hammarlund-Udenaes M. Effect of transporter inhibition on the distribution of cefadroxil in rat brain. Fluids Barriers CNS. 2014;11(1). </w:t>
      </w:r>
    </w:p>
    <w:p w14:paraId="62E5C67D"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52. </w:t>
      </w:r>
      <w:r w:rsidRPr="003146CB">
        <w:rPr>
          <w:rFonts w:ascii="Calibri" w:hAnsi="Calibri" w:cs="Calibri"/>
          <w:noProof/>
          <w:sz w:val="20"/>
          <w:lang w:val="en-US"/>
        </w:rPr>
        <w:tab/>
        <w:t xml:space="preserve">Tsai TH. Simultaneous measurement of cefuroxime in rat blood and brain by microdialysis and microbore liquid chromatography Application to pharmacokinetics. J Chromatogr B. 1999;735:25–31. </w:t>
      </w:r>
    </w:p>
    <w:p w14:paraId="23FC8EB7" w14:textId="77777777" w:rsidR="00FB520A" w:rsidRPr="003146CB" w:rsidRDefault="00FB520A" w:rsidP="00FB520A">
      <w:pPr>
        <w:widowControl w:val="0"/>
        <w:autoSpaceDE w:val="0"/>
        <w:autoSpaceDN w:val="0"/>
        <w:adjustRightInd w:val="0"/>
        <w:ind w:left="640" w:hanging="640"/>
        <w:rPr>
          <w:rFonts w:ascii="Calibri" w:hAnsi="Calibri" w:cs="Calibri"/>
          <w:noProof/>
          <w:sz w:val="20"/>
          <w:lang w:val="en-US"/>
        </w:rPr>
      </w:pPr>
      <w:r w:rsidRPr="003146CB">
        <w:rPr>
          <w:rFonts w:ascii="Calibri" w:hAnsi="Calibri" w:cs="Calibri"/>
          <w:noProof/>
          <w:sz w:val="20"/>
          <w:lang w:val="en-US"/>
        </w:rPr>
        <w:t xml:space="preserve">53. </w:t>
      </w:r>
      <w:r w:rsidRPr="003146CB">
        <w:rPr>
          <w:rFonts w:ascii="Calibri" w:hAnsi="Calibri" w:cs="Calibri"/>
          <w:noProof/>
          <w:sz w:val="20"/>
          <w:lang w:val="en-US"/>
        </w:rPr>
        <w:tab/>
        <w:t xml:space="preserve">Gynther M, Jalkanen A, Lehtonen M, Forsberg M, Laine K, Ropponen J, et al. Brain uptake of ketoprofen-lysine prodrug in rats. Int J Pharm. 2010;399(1–2):121–8. </w:t>
      </w:r>
    </w:p>
    <w:p w14:paraId="2AFBCC23" w14:textId="77777777" w:rsidR="00FB520A" w:rsidRPr="00FB520A" w:rsidRDefault="00FB520A" w:rsidP="00FB520A">
      <w:pPr>
        <w:widowControl w:val="0"/>
        <w:autoSpaceDE w:val="0"/>
        <w:autoSpaceDN w:val="0"/>
        <w:adjustRightInd w:val="0"/>
        <w:ind w:left="640" w:hanging="640"/>
        <w:rPr>
          <w:rFonts w:ascii="Calibri" w:hAnsi="Calibri" w:cs="Calibri"/>
          <w:noProof/>
          <w:sz w:val="20"/>
        </w:rPr>
      </w:pPr>
      <w:r w:rsidRPr="003146CB">
        <w:rPr>
          <w:rFonts w:ascii="Calibri" w:hAnsi="Calibri" w:cs="Calibri"/>
          <w:noProof/>
          <w:sz w:val="20"/>
          <w:lang w:val="en-US"/>
        </w:rPr>
        <w:t xml:space="preserve">54. </w:t>
      </w:r>
      <w:r w:rsidRPr="003146CB">
        <w:rPr>
          <w:rFonts w:ascii="Calibri" w:hAnsi="Calibri" w:cs="Calibri"/>
          <w:noProof/>
          <w:sz w:val="20"/>
          <w:lang w:val="en-US"/>
        </w:rPr>
        <w:tab/>
        <w:t xml:space="preserve">Xie R, Bouw MR, Hammarlund-Udenaes M. Modelling of the blood-brain barrier transport of morphine-3-glucuronide studied using microdialysis in the rat: Involvement of probenecid-sensitive transport. </w:t>
      </w:r>
      <w:r w:rsidRPr="00FB520A">
        <w:rPr>
          <w:rFonts w:ascii="Calibri" w:hAnsi="Calibri" w:cs="Calibri"/>
          <w:noProof/>
          <w:sz w:val="20"/>
        </w:rPr>
        <w:t xml:space="preserve">Br J Pharmacol. 2000;131(8):1784–92. </w:t>
      </w:r>
    </w:p>
    <w:p w14:paraId="6EEAC85D" w14:textId="2CD41181" w:rsidR="00114966" w:rsidRPr="00A97EA2" w:rsidRDefault="008F7757">
      <w:pPr>
        <w:rPr>
          <w:rFonts w:ascii="Calibri" w:hAnsi="Calibri" w:cs="Calibri"/>
          <w:lang w:val="en-US"/>
        </w:rPr>
      </w:pPr>
      <w:r w:rsidRPr="00A97EA2">
        <w:rPr>
          <w:rFonts w:ascii="Calibri" w:hAnsi="Calibri" w:cs="Calibri"/>
          <w:lang w:val="en-US"/>
        </w:rPr>
        <w:fldChar w:fldCharType="end"/>
      </w:r>
    </w:p>
    <w:sectPr w:rsidR="00114966" w:rsidRPr="00A97EA2" w:rsidSect="001E39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517BF"/>
    <w:multiLevelType w:val="hybridMultilevel"/>
    <w:tmpl w:val="34806BA6"/>
    <w:lvl w:ilvl="0" w:tplc="0194F2C8">
      <w:start w:val="1"/>
      <w:numFmt w:val="decimal"/>
      <w:lvlText w:val="(%1)"/>
      <w:lvlJc w:val="left"/>
      <w:pPr>
        <w:ind w:left="720" w:hanging="360"/>
      </w:pPr>
      <w:rPr>
        <w:rFonts w:eastAsiaTheme="minorHAns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12D30F3"/>
    <w:multiLevelType w:val="hybridMultilevel"/>
    <w:tmpl w:val="529EE400"/>
    <w:lvl w:ilvl="0" w:tplc="6E5C229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66472A"/>
    <w:multiLevelType w:val="hybridMultilevel"/>
    <w:tmpl w:val="CB4A4EAE"/>
    <w:lvl w:ilvl="0" w:tplc="E0B04822">
      <w:start w:val="1"/>
      <w:numFmt w:val="decimal"/>
      <w:lvlText w:val="%1)"/>
      <w:lvlJc w:val="left"/>
      <w:pPr>
        <w:ind w:left="1020" w:hanging="360"/>
      </w:pPr>
    </w:lvl>
    <w:lvl w:ilvl="1" w:tplc="C41ACADE">
      <w:start w:val="1"/>
      <w:numFmt w:val="decimal"/>
      <w:lvlText w:val="%2)"/>
      <w:lvlJc w:val="left"/>
      <w:pPr>
        <w:ind w:left="1020" w:hanging="360"/>
      </w:pPr>
    </w:lvl>
    <w:lvl w:ilvl="2" w:tplc="369A053E">
      <w:start w:val="1"/>
      <w:numFmt w:val="decimal"/>
      <w:lvlText w:val="%3)"/>
      <w:lvlJc w:val="left"/>
      <w:pPr>
        <w:ind w:left="1020" w:hanging="360"/>
      </w:pPr>
    </w:lvl>
    <w:lvl w:ilvl="3" w:tplc="543AAF0C">
      <w:start w:val="1"/>
      <w:numFmt w:val="decimal"/>
      <w:lvlText w:val="%4)"/>
      <w:lvlJc w:val="left"/>
      <w:pPr>
        <w:ind w:left="1020" w:hanging="360"/>
      </w:pPr>
    </w:lvl>
    <w:lvl w:ilvl="4" w:tplc="D518789E">
      <w:start w:val="1"/>
      <w:numFmt w:val="decimal"/>
      <w:lvlText w:val="%5)"/>
      <w:lvlJc w:val="left"/>
      <w:pPr>
        <w:ind w:left="1020" w:hanging="360"/>
      </w:pPr>
    </w:lvl>
    <w:lvl w:ilvl="5" w:tplc="AAF026A0">
      <w:start w:val="1"/>
      <w:numFmt w:val="decimal"/>
      <w:lvlText w:val="%6)"/>
      <w:lvlJc w:val="left"/>
      <w:pPr>
        <w:ind w:left="1020" w:hanging="360"/>
      </w:pPr>
    </w:lvl>
    <w:lvl w:ilvl="6" w:tplc="37B804BE">
      <w:start w:val="1"/>
      <w:numFmt w:val="decimal"/>
      <w:lvlText w:val="%7)"/>
      <w:lvlJc w:val="left"/>
      <w:pPr>
        <w:ind w:left="1020" w:hanging="360"/>
      </w:pPr>
    </w:lvl>
    <w:lvl w:ilvl="7" w:tplc="6A84D490">
      <w:start w:val="1"/>
      <w:numFmt w:val="decimal"/>
      <w:lvlText w:val="%8)"/>
      <w:lvlJc w:val="left"/>
      <w:pPr>
        <w:ind w:left="1020" w:hanging="360"/>
      </w:pPr>
    </w:lvl>
    <w:lvl w:ilvl="8" w:tplc="502E7318">
      <w:start w:val="1"/>
      <w:numFmt w:val="decimal"/>
      <w:lvlText w:val="%9)"/>
      <w:lvlJc w:val="left"/>
      <w:pPr>
        <w:ind w:left="1020" w:hanging="360"/>
      </w:pPr>
    </w:lvl>
  </w:abstractNum>
  <w:abstractNum w:abstractNumId="3" w15:restartNumberingAfterBreak="0">
    <w:nsid w:val="60876AA7"/>
    <w:multiLevelType w:val="hybridMultilevel"/>
    <w:tmpl w:val="AEFA4418"/>
    <w:lvl w:ilvl="0" w:tplc="B770ECD0">
      <w:start w:val="1"/>
      <w:numFmt w:val="decimal"/>
      <w:lvlText w:val="%1."/>
      <w:lvlJc w:val="left"/>
      <w:pPr>
        <w:ind w:left="1020" w:hanging="360"/>
      </w:pPr>
    </w:lvl>
    <w:lvl w:ilvl="1" w:tplc="6FE4E866">
      <w:start w:val="1"/>
      <w:numFmt w:val="decimal"/>
      <w:lvlText w:val="%2."/>
      <w:lvlJc w:val="left"/>
      <w:pPr>
        <w:ind w:left="1020" w:hanging="360"/>
      </w:pPr>
    </w:lvl>
    <w:lvl w:ilvl="2" w:tplc="4A18CE2E">
      <w:start w:val="1"/>
      <w:numFmt w:val="decimal"/>
      <w:lvlText w:val="%3."/>
      <w:lvlJc w:val="left"/>
      <w:pPr>
        <w:ind w:left="1020" w:hanging="360"/>
      </w:pPr>
    </w:lvl>
    <w:lvl w:ilvl="3" w:tplc="5BF0824C">
      <w:start w:val="1"/>
      <w:numFmt w:val="decimal"/>
      <w:lvlText w:val="%4."/>
      <w:lvlJc w:val="left"/>
      <w:pPr>
        <w:ind w:left="1020" w:hanging="360"/>
      </w:pPr>
    </w:lvl>
    <w:lvl w:ilvl="4" w:tplc="12406F48">
      <w:start w:val="1"/>
      <w:numFmt w:val="decimal"/>
      <w:lvlText w:val="%5."/>
      <w:lvlJc w:val="left"/>
      <w:pPr>
        <w:ind w:left="1020" w:hanging="360"/>
      </w:pPr>
    </w:lvl>
    <w:lvl w:ilvl="5" w:tplc="95009CEE">
      <w:start w:val="1"/>
      <w:numFmt w:val="decimal"/>
      <w:lvlText w:val="%6."/>
      <w:lvlJc w:val="left"/>
      <w:pPr>
        <w:ind w:left="1020" w:hanging="360"/>
      </w:pPr>
    </w:lvl>
    <w:lvl w:ilvl="6" w:tplc="D2DCDE74">
      <w:start w:val="1"/>
      <w:numFmt w:val="decimal"/>
      <w:lvlText w:val="%7."/>
      <w:lvlJc w:val="left"/>
      <w:pPr>
        <w:ind w:left="1020" w:hanging="360"/>
      </w:pPr>
    </w:lvl>
    <w:lvl w:ilvl="7" w:tplc="BEF2DB88">
      <w:start w:val="1"/>
      <w:numFmt w:val="decimal"/>
      <w:lvlText w:val="%8."/>
      <w:lvlJc w:val="left"/>
      <w:pPr>
        <w:ind w:left="1020" w:hanging="360"/>
      </w:pPr>
    </w:lvl>
    <w:lvl w:ilvl="8" w:tplc="7D6AC2B6">
      <w:start w:val="1"/>
      <w:numFmt w:val="decimal"/>
      <w:lvlText w:val="%9."/>
      <w:lvlJc w:val="left"/>
      <w:pPr>
        <w:ind w:left="1020" w:hanging="360"/>
      </w:pPr>
    </w:lvl>
  </w:abstractNum>
  <w:num w:numId="1" w16cid:durableId="773404246">
    <w:abstractNumId w:val="0"/>
  </w:num>
  <w:num w:numId="2" w16cid:durableId="1691490796">
    <w:abstractNumId w:val="1"/>
  </w:num>
  <w:num w:numId="3" w16cid:durableId="755859350">
    <w:abstractNumId w:val="3"/>
  </w:num>
  <w:num w:numId="4" w16cid:durableId="1710185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757"/>
    <w:rsid w:val="0001326B"/>
    <w:rsid w:val="00016E9D"/>
    <w:rsid w:val="00023AA3"/>
    <w:rsid w:val="00040337"/>
    <w:rsid w:val="001139DA"/>
    <w:rsid w:val="00114966"/>
    <w:rsid w:val="00115223"/>
    <w:rsid w:val="00194D24"/>
    <w:rsid w:val="001A4C52"/>
    <w:rsid w:val="001A5F4F"/>
    <w:rsid w:val="001E3981"/>
    <w:rsid w:val="00223420"/>
    <w:rsid w:val="00241CDB"/>
    <w:rsid w:val="00267D4B"/>
    <w:rsid w:val="002C38D7"/>
    <w:rsid w:val="002F434F"/>
    <w:rsid w:val="00311848"/>
    <w:rsid w:val="003146CB"/>
    <w:rsid w:val="00325254"/>
    <w:rsid w:val="0035780E"/>
    <w:rsid w:val="003804A1"/>
    <w:rsid w:val="003D3F92"/>
    <w:rsid w:val="003D6FB9"/>
    <w:rsid w:val="0040537D"/>
    <w:rsid w:val="00444AAA"/>
    <w:rsid w:val="00483337"/>
    <w:rsid w:val="004F2966"/>
    <w:rsid w:val="005001B1"/>
    <w:rsid w:val="0050660D"/>
    <w:rsid w:val="00535EEF"/>
    <w:rsid w:val="00543737"/>
    <w:rsid w:val="005701B1"/>
    <w:rsid w:val="005A0B5A"/>
    <w:rsid w:val="005C000D"/>
    <w:rsid w:val="006033B8"/>
    <w:rsid w:val="00616441"/>
    <w:rsid w:val="00633C7A"/>
    <w:rsid w:val="006A4BC9"/>
    <w:rsid w:val="006D53FD"/>
    <w:rsid w:val="006E15B3"/>
    <w:rsid w:val="006F4531"/>
    <w:rsid w:val="00701614"/>
    <w:rsid w:val="00765D9B"/>
    <w:rsid w:val="00775BC1"/>
    <w:rsid w:val="007A712C"/>
    <w:rsid w:val="007B1A51"/>
    <w:rsid w:val="007D7F4F"/>
    <w:rsid w:val="008308A7"/>
    <w:rsid w:val="00875432"/>
    <w:rsid w:val="00884373"/>
    <w:rsid w:val="008F7757"/>
    <w:rsid w:val="00935F1E"/>
    <w:rsid w:val="009B40F1"/>
    <w:rsid w:val="009E2E20"/>
    <w:rsid w:val="00A000D2"/>
    <w:rsid w:val="00A632D1"/>
    <w:rsid w:val="00A97EA2"/>
    <w:rsid w:val="00AA6702"/>
    <w:rsid w:val="00AD5A62"/>
    <w:rsid w:val="00B00F20"/>
    <w:rsid w:val="00B33C02"/>
    <w:rsid w:val="00B8795F"/>
    <w:rsid w:val="00BA4798"/>
    <w:rsid w:val="00BD2492"/>
    <w:rsid w:val="00BE658F"/>
    <w:rsid w:val="00C02193"/>
    <w:rsid w:val="00C067C0"/>
    <w:rsid w:val="00C20571"/>
    <w:rsid w:val="00C6358D"/>
    <w:rsid w:val="00C77A0F"/>
    <w:rsid w:val="00CD1AB3"/>
    <w:rsid w:val="00CE74A7"/>
    <w:rsid w:val="00D14339"/>
    <w:rsid w:val="00D22ED3"/>
    <w:rsid w:val="00D409EC"/>
    <w:rsid w:val="00D419D0"/>
    <w:rsid w:val="00D85E6C"/>
    <w:rsid w:val="00DE7C77"/>
    <w:rsid w:val="00E02B40"/>
    <w:rsid w:val="00E30700"/>
    <w:rsid w:val="00E65C4E"/>
    <w:rsid w:val="00E85898"/>
    <w:rsid w:val="00ED4C02"/>
    <w:rsid w:val="00F3484E"/>
    <w:rsid w:val="00F6138D"/>
    <w:rsid w:val="00F74564"/>
    <w:rsid w:val="00F93C62"/>
    <w:rsid w:val="00FA5B17"/>
    <w:rsid w:val="00FB520A"/>
    <w:rsid w:val="00FC2B26"/>
    <w:rsid w:val="00FD47FE"/>
    <w:rsid w:val="00FE11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C4A42"/>
  <w15:chartTrackingRefBased/>
  <w15:docId w15:val="{3A900F5C-35CB-45D1-B7E3-14D81D330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757"/>
    <w:pPr>
      <w:spacing w:after="0" w:line="240" w:lineRule="auto"/>
    </w:pPr>
    <w:rPr>
      <w:rFonts w:ascii="Arial" w:hAnsi="Arial"/>
      <w:kern w:val="0"/>
      <w:sz w:val="21"/>
      <w:szCs w:val="24"/>
      <w:lang w:eastAsia="nl-NL"/>
      <w14:ligatures w14:val="none"/>
    </w:rPr>
  </w:style>
  <w:style w:type="paragraph" w:styleId="Heading1">
    <w:name w:val="heading 1"/>
    <w:basedOn w:val="Normal"/>
    <w:next w:val="Normal"/>
    <w:link w:val="Heading1Char"/>
    <w:uiPriority w:val="9"/>
    <w:qFormat/>
    <w:rsid w:val="008F7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7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77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77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77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775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75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75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75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7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7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757"/>
    <w:rPr>
      <w:rFonts w:eastAsiaTheme="majorEastAsia" w:cstheme="majorBidi"/>
      <w:color w:val="272727" w:themeColor="text1" w:themeTint="D8"/>
    </w:rPr>
  </w:style>
  <w:style w:type="paragraph" w:styleId="Title">
    <w:name w:val="Title"/>
    <w:basedOn w:val="Normal"/>
    <w:next w:val="Normal"/>
    <w:link w:val="TitleChar"/>
    <w:uiPriority w:val="10"/>
    <w:qFormat/>
    <w:rsid w:val="008F77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7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757"/>
    <w:pPr>
      <w:spacing w:before="160"/>
      <w:jc w:val="center"/>
    </w:pPr>
    <w:rPr>
      <w:i/>
      <w:iCs/>
      <w:color w:val="404040" w:themeColor="text1" w:themeTint="BF"/>
    </w:rPr>
  </w:style>
  <w:style w:type="character" w:customStyle="1" w:styleId="QuoteChar">
    <w:name w:val="Quote Char"/>
    <w:basedOn w:val="DefaultParagraphFont"/>
    <w:link w:val="Quote"/>
    <w:uiPriority w:val="29"/>
    <w:rsid w:val="008F7757"/>
    <w:rPr>
      <w:i/>
      <w:iCs/>
      <w:color w:val="404040" w:themeColor="text1" w:themeTint="BF"/>
    </w:rPr>
  </w:style>
  <w:style w:type="paragraph" w:styleId="ListParagraph">
    <w:name w:val="List Paragraph"/>
    <w:basedOn w:val="Normal"/>
    <w:uiPriority w:val="34"/>
    <w:qFormat/>
    <w:rsid w:val="008F7757"/>
    <w:pPr>
      <w:ind w:left="720"/>
      <w:contextualSpacing/>
    </w:pPr>
  </w:style>
  <w:style w:type="character" w:styleId="IntenseEmphasis">
    <w:name w:val="Intense Emphasis"/>
    <w:basedOn w:val="DefaultParagraphFont"/>
    <w:uiPriority w:val="21"/>
    <w:qFormat/>
    <w:rsid w:val="008F7757"/>
    <w:rPr>
      <w:i/>
      <w:iCs/>
      <w:color w:val="0F4761" w:themeColor="accent1" w:themeShade="BF"/>
    </w:rPr>
  </w:style>
  <w:style w:type="paragraph" w:styleId="IntenseQuote">
    <w:name w:val="Intense Quote"/>
    <w:basedOn w:val="Normal"/>
    <w:next w:val="Normal"/>
    <w:link w:val="IntenseQuoteChar"/>
    <w:uiPriority w:val="30"/>
    <w:qFormat/>
    <w:rsid w:val="008F7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7757"/>
    <w:rPr>
      <w:i/>
      <w:iCs/>
      <w:color w:val="0F4761" w:themeColor="accent1" w:themeShade="BF"/>
    </w:rPr>
  </w:style>
  <w:style w:type="character" w:styleId="IntenseReference">
    <w:name w:val="Intense Reference"/>
    <w:basedOn w:val="DefaultParagraphFont"/>
    <w:uiPriority w:val="32"/>
    <w:qFormat/>
    <w:rsid w:val="008F7757"/>
    <w:rPr>
      <w:b/>
      <w:bCs/>
      <w:smallCaps/>
      <w:color w:val="0F4761" w:themeColor="accent1" w:themeShade="BF"/>
      <w:spacing w:val="5"/>
    </w:rPr>
  </w:style>
  <w:style w:type="paragraph" w:styleId="NoSpacing">
    <w:name w:val="No Spacing"/>
    <w:uiPriority w:val="1"/>
    <w:qFormat/>
    <w:rsid w:val="008F7757"/>
    <w:pPr>
      <w:spacing w:after="0" w:line="240" w:lineRule="auto"/>
    </w:pPr>
  </w:style>
  <w:style w:type="table" w:styleId="TableGrid">
    <w:name w:val="Table Grid"/>
    <w:basedOn w:val="TableNormal"/>
    <w:uiPriority w:val="39"/>
    <w:rsid w:val="008F7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7757"/>
    <w:rPr>
      <w:sz w:val="16"/>
      <w:szCs w:val="16"/>
    </w:rPr>
  </w:style>
  <w:style w:type="paragraph" w:styleId="CommentText">
    <w:name w:val="annotation text"/>
    <w:basedOn w:val="Normal"/>
    <w:link w:val="CommentTextChar"/>
    <w:uiPriority w:val="99"/>
    <w:unhideWhenUsed/>
    <w:rsid w:val="008F7757"/>
    <w:rPr>
      <w:sz w:val="20"/>
      <w:szCs w:val="20"/>
    </w:rPr>
  </w:style>
  <w:style w:type="character" w:customStyle="1" w:styleId="CommentTextChar">
    <w:name w:val="Comment Text Char"/>
    <w:basedOn w:val="DefaultParagraphFont"/>
    <w:link w:val="CommentText"/>
    <w:uiPriority w:val="99"/>
    <w:rsid w:val="008F7757"/>
    <w:rPr>
      <w:rFonts w:ascii="Arial" w:hAnsi="Arial"/>
      <w:kern w:val="0"/>
      <w:sz w:val="20"/>
      <w:szCs w:val="20"/>
      <w:lang w:eastAsia="nl-NL"/>
      <w14:ligatures w14:val="none"/>
    </w:rPr>
  </w:style>
  <w:style w:type="paragraph" w:styleId="CommentSubject">
    <w:name w:val="annotation subject"/>
    <w:basedOn w:val="CommentText"/>
    <w:next w:val="CommentText"/>
    <w:link w:val="CommentSubjectChar"/>
    <w:uiPriority w:val="99"/>
    <w:semiHidden/>
    <w:unhideWhenUsed/>
    <w:rsid w:val="008F7757"/>
    <w:rPr>
      <w:b/>
      <w:bCs/>
    </w:rPr>
  </w:style>
  <w:style w:type="character" w:customStyle="1" w:styleId="CommentSubjectChar">
    <w:name w:val="Comment Subject Char"/>
    <w:basedOn w:val="CommentTextChar"/>
    <w:link w:val="CommentSubject"/>
    <w:uiPriority w:val="99"/>
    <w:semiHidden/>
    <w:rsid w:val="008F7757"/>
    <w:rPr>
      <w:rFonts w:ascii="Arial" w:hAnsi="Arial"/>
      <w:b/>
      <w:bCs/>
      <w:kern w:val="0"/>
      <w:sz w:val="20"/>
      <w:szCs w:val="20"/>
      <w:lang w:eastAsia="nl-NL"/>
      <w14:ligatures w14:val="none"/>
    </w:rPr>
  </w:style>
  <w:style w:type="character" w:styleId="Hyperlink">
    <w:name w:val="Hyperlink"/>
    <w:basedOn w:val="DefaultParagraphFont"/>
    <w:uiPriority w:val="99"/>
    <w:unhideWhenUsed/>
    <w:rsid w:val="008F7757"/>
    <w:rPr>
      <w:color w:val="467886" w:themeColor="hyperlink"/>
      <w:u w:val="single"/>
    </w:rPr>
  </w:style>
  <w:style w:type="character" w:styleId="UnresolvedMention">
    <w:name w:val="Unresolved Mention"/>
    <w:basedOn w:val="DefaultParagraphFont"/>
    <w:uiPriority w:val="99"/>
    <w:semiHidden/>
    <w:unhideWhenUsed/>
    <w:rsid w:val="008F7757"/>
    <w:rPr>
      <w:color w:val="605E5C"/>
      <w:shd w:val="clear" w:color="auto" w:fill="E1DFDD"/>
    </w:rPr>
  </w:style>
  <w:style w:type="paragraph" w:styleId="NormalWeb">
    <w:name w:val="Normal (Web)"/>
    <w:basedOn w:val="Normal"/>
    <w:uiPriority w:val="99"/>
    <w:unhideWhenUsed/>
    <w:rsid w:val="008F7757"/>
    <w:pPr>
      <w:spacing w:before="100" w:beforeAutospacing="1" w:after="100" w:afterAutospacing="1"/>
    </w:pPr>
    <w:rPr>
      <w:rFonts w:ascii="Times New Roman" w:eastAsia="Times New Roman" w:hAnsi="Times New Roman" w:cs="Times New Roman"/>
      <w:sz w:val="24"/>
    </w:rPr>
  </w:style>
  <w:style w:type="paragraph" w:styleId="HTMLPreformatted">
    <w:name w:val="HTML Preformatted"/>
    <w:basedOn w:val="Normal"/>
    <w:link w:val="HTMLPreformattedChar"/>
    <w:uiPriority w:val="99"/>
    <w:semiHidden/>
    <w:unhideWhenUsed/>
    <w:rsid w:val="008F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F7757"/>
    <w:rPr>
      <w:rFonts w:ascii="Courier New" w:eastAsia="Times New Roman" w:hAnsi="Courier New" w:cs="Courier New"/>
      <w:kern w:val="0"/>
      <w:sz w:val="20"/>
      <w:szCs w:val="20"/>
      <w:lang w:eastAsia="nl-NL"/>
      <w14:ligatures w14:val="none"/>
    </w:rPr>
  </w:style>
  <w:style w:type="character" w:customStyle="1" w:styleId="gnvwddmdn3b">
    <w:name w:val="gnvwddmdn3b"/>
    <w:basedOn w:val="DefaultParagraphFont"/>
    <w:rsid w:val="008F7757"/>
  </w:style>
  <w:style w:type="paragraph" w:styleId="Caption">
    <w:name w:val="caption"/>
    <w:basedOn w:val="Normal"/>
    <w:next w:val="Normal"/>
    <w:uiPriority w:val="35"/>
    <w:unhideWhenUsed/>
    <w:qFormat/>
    <w:rsid w:val="008F7757"/>
    <w:pPr>
      <w:spacing w:after="200"/>
    </w:pPr>
    <w:rPr>
      <w:i/>
      <w:iCs/>
      <w:color w:val="0E2841" w:themeColor="text2"/>
      <w:sz w:val="18"/>
      <w:szCs w:val="18"/>
    </w:rPr>
  </w:style>
  <w:style w:type="table" w:styleId="TableGridLight">
    <w:name w:val="Grid Table Light"/>
    <w:basedOn w:val="TableNormal"/>
    <w:uiPriority w:val="40"/>
    <w:rsid w:val="008F77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8F7757"/>
    <w:pPr>
      <w:spacing w:after="0" w:line="240" w:lineRule="auto"/>
    </w:pPr>
    <w:rPr>
      <w:rFonts w:ascii="Arial" w:hAnsi="Arial"/>
      <w:kern w:val="0"/>
      <w:sz w:val="21"/>
      <w:szCs w:val="24"/>
      <w:lang w:eastAsia="nl-NL"/>
      <w14:ligatures w14:val="none"/>
    </w:rPr>
  </w:style>
  <w:style w:type="character" w:styleId="FollowedHyperlink">
    <w:name w:val="FollowedHyperlink"/>
    <w:basedOn w:val="DefaultParagraphFont"/>
    <w:uiPriority w:val="99"/>
    <w:semiHidden/>
    <w:unhideWhenUsed/>
    <w:rsid w:val="001E3981"/>
    <w:rPr>
      <w:color w:val="96607D"/>
      <w:u w:val="single"/>
    </w:rPr>
  </w:style>
  <w:style w:type="paragraph" w:customStyle="1" w:styleId="msonormal0">
    <w:name w:val="msonormal"/>
    <w:basedOn w:val="Normal"/>
    <w:rsid w:val="001E3981"/>
    <w:pPr>
      <w:spacing w:before="100" w:beforeAutospacing="1" w:after="100" w:afterAutospacing="1"/>
    </w:pPr>
    <w:rPr>
      <w:rFonts w:ascii="Times New Roman" w:eastAsia="Times New Roman" w:hAnsi="Times New Roman" w:cs="Times New Roman"/>
      <w:sz w:val="24"/>
    </w:rPr>
  </w:style>
  <w:style w:type="paragraph" w:customStyle="1" w:styleId="xl63">
    <w:name w:val="xl63"/>
    <w:basedOn w:val="Normal"/>
    <w:rsid w:val="001E3981"/>
    <w:pPr>
      <w:spacing w:before="100" w:beforeAutospacing="1" w:after="100" w:afterAutospacing="1"/>
      <w:textAlignment w:val="center"/>
    </w:pPr>
    <w:rPr>
      <w:rFonts w:ascii="Calibri" w:eastAsia="Times New Roman" w:hAnsi="Calibri" w:cs="Calibri"/>
      <w:sz w:val="20"/>
      <w:szCs w:val="20"/>
    </w:rPr>
  </w:style>
  <w:style w:type="paragraph" w:customStyle="1" w:styleId="xl64">
    <w:name w:val="xl64"/>
    <w:basedOn w:val="Normal"/>
    <w:rsid w:val="001E3981"/>
    <w:pPr>
      <w:spacing w:before="100" w:beforeAutospacing="1" w:after="100" w:afterAutospacing="1"/>
    </w:pPr>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1E3981"/>
  </w:style>
  <w:style w:type="paragraph" w:customStyle="1" w:styleId="xl65">
    <w:name w:val="xl65"/>
    <w:basedOn w:val="Normal"/>
    <w:rsid w:val="001E3981"/>
    <w:pPr>
      <w:spacing w:before="100" w:beforeAutospacing="1" w:after="100" w:afterAutospacing="1"/>
      <w:textAlignment w:val="center"/>
    </w:pPr>
    <w:rPr>
      <w:rFonts w:ascii="Calibri" w:eastAsia="Times New Roman" w:hAnsi="Calibri" w:cs="Calibri"/>
      <w:sz w:val="20"/>
      <w:szCs w:val="20"/>
    </w:rPr>
  </w:style>
  <w:style w:type="paragraph" w:customStyle="1" w:styleId="xl66">
    <w:name w:val="xl66"/>
    <w:basedOn w:val="Normal"/>
    <w:rsid w:val="001E3981"/>
    <w:pPr>
      <w:spacing w:before="100" w:beforeAutospacing="1" w:after="100" w:afterAutospacing="1"/>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27567">
      <w:bodyDiv w:val="1"/>
      <w:marLeft w:val="0"/>
      <w:marRight w:val="0"/>
      <w:marTop w:val="0"/>
      <w:marBottom w:val="0"/>
      <w:divBdr>
        <w:top w:val="none" w:sz="0" w:space="0" w:color="auto"/>
        <w:left w:val="none" w:sz="0" w:space="0" w:color="auto"/>
        <w:bottom w:val="none" w:sz="0" w:space="0" w:color="auto"/>
        <w:right w:val="none" w:sz="0" w:space="0" w:color="auto"/>
      </w:divBdr>
    </w:div>
    <w:div w:id="255215777">
      <w:bodyDiv w:val="1"/>
      <w:marLeft w:val="0"/>
      <w:marRight w:val="0"/>
      <w:marTop w:val="0"/>
      <w:marBottom w:val="0"/>
      <w:divBdr>
        <w:top w:val="none" w:sz="0" w:space="0" w:color="auto"/>
        <w:left w:val="none" w:sz="0" w:space="0" w:color="auto"/>
        <w:bottom w:val="none" w:sz="0" w:space="0" w:color="auto"/>
        <w:right w:val="none" w:sz="0" w:space="0" w:color="auto"/>
      </w:divBdr>
    </w:div>
    <w:div w:id="496117389">
      <w:bodyDiv w:val="1"/>
      <w:marLeft w:val="0"/>
      <w:marRight w:val="0"/>
      <w:marTop w:val="0"/>
      <w:marBottom w:val="0"/>
      <w:divBdr>
        <w:top w:val="none" w:sz="0" w:space="0" w:color="auto"/>
        <w:left w:val="none" w:sz="0" w:space="0" w:color="auto"/>
        <w:bottom w:val="none" w:sz="0" w:space="0" w:color="auto"/>
        <w:right w:val="none" w:sz="0" w:space="0" w:color="auto"/>
      </w:divBdr>
    </w:div>
    <w:div w:id="507140084">
      <w:bodyDiv w:val="1"/>
      <w:marLeft w:val="0"/>
      <w:marRight w:val="0"/>
      <w:marTop w:val="0"/>
      <w:marBottom w:val="0"/>
      <w:divBdr>
        <w:top w:val="none" w:sz="0" w:space="0" w:color="auto"/>
        <w:left w:val="none" w:sz="0" w:space="0" w:color="auto"/>
        <w:bottom w:val="none" w:sz="0" w:space="0" w:color="auto"/>
        <w:right w:val="none" w:sz="0" w:space="0" w:color="auto"/>
      </w:divBdr>
    </w:div>
    <w:div w:id="602500092">
      <w:bodyDiv w:val="1"/>
      <w:marLeft w:val="0"/>
      <w:marRight w:val="0"/>
      <w:marTop w:val="0"/>
      <w:marBottom w:val="0"/>
      <w:divBdr>
        <w:top w:val="none" w:sz="0" w:space="0" w:color="auto"/>
        <w:left w:val="none" w:sz="0" w:space="0" w:color="auto"/>
        <w:bottom w:val="none" w:sz="0" w:space="0" w:color="auto"/>
        <w:right w:val="none" w:sz="0" w:space="0" w:color="auto"/>
      </w:divBdr>
    </w:div>
    <w:div w:id="642581198">
      <w:bodyDiv w:val="1"/>
      <w:marLeft w:val="0"/>
      <w:marRight w:val="0"/>
      <w:marTop w:val="0"/>
      <w:marBottom w:val="0"/>
      <w:divBdr>
        <w:top w:val="none" w:sz="0" w:space="0" w:color="auto"/>
        <w:left w:val="none" w:sz="0" w:space="0" w:color="auto"/>
        <w:bottom w:val="none" w:sz="0" w:space="0" w:color="auto"/>
        <w:right w:val="none" w:sz="0" w:space="0" w:color="auto"/>
      </w:divBdr>
    </w:div>
    <w:div w:id="755636951">
      <w:bodyDiv w:val="1"/>
      <w:marLeft w:val="0"/>
      <w:marRight w:val="0"/>
      <w:marTop w:val="0"/>
      <w:marBottom w:val="0"/>
      <w:divBdr>
        <w:top w:val="none" w:sz="0" w:space="0" w:color="auto"/>
        <w:left w:val="none" w:sz="0" w:space="0" w:color="auto"/>
        <w:bottom w:val="none" w:sz="0" w:space="0" w:color="auto"/>
        <w:right w:val="none" w:sz="0" w:space="0" w:color="auto"/>
      </w:divBdr>
    </w:div>
    <w:div w:id="1157307583">
      <w:bodyDiv w:val="1"/>
      <w:marLeft w:val="0"/>
      <w:marRight w:val="0"/>
      <w:marTop w:val="0"/>
      <w:marBottom w:val="0"/>
      <w:divBdr>
        <w:top w:val="none" w:sz="0" w:space="0" w:color="auto"/>
        <w:left w:val="none" w:sz="0" w:space="0" w:color="auto"/>
        <w:bottom w:val="none" w:sz="0" w:space="0" w:color="auto"/>
        <w:right w:val="none" w:sz="0" w:space="0" w:color="auto"/>
      </w:divBdr>
    </w:div>
    <w:div w:id="1199468769">
      <w:bodyDiv w:val="1"/>
      <w:marLeft w:val="0"/>
      <w:marRight w:val="0"/>
      <w:marTop w:val="0"/>
      <w:marBottom w:val="0"/>
      <w:divBdr>
        <w:top w:val="none" w:sz="0" w:space="0" w:color="auto"/>
        <w:left w:val="none" w:sz="0" w:space="0" w:color="auto"/>
        <w:bottom w:val="none" w:sz="0" w:space="0" w:color="auto"/>
        <w:right w:val="none" w:sz="0" w:space="0" w:color="auto"/>
      </w:divBdr>
    </w:div>
    <w:div w:id="1253507094">
      <w:bodyDiv w:val="1"/>
      <w:marLeft w:val="0"/>
      <w:marRight w:val="0"/>
      <w:marTop w:val="0"/>
      <w:marBottom w:val="0"/>
      <w:divBdr>
        <w:top w:val="none" w:sz="0" w:space="0" w:color="auto"/>
        <w:left w:val="none" w:sz="0" w:space="0" w:color="auto"/>
        <w:bottom w:val="none" w:sz="0" w:space="0" w:color="auto"/>
        <w:right w:val="none" w:sz="0" w:space="0" w:color="auto"/>
      </w:divBdr>
    </w:div>
    <w:div w:id="1293437243">
      <w:bodyDiv w:val="1"/>
      <w:marLeft w:val="0"/>
      <w:marRight w:val="0"/>
      <w:marTop w:val="0"/>
      <w:marBottom w:val="0"/>
      <w:divBdr>
        <w:top w:val="none" w:sz="0" w:space="0" w:color="auto"/>
        <w:left w:val="none" w:sz="0" w:space="0" w:color="auto"/>
        <w:bottom w:val="none" w:sz="0" w:space="0" w:color="auto"/>
        <w:right w:val="none" w:sz="0" w:space="0" w:color="auto"/>
      </w:divBdr>
    </w:div>
    <w:div w:id="1308970733">
      <w:bodyDiv w:val="1"/>
      <w:marLeft w:val="0"/>
      <w:marRight w:val="0"/>
      <w:marTop w:val="0"/>
      <w:marBottom w:val="0"/>
      <w:divBdr>
        <w:top w:val="none" w:sz="0" w:space="0" w:color="auto"/>
        <w:left w:val="none" w:sz="0" w:space="0" w:color="auto"/>
        <w:bottom w:val="none" w:sz="0" w:space="0" w:color="auto"/>
        <w:right w:val="none" w:sz="0" w:space="0" w:color="auto"/>
      </w:divBdr>
    </w:div>
    <w:div w:id="1720009816">
      <w:bodyDiv w:val="1"/>
      <w:marLeft w:val="0"/>
      <w:marRight w:val="0"/>
      <w:marTop w:val="0"/>
      <w:marBottom w:val="0"/>
      <w:divBdr>
        <w:top w:val="none" w:sz="0" w:space="0" w:color="auto"/>
        <w:left w:val="none" w:sz="0" w:space="0" w:color="auto"/>
        <w:bottom w:val="none" w:sz="0" w:space="0" w:color="auto"/>
        <w:right w:val="none" w:sz="0" w:space="0" w:color="auto"/>
      </w:divBdr>
    </w:div>
    <w:div w:id="1761751419">
      <w:bodyDiv w:val="1"/>
      <w:marLeft w:val="0"/>
      <w:marRight w:val="0"/>
      <w:marTop w:val="0"/>
      <w:marBottom w:val="0"/>
      <w:divBdr>
        <w:top w:val="none" w:sz="0" w:space="0" w:color="auto"/>
        <w:left w:val="none" w:sz="0" w:space="0" w:color="auto"/>
        <w:bottom w:val="none" w:sz="0" w:space="0" w:color="auto"/>
        <w:right w:val="none" w:sz="0" w:space="0" w:color="auto"/>
      </w:divBdr>
    </w:div>
    <w:div w:id="1968851888">
      <w:bodyDiv w:val="1"/>
      <w:marLeft w:val="0"/>
      <w:marRight w:val="0"/>
      <w:marTop w:val="0"/>
      <w:marBottom w:val="0"/>
      <w:divBdr>
        <w:top w:val="none" w:sz="0" w:space="0" w:color="auto"/>
        <w:left w:val="none" w:sz="0" w:space="0" w:color="auto"/>
        <w:bottom w:val="none" w:sz="0" w:space="0" w:color="auto"/>
        <w:right w:val="none" w:sz="0" w:space="0" w:color="auto"/>
      </w:divBdr>
    </w:div>
    <w:div w:id="200632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624E6-7B76-401F-82C8-D460C3781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45379</Words>
  <Characters>249586</Characters>
  <Application>Microsoft Office Word</Application>
  <DocSecurity>0</DocSecurity>
  <Lines>2079</Lines>
  <Paragraphs>588</Paragraphs>
  <ScaleCrop>false</ScaleCrop>
  <HeadingPairs>
    <vt:vector size="2" baseType="variant">
      <vt:variant>
        <vt:lpstr>Title</vt:lpstr>
      </vt:variant>
      <vt:variant>
        <vt:i4>1</vt:i4>
      </vt:variant>
    </vt:vector>
  </HeadingPairs>
  <TitlesOfParts>
    <vt:vector size="1" baseType="lpstr">
      <vt:lpstr/>
    </vt:vector>
  </TitlesOfParts>
  <Company>ISSC</Company>
  <LinksUpToDate>false</LinksUpToDate>
  <CharactersWithSpaces>294377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Gülave, B. (Berfin)</dc:creator>
  <cp:keywords/>
  <dc:description/>
  <cp:lastModifiedBy>Gülave, B. (Berfin)</cp:lastModifiedBy>
  <cp:revision>2</cp:revision>
  <dcterms:created xsi:type="dcterms:W3CDTF">2024-11-25T22:22:00Z</dcterms:created>
  <dcterms:modified xsi:type="dcterms:W3CDTF">2024-11-25T22:22:00Z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http://www.zotero.org/styles/chicago-author-date</vt:lpwstr>
  </property>
  <property fmtid="{D5CDD505-2E9C-101B-9397-08002B2CF9AE}" pid="3" name="Mendeley Recent Style Name 0_1">
    <vt:lpwstr>Chicago Manual of Style 17th edition (author-date)</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http://www.zotero.org/styles/european-journal-of-pharmaceutical-sciences</vt:lpwstr>
  </property>
  <property fmtid="{D5CDD505-2E9C-101B-9397-08002B2CF9AE}" pid="7" name="Mendeley Recent Style Name 2_1">
    <vt:lpwstr>European Journal of Pharmaceutical Sciences</vt:lpwstr>
  </property>
  <property fmtid="{D5CDD505-2E9C-101B-9397-08002B2CF9AE}" pid="8" name="Mendeley Recent Style Id 3_1">
    <vt:lpwstr>http://www.zotero.org/styles/springer-basic-author-date</vt:lpwstr>
  </property>
  <property fmtid="{D5CDD505-2E9C-101B-9397-08002B2CF9AE}" pid="9" name="Mendeley Recent Style Name 3_1">
    <vt:lpwstr>Springer - Basic (author-date)</vt:lpwstr>
  </property>
  <property fmtid="{D5CDD505-2E9C-101B-9397-08002B2CF9AE}" pid="10" name="Mendeley Recent Style Id 4_1">
    <vt:lpwstr>http://www.zotero.org/styles/springer-basic-author-date-no-et-al-with-issue</vt:lpwstr>
  </property>
  <property fmtid="{D5CDD505-2E9C-101B-9397-08002B2CF9AE}" pid="11" name="Mendeley Recent Style Name 4_1">
    <vt:lpwstr>Springer - Basic (author-date, no "et al.", with issue numbers)</vt:lpwstr>
  </property>
  <property fmtid="{D5CDD505-2E9C-101B-9397-08002B2CF9AE}" pid="12" name="Mendeley Recent Style Id 5_1">
    <vt:lpwstr>http://www.zotero.org/styles/springer-basic-brackets-no-et-al</vt:lpwstr>
  </property>
  <property fmtid="{D5CDD505-2E9C-101B-9397-08002B2CF9AE}" pid="13" name="Mendeley Recent Style Name 5_1">
    <vt:lpwstr>Springer - Basic (numeric, brackets, no "et al.")</vt:lpwstr>
  </property>
  <property fmtid="{D5CDD505-2E9C-101B-9397-08002B2CF9AE}" pid="14" name="Mendeley Recent Style Id 6_1">
    <vt:lpwstr>http://www.zotero.org/styles/springer-vancouver</vt:lpwstr>
  </property>
  <property fmtid="{D5CDD505-2E9C-101B-9397-08002B2CF9AE}" pid="15" name="Mendeley Recent Style Name 6_1">
    <vt:lpwstr>Springer - Vancouver</vt:lpwstr>
  </property>
  <property fmtid="{D5CDD505-2E9C-101B-9397-08002B2CF9AE}" pid="16" name="Mendeley Recent Style Id 7_1">
    <vt:lpwstr>http://www.zotero.org/styles/springer-vancouver-author-date</vt:lpwstr>
  </property>
  <property fmtid="{D5CDD505-2E9C-101B-9397-08002B2CF9AE}" pid="17" name="Mendeley Recent Style Name 7_1">
    <vt:lpwstr>Springer - Vancouver (author-date)</vt:lpwstr>
  </property>
  <property fmtid="{D5CDD505-2E9C-101B-9397-08002B2CF9AE}" pid="18" name="Mendeley Recent Style Id 8_1">
    <vt:lpwstr>http://www.zotero.org/styles/springer-vancouver-brackets</vt:lpwstr>
  </property>
  <property fmtid="{D5CDD505-2E9C-101B-9397-08002B2CF9AE}" pid="19" name="Mendeley Recent Style Name 8_1">
    <vt:lpwstr>Springer - Vancouver (brackets)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6162d358-393a-320c-94f3-ac50ede840c3</vt:lpwstr>
  </property>
  <property fmtid="{D5CDD505-2E9C-101B-9397-08002B2CF9AE}" pid="24" name="Mendeley Citation Style_1">
    <vt:lpwstr>http://www.zotero.org/styles/vancouver</vt:lpwstr>
  </property>
</Properties>
</file>