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E2ED9" w14:textId="034EAA36" w:rsidR="00F13AF9" w:rsidRDefault="00F13AF9" w:rsidP="00F13AF9">
      <w:pPr>
        <w:jc w:val="center"/>
        <w:rPr>
          <w:rFonts w:ascii="Times New Roman" w:hAnsi="Times New Roman" w:cs="Times New Roman"/>
          <w:b/>
          <w:bCs/>
        </w:rPr>
      </w:pPr>
      <w:r w:rsidRPr="00F13AF9">
        <w:rPr>
          <w:rFonts w:ascii="Times New Roman" w:hAnsi="Times New Roman" w:cs="Times New Roman"/>
          <w:b/>
          <w:bCs/>
        </w:rPr>
        <w:t>Supp</w:t>
      </w:r>
      <w:r w:rsidR="006D2E54">
        <w:rPr>
          <w:rFonts w:ascii="Times New Roman" w:hAnsi="Times New Roman" w:cs="Times New Roman"/>
          <w:b/>
          <w:bCs/>
        </w:rPr>
        <w:t>lementary</w:t>
      </w:r>
      <w:r w:rsidRPr="00F13AF9">
        <w:rPr>
          <w:rFonts w:ascii="Times New Roman" w:hAnsi="Times New Roman" w:cs="Times New Roman"/>
          <w:b/>
          <w:bCs/>
        </w:rPr>
        <w:t xml:space="preserve"> Information</w:t>
      </w:r>
    </w:p>
    <w:p w14:paraId="1CC8A001" w14:textId="77777777" w:rsidR="00F13AF9" w:rsidRPr="00647EE2" w:rsidRDefault="00F13AF9" w:rsidP="00F13AF9">
      <w:pPr>
        <w:jc w:val="center"/>
        <w:rPr>
          <w:rFonts w:ascii="Times New Roman" w:hAnsi="Times New Roman" w:cs="Times New Roman"/>
          <w:b/>
          <w:bCs/>
        </w:rPr>
      </w:pPr>
      <w:r w:rsidRPr="00647EE2">
        <w:rPr>
          <w:rFonts w:ascii="Times New Roman" w:hAnsi="Times New Roman" w:cs="Times New Roman"/>
          <w:b/>
          <w:bCs/>
        </w:rPr>
        <w:t xml:space="preserve">A Tale of Two Stressors in Biologic Drug Product Development: Shaking Mode and </w:t>
      </w:r>
      <w:r w:rsidRPr="00A1011A">
        <w:rPr>
          <w:rFonts w:ascii="Times New Roman" w:hAnsi="Times New Roman" w:cs="Times New Roman"/>
          <w:b/>
          <w:bCs/>
        </w:rPr>
        <w:t>Primary Packaging</w:t>
      </w:r>
    </w:p>
    <w:p w14:paraId="715140A4" w14:textId="359C7E50" w:rsidR="00F13AF9" w:rsidRDefault="00F13AF9" w:rsidP="003E2DC0">
      <w:pPr>
        <w:jc w:val="center"/>
        <w:rPr>
          <w:rFonts w:ascii="Times New Roman" w:hAnsi="Times New Roman" w:cs="Times New Roman"/>
          <w:vertAlign w:val="superscript"/>
        </w:rPr>
      </w:pPr>
      <w:r w:rsidRPr="00647EE2">
        <w:rPr>
          <w:rFonts w:ascii="Times New Roman" w:hAnsi="Times New Roman" w:cs="Times New Roman"/>
        </w:rPr>
        <w:t>Siddhanth Hejmady</w:t>
      </w:r>
      <w:r w:rsidRPr="00647EE2">
        <w:rPr>
          <w:rFonts w:ascii="Times New Roman" w:hAnsi="Times New Roman" w:cs="Times New Roman"/>
          <w:vertAlign w:val="superscript"/>
        </w:rPr>
        <w:t>a</w:t>
      </w:r>
      <w:r w:rsidRPr="00647EE2">
        <w:rPr>
          <w:rFonts w:ascii="Times New Roman" w:hAnsi="Times New Roman" w:cs="Times New Roman"/>
        </w:rPr>
        <w:t>, Elham Taherian</w:t>
      </w:r>
      <w:r w:rsidRPr="00647EE2">
        <w:rPr>
          <w:rFonts w:ascii="Times New Roman" w:hAnsi="Times New Roman" w:cs="Times New Roman"/>
          <w:vertAlign w:val="superscript"/>
        </w:rPr>
        <w:t>a</w:t>
      </w:r>
      <w:r w:rsidRPr="00647EE2">
        <w:rPr>
          <w:rFonts w:ascii="Times New Roman" w:hAnsi="Times New Roman" w:cs="Times New Roman"/>
        </w:rPr>
        <w:t>, Reza Nejadnik</w:t>
      </w:r>
      <w:r w:rsidRPr="00647EE2">
        <w:rPr>
          <w:rFonts w:ascii="Times New Roman" w:hAnsi="Times New Roman" w:cs="Times New Roman"/>
          <w:vertAlign w:val="superscript"/>
        </w:rPr>
        <w:t>a,</w:t>
      </w:r>
      <w:r w:rsidRPr="00647EE2">
        <w:rPr>
          <w:rFonts w:ascii="Times New Roman" w:hAnsi="Times New Roman" w:cs="Times New Roman"/>
        </w:rPr>
        <w:t>*</w:t>
      </w:r>
    </w:p>
    <w:p w14:paraId="5529D235" w14:textId="77777777" w:rsidR="00F13AF9" w:rsidRPr="00647EE2" w:rsidRDefault="00F13AF9" w:rsidP="00F13AF9">
      <w:pPr>
        <w:jc w:val="both"/>
        <w:rPr>
          <w:rFonts w:ascii="Times New Roman" w:hAnsi="Times New Roman" w:cs="Times New Roman"/>
        </w:rPr>
      </w:pPr>
      <w:r w:rsidRPr="00647EE2">
        <w:rPr>
          <w:rFonts w:ascii="Times New Roman" w:hAnsi="Times New Roman" w:cs="Times New Roman"/>
          <w:vertAlign w:val="superscript"/>
        </w:rPr>
        <w:t xml:space="preserve">a </w:t>
      </w:r>
      <w:r w:rsidRPr="00647EE2">
        <w:rPr>
          <w:rFonts w:ascii="Times New Roman" w:hAnsi="Times New Roman" w:cs="Times New Roman"/>
        </w:rPr>
        <w:t>Department of Pharmaceutical Sciences &amp; Experimental Therapeutics, College of Pharmacy, University of Iowa, Iowa City, IA 52242, USA</w:t>
      </w:r>
    </w:p>
    <w:p w14:paraId="7056F0B8" w14:textId="77777777" w:rsidR="003E2DC0" w:rsidRPr="00A95C26" w:rsidRDefault="003E2DC0" w:rsidP="003E2DC0">
      <w:pPr>
        <w:rPr>
          <w:rFonts w:ascii="Times New Roman" w:hAnsi="Times New Roman" w:cs="Times New Roman"/>
          <w:bCs/>
          <w:color w:val="000000" w:themeColor="text1"/>
        </w:rPr>
      </w:pPr>
      <w:bookmarkStart w:id="0" w:name="_Hlk204973257"/>
      <w:r w:rsidRPr="00A95C26">
        <w:rPr>
          <w:rFonts w:ascii="Times New Roman" w:hAnsi="Times New Roman" w:cs="Times New Roman"/>
          <w:bCs/>
          <w:color w:val="000000" w:themeColor="text1"/>
        </w:rPr>
        <w:t>*Corresponding author:</w:t>
      </w:r>
    </w:p>
    <w:p w14:paraId="22DCCD13" w14:textId="48F4E67E" w:rsidR="003E2DC0" w:rsidRDefault="00F86760" w:rsidP="003E2DC0">
      <w:pPr>
        <w:jc w:val="both"/>
        <w:rPr>
          <w:rFonts w:ascii="Times New Roman" w:hAnsi="Times New Roman" w:cs="Times New Roman"/>
        </w:rPr>
      </w:pPr>
      <w:r>
        <w:rPr>
          <w:rFonts w:ascii="Times New Roman" w:hAnsi="Times New Roman" w:cs="Times New Roman"/>
        </w:rPr>
        <w:t xml:space="preserve">Dr. </w:t>
      </w:r>
      <w:r w:rsidR="003E2DC0">
        <w:rPr>
          <w:rFonts w:ascii="Times New Roman" w:hAnsi="Times New Roman" w:cs="Times New Roman"/>
        </w:rPr>
        <w:t>Reza Nejadnik</w:t>
      </w:r>
    </w:p>
    <w:p w14:paraId="752F30AB" w14:textId="10F300D2" w:rsidR="003E2DC0" w:rsidRDefault="003E2DC0" w:rsidP="003E2DC0">
      <w:pPr>
        <w:jc w:val="both"/>
        <w:rPr>
          <w:rFonts w:ascii="Times New Roman" w:hAnsi="Times New Roman" w:cs="Times New Roman"/>
        </w:rPr>
      </w:pPr>
      <w:r>
        <w:rPr>
          <w:rFonts w:ascii="Times New Roman" w:hAnsi="Times New Roman" w:cs="Times New Roman"/>
        </w:rPr>
        <w:t xml:space="preserve">Department </w:t>
      </w:r>
      <w:r w:rsidRPr="003E2DC0">
        <w:rPr>
          <w:rFonts w:ascii="Times New Roman" w:hAnsi="Times New Roman" w:cs="Times New Roman"/>
        </w:rPr>
        <w:t>of Pharmaceutical Sciences and Experimental Therapeutics</w:t>
      </w:r>
    </w:p>
    <w:p w14:paraId="2810E63A" w14:textId="1EE378BF" w:rsidR="003E2DC0" w:rsidRPr="003E2DC0" w:rsidRDefault="003E2DC0" w:rsidP="003E2DC0">
      <w:pPr>
        <w:jc w:val="both"/>
        <w:rPr>
          <w:rFonts w:ascii="Times New Roman" w:hAnsi="Times New Roman" w:cs="Times New Roman"/>
        </w:rPr>
      </w:pPr>
      <w:r w:rsidRPr="003E2DC0">
        <w:rPr>
          <w:rFonts w:ascii="Times New Roman" w:hAnsi="Times New Roman" w:cs="Times New Roman"/>
        </w:rPr>
        <w:t>446 College of Pharmacy Building</w:t>
      </w:r>
    </w:p>
    <w:p w14:paraId="2B5D134B" w14:textId="77777777" w:rsidR="003E2DC0" w:rsidRPr="003E2DC0" w:rsidRDefault="003E2DC0" w:rsidP="003E2DC0">
      <w:pPr>
        <w:jc w:val="both"/>
        <w:rPr>
          <w:rFonts w:ascii="Times New Roman" w:hAnsi="Times New Roman" w:cs="Times New Roman"/>
        </w:rPr>
      </w:pPr>
      <w:r w:rsidRPr="003E2DC0">
        <w:rPr>
          <w:rFonts w:ascii="Times New Roman" w:hAnsi="Times New Roman" w:cs="Times New Roman"/>
        </w:rPr>
        <w:t>180 S. Grand Ave</w:t>
      </w:r>
    </w:p>
    <w:p w14:paraId="64C4E375" w14:textId="739B65E4" w:rsidR="003E2DC0" w:rsidRPr="00647EE2" w:rsidRDefault="003E2DC0" w:rsidP="00F13AF9">
      <w:pPr>
        <w:jc w:val="both"/>
        <w:rPr>
          <w:rFonts w:ascii="Times New Roman" w:hAnsi="Times New Roman" w:cs="Times New Roman"/>
        </w:rPr>
      </w:pPr>
      <w:r w:rsidRPr="003E2DC0">
        <w:rPr>
          <w:rFonts w:ascii="Times New Roman" w:hAnsi="Times New Roman" w:cs="Times New Roman"/>
        </w:rPr>
        <w:t>Iowa City, IA 52242</w:t>
      </w:r>
      <w:r>
        <w:rPr>
          <w:rFonts w:ascii="Times New Roman" w:hAnsi="Times New Roman" w:cs="Times New Roman"/>
        </w:rPr>
        <w:t>, United States</w:t>
      </w:r>
    </w:p>
    <w:bookmarkEnd w:id="0"/>
    <w:p w14:paraId="7492C38B" w14:textId="1C13131B" w:rsidR="00AF3028" w:rsidRPr="004A7181" w:rsidRDefault="00AF3028" w:rsidP="00AF3028">
      <w:pPr>
        <w:jc w:val="both"/>
        <w:rPr>
          <w:rFonts w:ascii="Times New Roman" w:hAnsi="Times New Roman" w:cs="Times New Roman"/>
        </w:rPr>
      </w:pPr>
      <w:r w:rsidRPr="004A7181">
        <w:rPr>
          <w:rFonts w:ascii="Times New Roman" w:hAnsi="Times New Roman" w:cs="Times New Roman"/>
        </w:rPr>
        <w:t xml:space="preserve">E-mail: </w:t>
      </w:r>
      <w:hyperlink r:id="rId4" w:history="1">
        <w:r w:rsidR="005E46E0" w:rsidRPr="00C17158">
          <w:rPr>
            <w:rStyle w:val="Hyperlink"/>
            <w:rFonts w:ascii="Times New Roman" w:hAnsi="Times New Roman" w:cs="Times New Roman"/>
          </w:rPr>
          <w:t>reza-nejadnik@uiowa.edu</w:t>
        </w:r>
      </w:hyperlink>
      <w:r w:rsidR="005E46E0">
        <w:rPr>
          <w:rFonts w:ascii="Times New Roman" w:hAnsi="Times New Roman" w:cs="Times New Roman"/>
        </w:rPr>
        <w:t xml:space="preserve"> </w:t>
      </w:r>
      <w:r>
        <w:rPr>
          <w:rFonts w:ascii="Times New Roman" w:hAnsi="Times New Roman" w:cs="Times New Roman"/>
        </w:rPr>
        <w:t xml:space="preserve"> </w:t>
      </w:r>
    </w:p>
    <w:p w14:paraId="3D64A5B4" w14:textId="13D9D9B7" w:rsidR="00AF3028" w:rsidRPr="004A7181" w:rsidRDefault="00AF3028" w:rsidP="00AF3028">
      <w:pPr>
        <w:jc w:val="both"/>
        <w:rPr>
          <w:rFonts w:ascii="Times New Roman" w:hAnsi="Times New Roman" w:cs="Times New Roman"/>
        </w:rPr>
      </w:pPr>
      <w:r w:rsidRPr="004A7181">
        <w:rPr>
          <w:rFonts w:ascii="Times New Roman" w:hAnsi="Times New Roman" w:cs="Times New Roman"/>
        </w:rPr>
        <w:t xml:space="preserve">Website: </w:t>
      </w:r>
      <w:hyperlink r:id="rId5" w:history="1">
        <w:r w:rsidR="005E46E0" w:rsidRPr="00C17158">
          <w:rPr>
            <w:rStyle w:val="Hyperlink"/>
            <w:rFonts w:ascii="Times New Roman" w:hAnsi="Times New Roman" w:cs="Times New Roman"/>
          </w:rPr>
          <w:t>https://nejadnik.lab.uiowa.edu/</w:t>
        </w:r>
      </w:hyperlink>
      <w:r w:rsidR="005E46E0">
        <w:rPr>
          <w:rFonts w:ascii="Times New Roman" w:hAnsi="Times New Roman" w:cs="Times New Roman"/>
        </w:rPr>
        <w:t xml:space="preserve"> </w:t>
      </w:r>
      <w:r>
        <w:rPr>
          <w:rFonts w:ascii="Times New Roman" w:hAnsi="Times New Roman" w:cs="Times New Roman"/>
        </w:rPr>
        <w:t xml:space="preserve"> </w:t>
      </w:r>
    </w:p>
    <w:p w14:paraId="5DDD28E4" w14:textId="77777777" w:rsidR="003E2DC0" w:rsidRDefault="003E2DC0" w:rsidP="00F13AF9">
      <w:pPr>
        <w:jc w:val="both"/>
        <w:rPr>
          <w:rFonts w:ascii="Times New Roman" w:hAnsi="Times New Roman" w:cs="Times New Roman"/>
        </w:rPr>
      </w:pPr>
    </w:p>
    <w:p w14:paraId="31D6E980" w14:textId="77777777" w:rsidR="00F13AF9" w:rsidRDefault="00F13AF9" w:rsidP="00F13AF9">
      <w:pPr>
        <w:jc w:val="center"/>
        <w:rPr>
          <w:rFonts w:ascii="Times New Roman" w:hAnsi="Times New Roman" w:cs="Times New Roman"/>
          <w:b/>
          <w:bCs/>
        </w:rPr>
      </w:pPr>
    </w:p>
    <w:p w14:paraId="3DB30CAB" w14:textId="77777777" w:rsidR="00F13AF9" w:rsidRDefault="00F13AF9" w:rsidP="00F13AF9">
      <w:pPr>
        <w:jc w:val="center"/>
        <w:rPr>
          <w:rFonts w:ascii="Times New Roman" w:hAnsi="Times New Roman" w:cs="Times New Roman"/>
          <w:b/>
          <w:bCs/>
        </w:rPr>
      </w:pPr>
    </w:p>
    <w:p w14:paraId="7AEC796A" w14:textId="77777777" w:rsidR="003E2DC0" w:rsidRDefault="003E2DC0" w:rsidP="00A4487E">
      <w:pPr>
        <w:rPr>
          <w:rFonts w:ascii="Times New Roman" w:hAnsi="Times New Roman" w:cs="Times New Roman"/>
          <w:b/>
          <w:bCs/>
        </w:rPr>
      </w:pPr>
    </w:p>
    <w:p w14:paraId="3254ED48" w14:textId="77777777" w:rsidR="00AF3028" w:rsidRPr="00F13AF9" w:rsidRDefault="00AF3028" w:rsidP="00A4487E">
      <w:pPr>
        <w:rPr>
          <w:rFonts w:ascii="Times New Roman" w:hAnsi="Times New Roman" w:cs="Times New Roman"/>
          <w:b/>
          <w:bCs/>
        </w:rPr>
      </w:pPr>
    </w:p>
    <w:p w14:paraId="36F63209" w14:textId="77777777" w:rsidR="00F13AF9" w:rsidRDefault="00F13AF9" w:rsidP="00F13AF9">
      <w:pPr>
        <w:pStyle w:val="Caption"/>
        <w:jc w:val="both"/>
        <w:rPr>
          <w:rFonts w:ascii="Times New Roman" w:hAnsi="Times New Roman" w:cs="Times New Roman"/>
          <w:b/>
          <w:bCs/>
          <w:i w:val="0"/>
          <w:iCs w:val="0"/>
          <w:color w:val="auto"/>
          <w:sz w:val="24"/>
          <w:szCs w:val="24"/>
        </w:rPr>
      </w:pPr>
      <w:r w:rsidRPr="00284608">
        <w:rPr>
          <w:rFonts w:ascii="Times New Roman" w:hAnsi="Times New Roman" w:cs="Times New Roman"/>
          <w:b/>
          <w:bCs/>
          <w:i w:val="0"/>
          <w:iCs w:val="0"/>
          <w:color w:val="auto"/>
          <w:sz w:val="24"/>
          <w:szCs w:val="24"/>
        </w:rPr>
        <w:lastRenderedPageBreak/>
        <w:t>Figure captions:</w:t>
      </w:r>
    </w:p>
    <w:p w14:paraId="0BE3E68D" w14:textId="38C655F6" w:rsidR="00AF3028" w:rsidRDefault="00AF3028" w:rsidP="00F13AF9">
      <w:pPr>
        <w:jc w:val="both"/>
        <w:rPr>
          <w:rFonts w:ascii="Times New Roman" w:hAnsi="Times New Roman" w:cs="Times New Roman"/>
          <w:b/>
          <w:bCs/>
        </w:rPr>
      </w:pPr>
      <w:bookmarkStart w:id="1" w:name="_Hlk209629784"/>
      <w:r w:rsidRPr="0040743C">
        <w:rPr>
          <w:rFonts w:ascii="Times New Roman" w:hAnsi="Times New Roman" w:cs="Times New Roman"/>
          <w:b/>
          <w:bCs/>
        </w:rPr>
        <w:t>Figure S</w:t>
      </w:r>
      <w:r>
        <w:rPr>
          <w:rFonts w:ascii="Times New Roman" w:hAnsi="Times New Roman" w:cs="Times New Roman"/>
          <w:b/>
          <w:bCs/>
        </w:rPr>
        <w:t>1</w:t>
      </w:r>
      <w:bookmarkEnd w:id="1"/>
      <w:r w:rsidRPr="0040743C">
        <w:rPr>
          <w:rFonts w:ascii="Times New Roman" w:hAnsi="Times New Roman" w:cs="Times New Roman"/>
          <w:b/>
          <w:bCs/>
        </w:rPr>
        <w:t xml:space="preserve">. </w:t>
      </w:r>
      <w:r w:rsidR="00B3378F" w:rsidRPr="00B3378F">
        <w:rPr>
          <w:rFonts w:ascii="Times New Roman" w:hAnsi="Times New Roman" w:cs="Times New Roman"/>
        </w:rPr>
        <w:t xml:space="preserve">Representative photographs of vials vertically </w:t>
      </w:r>
      <w:r w:rsidR="00944D5F">
        <w:rPr>
          <w:rFonts w:ascii="Times New Roman" w:hAnsi="Times New Roman" w:cs="Times New Roman"/>
        </w:rPr>
        <w:t xml:space="preserve">placed </w:t>
      </w:r>
      <w:r w:rsidR="00B3378F" w:rsidRPr="00B3378F">
        <w:rPr>
          <w:rFonts w:ascii="Times New Roman" w:hAnsi="Times New Roman" w:cs="Times New Roman"/>
        </w:rPr>
        <w:t xml:space="preserve">in tailor-made carton dividers, </w:t>
      </w:r>
      <w:r w:rsidR="00944D5F">
        <w:rPr>
          <w:rFonts w:ascii="Times New Roman" w:hAnsi="Times New Roman" w:cs="Times New Roman"/>
        </w:rPr>
        <w:t xml:space="preserve">securely tightened to the </w:t>
      </w:r>
      <w:r w:rsidR="00B3378F" w:rsidRPr="00B3378F">
        <w:rPr>
          <w:rFonts w:ascii="Times New Roman" w:hAnsi="Times New Roman" w:cs="Times New Roman"/>
        </w:rPr>
        <w:t>two shaking platforms used in th</w:t>
      </w:r>
      <w:r w:rsidR="00944D5F">
        <w:rPr>
          <w:rFonts w:ascii="Times New Roman" w:hAnsi="Times New Roman" w:cs="Times New Roman"/>
        </w:rPr>
        <w:t>is</w:t>
      </w:r>
      <w:r w:rsidR="00B3378F" w:rsidRPr="00B3378F">
        <w:rPr>
          <w:rFonts w:ascii="Times New Roman" w:hAnsi="Times New Roman" w:cs="Times New Roman"/>
        </w:rPr>
        <w:t xml:space="preserve"> study. </w:t>
      </w:r>
      <w:r w:rsidR="00FF2947" w:rsidRPr="00FF2947">
        <w:rPr>
          <w:rFonts w:ascii="Times New Roman" w:hAnsi="Times New Roman" w:cs="Times New Roman"/>
        </w:rPr>
        <w:t>Directional arrows i</w:t>
      </w:r>
      <w:r w:rsidR="00FF2947">
        <w:rPr>
          <w:rFonts w:ascii="Times New Roman" w:hAnsi="Times New Roman" w:cs="Times New Roman"/>
        </w:rPr>
        <w:t>llustrate</w:t>
      </w:r>
      <w:r w:rsidR="00FF2947" w:rsidRPr="00FF2947">
        <w:rPr>
          <w:rFonts w:ascii="Times New Roman" w:hAnsi="Times New Roman" w:cs="Times New Roman"/>
        </w:rPr>
        <w:t xml:space="preserve"> the distinct motion patterns</w:t>
      </w:r>
      <w:r w:rsidR="0030095E">
        <w:rPr>
          <w:rFonts w:ascii="Times New Roman" w:hAnsi="Times New Roman" w:cs="Times New Roman"/>
        </w:rPr>
        <w:t xml:space="preserve">: circular for the </w:t>
      </w:r>
      <w:r w:rsidR="00FF2947">
        <w:rPr>
          <w:rFonts w:ascii="Times New Roman" w:hAnsi="Times New Roman" w:cs="Times New Roman"/>
        </w:rPr>
        <w:t>o</w:t>
      </w:r>
      <w:r w:rsidR="00B3378F" w:rsidRPr="00B3378F">
        <w:rPr>
          <w:rFonts w:ascii="Times New Roman" w:hAnsi="Times New Roman" w:cs="Times New Roman"/>
        </w:rPr>
        <w:t>rbital shaker</w:t>
      </w:r>
      <w:r w:rsidR="00944D5F">
        <w:rPr>
          <w:rFonts w:ascii="Times New Roman" w:hAnsi="Times New Roman" w:cs="Times New Roman"/>
        </w:rPr>
        <w:t xml:space="preserve"> </w:t>
      </w:r>
      <w:r w:rsidR="00944D5F" w:rsidRPr="00B3378F">
        <w:rPr>
          <w:rFonts w:ascii="Times New Roman" w:hAnsi="Times New Roman" w:cs="Times New Roman"/>
        </w:rPr>
        <w:t>(</w:t>
      </w:r>
      <w:r w:rsidR="00FF2947">
        <w:rPr>
          <w:rFonts w:ascii="Times New Roman" w:hAnsi="Times New Roman" w:cs="Times New Roman"/>
        </w:rPr>
        <w:t>l</w:t>
      </w:r>
      <w:r w:rsidR="00944D5F" w:rsidRPr="00B3378F">
        <w:rPr>
          <w:rFonts w:ascii="Times New Roman" w:hAnsi="Times New Roman" w:cs="Times New Roman"/>
        </w:rPr>
        <w:t>eft)</w:t>
      </w:r>
      <w:r w:rsidR="00944D5F">
        <w:rPr>
          <w:rFonts w:ascii="Times New Roman" w:hAnsi="Times New Roman" w:cs="Times New Roman"/>
        </w:rPr>
        <w:t xml:space="preserve"> and </w:t>
      </w:r>
      <w:r w:rsidR="0030095E">
        <w:rPr>
          <w:rFonts w:ascii="Times New Roman" w:hAnsi="Times New Roman" w:cs="Times New Roman"/>
        </w:rPr>
        <w:t xml:space="preserve">back-and-forth for </w:t>
      </w:r>
      <w:r w:rsidR="004173BB">
        <w:rPr>
          <w:rFonts w:ascii="Times New Roman" w:hAnsi="Times New Roman" w:cs="Times New Roman"/>
        </w:rPr>
        <w:t xml:space="preserve">the </w:t>
      </w:r>
      <w:r w:rsidR="00FF2947">
        <w:rPr>
          <w:rFonts w:ascii="Times New Roman" w:hAnsi="Times New Roman" w:cs="Times New Roman"/>
        </w:rPr>
        <w:t>h</w:t>
      </w:r>
      <w:r w:rsidR="00944D5F" w:rsidRPr="00B3378F">
        <w:rPr>
          <w:rFonts w:ascii="Times New Roman" w:hAnsi="Times New Roman" w:cs="Times New Roman"/>
        </w:rPr>
        <w:t>orizontal shaker</w:t>
      </w:r>
      <w:r w:rsidR="00944D5F">
        <w:rPr>
          <w:rFonts w:ascii="Times New Roman" w:hAnsi="Times New Roman" w:cs="Times New Roman"/>
        </w:rPr>
        <w:t xml:space="preserve"> </w:t>
      </w:r>
      <w:r w:rsidR="00B3378F" w:rsidRPr="00B3378F">
        <w:rPr>
          <w:rFonts w:ascii="Times New Roman" w:hAnsi="Times New Roman" w:cs="Times New Roman"/>
        </w:rPr>
        <w:t>(</w:t>
      </w:r>
      <w:r w:rsidR="00FF2947">
        <w:rPr>
          <w:rFonts w:ascii="Times New Roman" w:hAnsi="Times New Roman" w:cs="Times New Roman"/>
        </w:rPr>
        <w:t>r</w:t>
      </w:r>
      <w:r w:rsidR="00B3378F" w:rsidRPr="00B3378F">
        <w:rPr>
          <w:rFonts w:ascii="Times New Roman" w:hAnsi="Times New Roman" w:cs="Times New Roman"/>
        </w:rPr>
        <w:t>ight).</w:t>
      </w:r>
    </w:p>
    <w:p w14:paraId="3D6D49B8" w14:textId="456809A1" w:rsidR="0040743C" w:rsidRDefault="0040743C" w:rsidP="00F13AF9">
      <w:pPr>
        <w:jc w:val="both"/>
        <w:rPr>
          <w:rFonts w:ascii="Times New Roman" w:hAnsi="Times New Roman" w:cs="Times New Roman"/>
        </w:rPr>
      </w:pPr>
      <w:r w:rsidRPr="0040743C">
        <w:rPr>
          <w:rFonts w:ascii="Times New Roman" w:hAnsi="Times New Roman" w:cs="Times New Roman"/>
          <w:b/>
          <w:bCs/>
        </w:rPr>
        <w:t>Figure S</w:t>
      </w:r>
      <w:r>
        <w:rPr>
          <w:rFonts w:ascii="Times New Roman" w:hAnsi="Times New Roman" w:cs="Times New Roman"/>
          <w:b/>
          <w:bCs/>
        </w:rPr>
        <w:t>2</w:t>
      </w:r>
      <w:r w:rsidRPr="0040743C">
        <w:rPr>
          <w:rFonts w:ascii="Times New Roman" w:hAnsi="Times New Roman" w:cs="Times New Roman"/>
          <w:b/>
          <w:bCs/>
        </w:rPr>
        <w:t xml:space="preserve">. </w:t>
      </w:r>
      <w:r w:rsidRPr="00523F14">
        <w:rPr>
          <w:rFonts w:ascii="Times New Roman" w:hAnsi="Times New Roman" w:cs="Times New Roman"/>
        </w:rPr>
        <w:t xml:space="preserve">Representative </w:t>
      </w:r>
      <w:r w:rsidR="00523F14">
        <w:rPr>
          <w:rFonts w:ascii="Times New Roman" w:hAnsi="Times New Roman" w:cs="Times New Roman"/>
        </w:rPr>
        <w:t>p</w:t>
      </w:r>
      <w:r w:rsidR="00523F14" w:rsidRPr="00523F14">
        <w:rPr>
          <w:rFonts w:ascii="Times New Roman" w:hAnsi="Times New Roman" w:cs="Times New Roman"/>
        </w:rPr>
        <w:t>hotograph</w:t>
      </w:r>
      <w:r w:rsidR="00523F14">
        <w:rPr>
          <w:rFonts w:ascii="Times New Roman" w:hAnsi="Times New Roman" w:cs="Times New Roman"/>
        </w:rPr>
        <w:t>s</w:t>
      </w:r>
      <w:r w:rsidRPr="00523F14">
        <w:rPr>
          <w:rFonts w:ascii="Times New Roman" w:hAnsi="Times New Roman" w:cs="Times New Roman"/>
        </w:rPr>
        <w:t xml:space="preserve"> of </w:t>
      </w:r>
      <w:r w:rsidR="00BC7FA3">
        <w:rPr>
          <w:rFonts w:ascii="Times New Roman" w:hAnsi="Times New Roman" w:cs="Times New Roman"/>
        </w:rPr>
        <w:t xml:space="preserve">formulations in </w:t>
      </w:r>
      <w:r w:rsidR="00523F14">
        <w:rPr>
          <w:rFonts w:ascii="Times New Roman" w:hAnsi="Times New Roman" w:cs="Times New Roman"/>
        </w:rPr>
        <w:t xml:space="preserve">untreated glass </w:t>
      </w:r>
      <w:r w:rsidRPr="00523F14">
        <w:rPr>
          <w:rFonts w:ascii="Times New Roman" w:hAnsi="Times New Roman" w:cs="Times New Roman"/>
        </w:rPr>
        <w:t>vials before and after shaking stress</w:t>
      </w:r>
      <w:r w:rsidR="002E3E78">
        <w:rPr>
          <w:rFonts w:ascii="Times New Roman" w:hAnsi="Times New Roman" w:cs="Times New Roman"/>
        </w:rPr>
        <w:t xml:space="preserve">. </w:t>
      </w:r>
      <w:r w:rsidRPr="00523F14">
        <w:rPr>
          <w:rFonts w:ascii="Times New Roman" w:hAnsi="Times New Roman" w:cs="Times New Roman"/>
        </w:rPr>
        <w:t xml:space="preserve">Vials on the </w:t>
      </w:r>
      <w:r w:rsidR="00523F14">
        <w:rPr>
          <w:rFonts w:ascii="Times New Roman" w:hAnsi="Times New Roman" w:cs="Times New Roman"/>
        </w:rPr>
        <w:t>top</w:t>
      </w:r>
      <w:r w:rsidRPr="00523F14">
        <w:rPr>
          <w:rFonts w:ascii="Times New Roman" w:hAnsi="Times New Roman" w:cs="Times New Roman"/>
        </w:rPr>
        <w:t xml:space="preserve"> show the </w:t>
      </w:r>
      <w:r w:rsidR="00523F14" w:rsidRPr="00F13AF9">
        <w:rPr>
          <w:rFonts w:ascii="Times New Roman" w:hAnsi="Times New Roman" w:cs="Times New Roman"/>
        </w:rPr>
        <w:t xml:space="preserve">Cetuximab </w:t>
      </w:r>
      <w:r w:rsidR="00BC7FA3">
        <w:rPr>
          <w:rFonts w:ascii="Times New Roman" w:hAnsi="Times New Roman" w:cs="Times New Roman"/>
        </w:rPr>
        <w:t xml:space="preserve">formulation </w:t>
      </w:r>
      <w:r w:rsidR="00523F14" w:rsidRPr="00F13AF9">
        <w:rPr>
          <w:rFonts w:ascii="Times New Roman" w:hAnsi="Times New Roman" w:cs="Times New Roman"/>
        </w:rPr>
        <w:t>without polysorbate 80 (PS80)</w:t>
      </w:r>
      <w:r w:rsidR="00523F14">
        <w:rPr>
          <w:rFonts w:ascii="Times New Roman" w:hAnsi="Times New Roman" w:cs="Times New Roman"/>
        </w:rPr>
        <w:t xml:space="preserve"> </w:t>
      </w:r>
      <w:r w:rsidR="00BC7FA3">
        <w:rPr>
          <w:rFonts w:ascii="Times New Roman" w:hAnsi="Times New Roman" w:cs="Times New Roman"/>
        </w:rPr>
        <w:t>at</w:t>
      </w:r>
      <w:r w:rsidRPr="00523F14">
        <w:rPr>
          <w:rFonts w:ascii="Times New Roman" w:hAnsi="Times New Roman" w:cs="Times New Roman"/>
        </w:rPr>
        <w:t xml:space="preserve"> T0, while vials on the </w:t>
      </w:r>
      <w:r w:rsidR="00523F14">
        <w:rPr>
          <w:rFonts w:ascii="Times New Roman" w:hAnsi="Times New Roman" w:cs="Times New Roman"/>
        </w:rPr>
        <w:t>bottom</w:t>
      </w:r>
      <w:r w:rsidRPr="00523F14">
        <w:rPr>
          <w:rFonts w:ascii="Times New Roman" w:hAnsi="Times New Roman" w:cs="Times New Roman"/>
        </w:rPr>
        <w:t xml:space="preserve"> </w:t>
      </w:r>
      <w:r w:rsidR="0030095E">
        <w:rPr>
          <w:rFonts w:ascii="Times New Roman" w:hAnsi="Times New Roman" w:cs="Times New Roman"/>
        </w:rPr>
        <w:t>show</w:t>
      </w:r>
      <w:r w:rsidRPr="00523F14">
        <w:rPr>
          <w:rFonts w:ascii="Times New Roman" w:hAnsi="Times New Roman" w:cs="Times New Roman"/>
        </w:rPr>
        <w:t xml:space="preserve"> the same formulation after 72 hours of horizontal shaking</w:t>
      </w:r>
      <w:r w:rsidR="002E3E78">
        <w:rPr>
          <w:rFonts w:ascii="Times New Roman" w:hAnsi="Times New Roman" w:cs="Times New Roman"/>
        </w:rPr>
        <w:t xml:space="preserve"> </w:t>
      </w:r>
      <w:r w:rsidR="002E3E78" w:rsidRPr="002E3E78">
        <w:rPr>
          <w:rFonts w:ascii="Times New Roman" w:hAnsi="Times New Roman" w:cs="Times New Roman"/>
        </w:rPr>
        <w:t>(n = 3)</w:t>
      </w:r>
      <w:r w:rsidRPr="00523F14">
        <w:rPr>
          <w:rFonts w:ascii="Times New Roman" w:hAnsi="Times New Roman" w:cs="Times New Roman"/>
        </w:rPr>
        <w:t xml:space="preserve">. </w:t>
      </w:r>
    </w:p>
    <w:p w14:paraId="7D4BB605" w14:textId="69073B86" w:rsidR="00FA1951" w:rsidRPr="00F13AF9" w:rsidRDefault="00FA1951" w:rsidP="00F13AF9">
      <w:pPr>
        <w:jc w:val="both"/>
        <w:rPr>
          <w:rFonts w:ascii="Times New Roman" w:hAnsi="Times New Roman" w:cs="Times New Roman"/>
        </w:rPr>
      </w:pPr>
      <w:r w:rsidRPr="00F13AF9">
        <w:rPr>
          <w:rFonts w:ascii="Times New Roman" w:hAnsi="Times New Roman" w:cs="Times New Roman"/>
          <w:b/>
          <w:bCs/>
        </w:rPr>
        <w:t xml:space="preserve">Figure </w:t>
      </w:r>
      <w:r w:rsidR="00F13AF9" w:rsidRPr="00F13AF9">
        <w:rPr>
          <w:rFonts w:ascii="Times New Roman" w:hAnsi="Times New Roman" w:cs="Times New Roman"/>
          <w:b/>
          <w:bCs/>
        </w:rPr>
        <w:t>S</w:t>
      </w:r>
      <w:r w:rsidR="0040743C">
        <w:rPr>
          <w:rFonts w:ascii="Times New Roman" w:hAnsi="Times New Roman" w:cs="Times New Roman"/>
          <w:b/>
          <w:bCs/>
        </w:rPr>
        <w:t>3</w:t>
      </w:r>
      <w:r w:rsidRPr="00F13AF9">
        <w:rPr>
          <w:rFonts w:ascii="Times New Roman" w:hAnsi="Times New Roman" w:cs="Times New Roman"/>
          <w:b/>
          <w:bCs/>
        </w:rPr>
        <w:t>.</w:t>
      </w:r>
      <w:r w:rsidRPr="00F13AF9">
        <w:rPr>
          <w:rFonts w:ascii="Times New Roman" w:hAnsi="Times New Roman" w:cs="Times New Roman"/>
        </w:rPr>
        <w:t xml:space="preserve"> Size-exclusion chromatograms </w:t>
      </w:r>
      <w:r w:rsidR="00A1011A">
        <w:rPr>
          <w:rFonts w:ascii="Times New Roman" w:hAnsi="Times New Roman" w:cs="Times New Roman"/>
        </w:rPr>
        <w:t xml:space="preserve">(SEC) </w:t>
      </w:r>
      <w:r w:rsidRPr="00F13AF9">
        <w:rPr>
          <w:rFonts w:ascii="Times New Roman" w:hAnsi="Times New Roman" w:cs="Times New Roman"/>
        </w:rPr>
        <w:t>of Cetuximab and Tocilizumab formulations without PS80, under T0 and T72 horizontal shaking conditions. (A) Cetuximab in untreated glass vials, (B) Tocilizumab in untreated glass vials, (C) Cetuximab in silanized glass vials.</w:t>
      </w:r>
    </w:p>
    <w:p w14:paraId="129640AD" w14:textId="3D974AA0" w:rsidR="00FA1951" w:rsidRDefault="00FA1951" w:rsidP="00FA1951">
      <w:pPr>
        <w:jc w:val="both"/>
        <w:rPr>
          <w:rFonts w:ascii="Times New Roman" w:hAnsi="Times New Roman" w:cs="Times New Roman"/>
        </w:rPr>
      </w:pPr>
      <w:r w:rsidRPr="00F13AF9">
        <w:rPr>
          <w:rFonts w:ascii="Times New Roman" w:hAnsi="Times New Roman" w:cs="Times New Roman"/>
          <w:b/>
          <w:bCs/>
        </w:rPr>
        <w:t xml:space="preserve">Figure </w:t>
      </w:r>
      <w:r w:rsidR="00F13AF9">
        <w:rPr>
          <w:rFonts w:ascii="Times New Roman" w:hAnsi="Times New Roman" w:cs="Times New Roman"/>
          <w:b/>
          <w:bCs/>
        </w:rPr>
        <w:t>S</w:t>
      </w:r>
      <w:r w:rsidR="0040743C">
        <w:rPr>
          <w:rFonts w:ascii="Times New Roman" w:hAnsi="Times New Roman" w:cs="Times New Roman"/>
          <w:b/>
          <w:bCs/>
        </w:rPr>
        <w:t>4</w:t>
      </w:r>
      <w:r w:rsidRPr="00F13AF9">
        <w:rPr>
          <w:rFonts w:ascii="Times New Roman" w:hAnsi="Times New Roman" w:cs="Times New Roman"/>
          <w:b/>
          <w:bCs/>
        </w:rPr>
        <w:t xml:space="preserve">. </w:t>
      </w:r>
      <w:r w:rsidRPr="00F13AF9">
        <w:rPr>
          <w:rFonts w:ascii="Times New Roman" w:hAnsi="Times New Roman" w:cs="Times New Roman"/>
        </w:rPr>
        <w:t>Subvisible particle (SVP) counts per mL in in phosphate-buffered saline (PBS), with and without PS80, in silanized glass vials under different shaking conditions, measured by flow imaging microscopy (FIM). Total particle counts are reported for three size thresholds: &gt;2 µm, &gt;10 µm, and &gt;25 µm.</w:t>
      </w:r>
    </w:p>
    <w:p w14:paraId="727D9DF3" w14:textId="77777777" w:rsidR="00BC7FA3" w:rsidRDefault="00BC7FA3" w:rsidP="00FA1951">
      <w:pPr>
        <w:jc w:val="both"/>
        <w:rPr>
          <w:rFonts w:ascii="Times New Roman" w:hAnsi="Times New Roman" w:cs="Times New Roman"/>
        </w:rPr>
      </w:pPr>
    </w:p>
    <w:p w14:paraId="34C6EFEA" w14:textId="77777777" w:rsidR="00905B00" w:rsidRDefault="00905B00" w:rsidP="00905B00">
      <w:pPr>
        <w:jc w:val="center"/>
        <w:rPr>
          <w:rFonts w:ascii="Times New Roman" w:hAnsi="Times New Roman" w:cs="Times New Roman"/>
          <w:b/>
          <w:bCs/>
        </w:rPr>
      </w:pPr>
    </w:p>
    <w:p w14:paraId="3674D0D6" w14:textId="77777777" w:rsidR="00905B00" w:rsidRDefault="00905B00" w:rsidP="00905B00">
      <w:pPr>
        <w:jc w:val="center"/>
        <w:rPr>
          <w:rFonts w:ascii="Times New Roman" w:hAnsi="Times New Roman" w:cs="Times New Roman"/>
          <w:b/>
          <w:bCs/>
        </w:rPr>
      </w:pPr>
    </w:p>
    <w:p w14:paraId="51117DAB" w14:textId="77777777" w:rsidR="00905B00" w:rsidRDefault="00905B00" w:rsidP="00905B00">
      <w:pPr>
        <w:jc w:val="center"/>
        <w:rPr>
          <w:rFonts w:ascii="Times New Roman" w:hAnsi="Times New Roman" w:cs="Times New Roman"/>
          <w:b/>
          <w:bCs/>
        </w:rPr>
      </w:pPr>
    </w:p>
    <w:p w14:paraId="00C40D71" w14:textId="77777777" w:rsidR="00905B00" w:rsidRDefault="00905B00" w:rsidP="00905B00">
      <w:pPr>
        <w:jc w:val="center"/>
        <w:rPr>
          <w:rFonts w:ascii="Times New Roman" w:hAnsi="Times New Roman" w:cs="Times New Roman"/>
          <w:b/>
          <w:bCs/>
        </w:rPr>
      </w:pPr>
    </w:p>
    <w:p w14:paraId="63673383" w14:textId="77777777" w:rsidR="00905B00" w:rsidRDefault="00905B00" w:rsidP="00905B00">
      <w:pPr>
        <w:jc w:val="center"/>
        <w:rPr>
          <w:rFonts w:ascii="Times New Roman" w:hAnsi="Times New Roman" w:cs="Times New Roman"/>
          <w:b/>
          <w:bCs/>
        </w:rPr>
      </w:pPr>
    </w:p>
    <w:p w14:paraId="4B250D15" w14:textId="32A2191A" w:rsidR="00BC7FA3" w:rsidRDefault="004173BB" w:rsidP="00905B00">
      <w:pPr>
        <w:jc w:val="center"/>
        <w:rPr>
          <w:rFonts w:ascii="Times New Roman" w:hAnsi="Times New Roman" w:cs="Times New Roman"/>
        </w:rPr>
      </w:pPr>
      <w:r>
        <w:rPr>
          <w:noProof/>
        </w:rPr>
        <w:drawing>
          <wp:inline distT="0" distB="0" distL="0" distR="0" wp14:anchorId="4D181EBF" wp14:editId="1CAFD37D">
            <wp:extent cx="5943600" cy="3157855"/>
            <wp:effectExtent l="0" t="0" r="0" b="4445"/>
            <wp:docPr id="1767480501" name="Picture 1" descr="A machine with a few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80501" name="Picture 1" descr="A machine with a few object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157855"/>
                    </a:xfrm>
                    <a:prstGeom prst="rect">
                      <a:avLst/>
                    </a:prstGeom>
                    <a:noFill/>
                    <a:ln>
                      <a:noFill/>
                    </a:ln>
                  </pic:spPr>
                </pic:pic>
              </a:graphicData>
            </a:graphic>
          </wp:inline>
        </w:drawing>
      </w:r>
      <w:r w:rsidR="00905B00" w:rsidRPr="0040743C">
        <w:rPr>
          <w:rFonts w:ascii="Times New Roman" w:hAnsi="Times New Roman" w:cs="Times New Roman"/>
          <w:b/>
          <w:bCs/>
        </w:rPr>
        <w:t>Figure S</w:t>
      </w:r>
      <w:r w:rsidR="00905B00">
        <w:rPr>
          <w:rFonts w:ascii="Times New Roman" w:hAnsi="Times New Roman" w:cs="Times New Roman"/>
          <w:b/>
          <w:bCs/>
        </w:rPr>
        <w:t>1</w:t>
      </w:r>
    </w:p>
    <w:p w14:paraId="5102604C" w14:textId="77777777" w:rsidR="00AF3028" w:rsidRDefault="00BC7FA3" w:rsidP="00AF3028">
      <w:pPr>
        <w:spacing w:after="0"/>
        <w:jc w:val="center"/>
        <w:rPr>
          <w:rFonts w:ascii="Times New Roman" w:hAnsi="Times New Roman" w:cs="Times New Roman"/>
          <w:b/>
          <w:bCs/>
        </w:rPr>
      </w:pPr>
      <w:r>
        <w:rPr>
          <w:noProof/>
        </w:rPr>
        <w:lastRenderedPageBreak/>
        <w:drawing>
          <wp:inline distT="0" distB="0" distL="0" distR="0" wp14:anchorId="1A5E82D2" wp14:editId="22D0A6BC">
            <wp:extent cx="4572000" cy="6089904"/>
            <wp:effectExtent l="0" t="0" r="0" b="6350"/>
            <wp:docPr id="1049959809" name="Picture 1" descr="A group of clear containe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959809" name="Picture 1" descr="A group of clear containers with number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6089904"/>
                    </a:xfrm>
                    <a:prstGeom prst="rect">
                      <a:avLst/>
                    </a:prstGeom>
                    <a:noFill/>
                    <a:ln>
                      <a:noFill/>
                    </a:ln>
                  </pic:spPr>
                </pic:pic>
              </a:graphicData>
            </a:graphic>
          </wp:inline>
        </w:drawing>
      </w:r>
    </w:p>
    <w:p w14:paraId="4AD7C905" w14:textId="51FC241D" w:rsidR="00BC7FA3" w:rsidRPr="00BC7FA3" w:rsidRDefault="00BC7FA3" w:rsidP="00AF3028">
      <w:pPr>
        <w:spacing w:after="0"/>
        <w:jc w:val="center"/>
        <w:rPr>
          <w:rFonts w:ascii="Times New Roman" w:hAnsi="Times New Roman" w:cs="Times New Roman"/>
          <w:b/>
          <w:bCs/>
        </w:rPr>
      </w:pPr>
      <w:r w:rsidRPr="003E2DC0">
        <w:rPr>
          <w:rFonts w:ascii="Times New Roman" w:hAnsi="Times New Roman" w:cs="Times New Roman"/>
          <w:b/>
          <w:bCs/>
        </w:rPr>
        <w:t>Figure S</w:t>
      </w:r>
      <w:r>
        <w:rPr>
          <w:rFonts w:ascii="Times New Roman" w:hAnsi="Times New Roman" w:cs="Times New Roman"/>
          <w:b/>
          <w:bCs/>
        </w:rPr>
        <w:t>2</w:t>
      </w:r>
    </w:p>
    <w:p w14:paraId="5F1F3241" w14:textId="77777777" w:rsidR="00BC7FA3" w:rsidRPr="00F13AF9" w:rsidRDefault="00BC7FA3" w:rsidP="00FA1951">
      <w:pPr>
        <w:jc w:val="both"/>
        <w:rPr>
          <w:rFonts w:ascii="Times New Roman" w:hAnsi="Times New Roman" w:cs="Times New Roman"/>
        </w:rPr>
      </w:pPr>
    </w:p>
    <w:p w14:paraId="54B3CF23" w14:textId="4063AAD2" w:rsidR="003E2DC0" w:rsidRPr="00BC7FA3" w:rsidRDefault="003E2DC0" w:rsidP="009C4648">
      <w:pPr>
        <w:spacing w:after="0"/>
        <w:jc w:val="center"/>
        <w:rPr>
          <w:rFonts w:ascii="Times New Roman" w:hAnsi="Times New Roman" w:cs="Times New Roman"/>
          <w:b/>
          <w:bCs/>
        </w:rPr>
      </w:pPr>
      <w:r w:rsidRPr="003E2DC0">
        <w:rPr>
          <w:noProof/>
        </w:rPr>
        <w:lastRenderedPageBreak/>
        <w:drawing>
          <wp:inline distT="0" distB="0" distL="0" distR="0" wp14:anchorId="5CFA5203" wp14:editId="5D9A85A7">
            <wp:extent cx="5943600" cy="7604125"/>
            <wp:effectExtent l="0" t="0" r="0" b="0"/>
            <wp:docPr id="1719018108" name="Picture 2" descr="A graph of chromatograph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18108" name="Picture 2" descr="A graph of chromatograph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04125"/>
                    </a:xfrm>
                    <a:prstGeom prst="rect">
                      <a:avLst/>
                    </a:prstGeom>
                    <a:noFill/>
                    <a:ln>
                      <a:noFill/>
                    </a:ln>
                  </pic:spPr>
                </pic:pic>
              </a:graphicData>
            </a:graphic>
          </wp:inline>
        </w:drawing>
      </w:r>
      <w:r w:rsidRPr="003E2DC0">
        <w:rPr>
          <w:rFonts w:ascii="Times New Roman" w:hAnsi="Times New Roman" w:cs="Times New Roman"/>
          <w:b/>
          <w:bCs/>
        </w:rPr>
        <w:t>Figure S</w:t>
      </w:r>
      <w:r w:rsidR="0040743C">
        <w:rPr>
          <w:rFonts w:ascii="Times New Roman" w:hAnsi="Times New Roman" w:cs="Times New Roman"/>
          <w:b/>
          <w:bCs/>
        </w:rPr>
        <w:t>3</w:t>
      </w:r>
    </w:p>
    <w:p w14:paraId="2EAD982D" w14:textId="4F75F90E" w:rsidR="003E2DC0" w:rsidRPr="003E2DC0" w:rsidRDefault="003E2DC0" w:rsidP="009C4648">
      <w:pPr>
        <w:spacing w:after="0"/>
        <w:jc w:val="center"/>
        <w:rPr>
          <w:rFonts w:ascii="Times New Roman" w:hAnsi="Times New Roman" w:cs="Times New Roman"/>
          <w:b/>
          <w:bCs/>
        </w:rPr>
      </w:pPr>
      <w:r w:rsidRPr="003E2DC0">
        <w:rPr>
          <w:rFonts w:ascii="Times New Roman" w:hAnsi="Times New Roman" w:cs="Times New Roman"/>
          <w:b/>
          <w:bCs/>
          <w:noProof/>
        </w:rPr>
        <w:lastRenderedPageBreak/>
        <w:drawing>
          <wp:inline distT="0" distB="0" distL="0" distR="0" wp14:anchorId="150C01EB" wp14:editId="763B578C">
            <wp:extent cx="5943600" cy="2118995"/>
            <wp:effectExtent l="0" t="0" r="0" b="0"/>
            <wp:docPr id="1840994208" name="Picture 4"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94208" name="Picture 4" descr="A graph of a number of object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118995"/>
                    </a:xfrm>
                    <a:prstGeom prst="rect">
                      <a:avLst/>
                    </a:prstGeom>
                    <a:noFill/>
                    <a:ln>
                      <a:noFill/>
                    </a:ln>
                  </pic:spPr>
                </pic:pic>
              </a:graphicData>
            </a:graphic>
          </wp:inline>
        </w:drawing>
      </w:r>
      <w:r w:rsidRPr="003E2DC0">
        <w:rPr>
          <w:rFonts w:ascii="Times New Roman" w:hAnsi="Times New Roman" w:cs="Times New Roman"/>
          <w:b/>
          <w:bCs/>
        </w:rPr>
        <w:t>Figure S</w:t>
      </w:r>
      <w:r w:rsidR="0040743C">
        <w:rPr>
          <w:rFonts w:ascii="Times New Roman" w:hAnsi="Times New Roman" w:cs="Times New Roman"/>
          <w:b/>
          <w:bCs/>
        </w:rPr>
        <w:t>4</w:t>
      </w:r>
    </w:p>
    <w:sectPr w:rsidR="003E2DC0" w:rsidRPr="003E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70"/>
    <w:rsid w:val="000051FD"/>
    <w:rsid w:val="001850AA"/>
    <w:rsid w:val="002652A2"/>
    <w:rsid w:val="002E3E78"/>
    <w:rsid w:val="0030095E"/>
    <w:rsid w:val="003C243D"/>
    <w:rsid w:val="003E2DC0"/>
    <w:rsid w:val="003E3C89"/>
    <w:rsid w:val="0040743C"/>
    <w:rsid w:val="004173BB"/>
    <w:rsid w:val="00523F14"/>
    <w:rsid w:val="005E46E0"/>
    <w:rsid w:val="006C78CC"/>
    <w:rsid w:val="006D2E54"/>
    <w:rsid w:val="008F7F3D"/>
    <w:rsid w:val="00905B00"/>
    <w:rsid w:val="00944D5F"/>
    <w:rsid w:val="009C4648"/>
    <w:rsid w:val="00A1011A"/>
    <w:rsid w:val="00A4487E"/>
    <w:rsid w:val="00AF3028"/>
    <w:rsid w:val="00AF5237"/>
    <w:rsid w:val="00B10B70"/>
    <w:rsid w:val="00B26BF7"/>
    <w:rsid w:val="00B3378F"/>
    <w:rsid w:val="00BC7FA3"/>
    <w:rsid w:val="00D2534D"/>
    <w:rsid w:val="00F13AF9"/>
    <w:rsid w:val="00F86760"/>
    <w:rsid w:val="00FA1951"/>
    <w:rsid w:val="00FF2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CBBD"/>
  <w15:chartTrackingRefBased/>
  <w15:docId w15:val="{59095B2C-F33E-48EE-AE5C-96E7575E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951"/>
  </w:style>
  <w:style w:type="paragraph" w:styleId="Heading1">
    <w:name w:val="heading 1"/>
    <w:basedOn w:val="Normal"/>
    <w:next w:val="Normal"/>
    <w:link w:val="Heading1Char"/>
    <w:uiPriority w:val="9"/>
    <w:qFormat/>
    <w:rsid w:val="00B10B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B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B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B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B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B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B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B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B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B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B70"/>
    <w:rPr>
      <w:rFonts w:eastAsiaTheme="majorEastAsia" w:cstheme="majorBidi"/>
      <w:color w:val="272727" w:themeColor="text1" w:themeTint="D8"/>
    </w:rPr>
  </w:style>
  <w:style w:type="paragraph" w:styleId="Title">
    <w:name w:val="Title"/>
    <w:basedOn w:val="Normal"/>
    <w:next w:val="Normal"/>
    <w:link w:val="TitleChar"/>
    <w:uiPriority w:val="10"/>
    <w:qFormat/>
    <w:rsid w:val="00B10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B70"/>
    <w:pPr>
      <w:spacing w:before="160"/>
      <w:jc w:val="center"/>
    </w:pPr>
    <w:rPr>
      <w:i/>
      <w:iCs/>
      <w:color w:val="404040" w:themeColor="text1" w:themeTint="BF"/>
    </w:rPr>
  </w:style>
  <w:style w:type="character" w:customStyle="1" w:styleId="QuoteChar">
    <w:name w:val="Quote Char"/>
    <w:basedOn w:val="DefaultParagraphFont"/>
    <w:link w:val="Quote"/>
    <w:uiPriority w:val="29"/>
    <w:rsid w:val="00B10B70"/>
    <w:rPr>
      <w:i/>
      <w:iCs/>
      <w:color w:val="404040" w:themeColor="text1" w:themeTint="BF"/>
    </w:rPr>
  </w:style>
  <w:style w:type="paragraph" w:styleId="ListParagraph">
    <w:name w:val="List Paragraph"/>
    <w:basedOn w:val="Normal"/>
    <w:uiPriority w:val="34"/>
    <w:qFormat/>
    <w:rsid w:val="00B10B70"/>
    <w:pPr>
      <w:ind w:left="720"/>
      <w:contextualSpacing/>
    </w:pPr>
  </w:style>
  <w:style w:type="character" w:styleId="IntenseEmphasis">
    <w:name w:val="Intense Emphasis"/>
    <w:basedOn w:val="DefaultParagraphFont"/>
    <w:uiPriority w:val="21"/>
    <w:qFormat/>
    <w:rsid w:val="00B10B70"/>
    <w:rPr>
      <w:i/>
      <w:iCs/>
      <w:color w:val="0F4761" w:themeColor="accent1" w:themeShade="BF"/>
    </w:rPr>
  </w:style>
  <w:style w:type="paragraph" w:styleId="IntenseQuote">
    <w:name w:val="Intense Quote"/>
    <w:basedOn w:val="Normal"/>
    <w:next w:val="Normal"/>
    <w:link w:val="IntenseQuoteChar"/>
    <w:uiPriority w:val="30"/>
    <w:qFormat/>
    <w:rsid w:val="00B10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B70"/>
    <w:rPr>
      <w:i/>
      <w:iCs/>
      <w:color w:val="0F4761" w:themeColor="accent1" w:themeShade="BF"/>
    </w:rPr>
  </w:style>
  <w:style w:type="character" w:styleId="IntenseReference">
    <w:name w:val="Intense Reference"/>
    <w:basedOn w:val="DefaultParagraphFont"/>
    <w:uiPriority w:val="32"/>
    <w:qFormat/>
    <w:rsid w:val="00B10B70"/>
    <w:rPr>
      <w:b/>
      <w:bCs/>
      <w:smallCaps/>
      <w:color w:val="0F4761" w:themeColor="accent1" w:themeShade="BF"/>
      <w:spacing w:val="5"/>
    </w:rPr>
  </w:style>
  <w:style w:type="character" w:styleId="Hyperlink">
    <w:name w:val="Hyperlink"/>
    <w:basedOn w:val="DefaultParagraphFont"/>
    <w:uiPriority w:val="99"/>
    <w:unhideWhenUsed/>
    <w:rsid w:val="00F13AF9"/>
    <w:rPr>
      <w:color w:val="467886" w:themeColor="hyperlink"/>
      <w:u w:val="single"/>
    </w:rPr>
  </w:style>
  <w:style w:type="paragraph" w:styleId="Caption">
    <w:name w:val="caption"/>
    <w:basedOn w:val="Normal"/>
    <w:next w:val="Normal"/>
    <w:uiPriority w:val="35"/>
    <w:unhideWhenUsed/>
    <w:qFormat/>
    <w:rsid w:val="00F13AF9"/>
    <w:pPr>
      <w:spacing w:after="200" w:line="240" w:lineRule="auto"/>
    </w:pPr>
    <w:rPr>
      <w:rFonts w:eastAsiaTheme="minorEastAsia"/>
      <w:i/>
      <w:iCs/>
      <w:color w:val="0E2841" w:themeColor="text2"/>
      <w:kern w:val="0"/>
      <w:sz w:val="18"/>
      <w:szCs w:val="18"/>
      <w:lang w:val="en-GB"/>
      <w14:ligatures w14:val="none"/>
    </w:rPr>
  </w:style>
  <w:style w:type="paragraph" w:styleId="NormalWeb">
    <w:name w:val="Normal (Web)"/>
    <w:basedOn w:val="Normal"/>
    <w:uiPriority w:val="99"/>
    <w:semiHidden/>
    <w:unhideWhenUsed/>
    <w:rsid w:val="003E2DC0"/>
    <w:rPr>
      <w:rFonts w:ascii="Times New Roman" w:hAnsi="Times New Roman" w:cs="Times New Roman"/>
    </w:rPr>
  </w:style>
  <w:style w:type="character" w:styleId="UnresolvedMention">
    <w:name w:val="Unresolved Mention"/>
    <w:basedOn w:val="DefaultParagraphFont"/>
    <w:uiPriority w:val="99"/>
    <w:semiHidden/>
    <w:unhideWhenUsed/>
    <w:rsid w:val="003E2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9876">
      <w:bodyDiv w:val="1"/>
      <w:marLeft w:val="0"/>
      <w:marRight w:val="0"/>
      <w:marTop w:val="0"/>
      <w:marBottom w:val="0"/>
      <w:divBdr>
        <w:top w:val="none" w:sz="0" w:space="0" w:color="auto"/>
        <w:left w:val="none" w:sz="0" w:space="0" w:color="auto"/>
        <w:bottom w:val="none" w:sz="0" w:space="0" w:color="auto"/>
        <w:right w:val="none" w:sz="0" w:space="0" w:color="auto"/>
      </w:divBdr>
      <w:divsChild>
        <w:div w:id="1017804848">
          <w:marLeft w:val="0"/>
          <w:marRight w:val="0"/>
          <w:marTop w:val="0"/>
          <w:marBottom w:val="0"/>
          <w:divBdr>
            <w:top w:val="single" w:sz="2" w:space="0" w:color="E5E7EB"/>
            <w:left w:val="single" w:sz="2" w:space="0" w:color="E5E7EB"/>
            <w:bottom w:val="single" w:sz="2" w:space="0" w:color="E5E7EB"/>
            <w:right w:val="single" w:sz="2" w:space="0" w:color="E5E7EB"/>
          </w:divBdr>
          <w:divsChild>
            <w:div w:id="1588229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6596329">
          <w:marLeft w:val="0"/>
          <w:marRight w:val="0"/>
          <w:marTop w:val="0"/>
          <w:marBottom w:val="0"/>
          <w:divBdr>
            <w:top w:val="single" w:sz="2" w:space="0" w:color="E5E7EB"/>
            <w:left w:val="single" w:sz="2" w:space="0" w:color="E5E7EB"/>
            <w:bottom w:val="single" w:sz="2" w:space="0" w:color="E5E7EB"/>
            <w:right w:val="single" w:sz="2" w:space="0" w:color="E5E7EB"/>
          </w:divBdr>
        </w:div>
        <w:div w:id="1871795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3611324">
      <w:bodyDiv w:val="1"/>
      <w:marLeft w:val="0"/>
      <w:marRight w:val="0"/>
      <w:marTop w:val="0"/>
      <w:marBottom w:val="0"/>
      <w:divBdr>
        <w:top w:val="none" w:sz="0" w:space="0" w:color="auto"/>
        <w:left w:val="none" w:sz="0" w:space="0" w:color="auto"/>
        <w:bottom w:val="none" w:sz="0" w:space="0" w:color="auto"/>
        <w:right w:val="none" w:sz="0" w:space="0" w:color="auto"/>
      </w:divBdr>
    </w:div>
    <w:div w:id="442919938">
      <w:bodyDiv w:val="1"/>
      <w:marLeft w:val="0"/>
      <w:marRight w:val="0"/>
      <w:marTop w:val="0"/>
      <w:marBottom w:val="0"/>
      <w:divBdr>
        <w:top w:val="none" w:sz="0" w:space="0" w:color="auto"/>
        <w:left w:val="none" w:sz="0" w:space="0" w:color="auto"/>
        <w:bottom w:val="none" w:sz="0" w:space="0" w:color="auto"/>
        <w:right w:val="none" w:sz="0" w:space="0" w:color="auto"/>
      </w:divBdr>
    </w:div>
    <w:div w:id="1281061849">
      <w:bodyDiv w:val="1"/>
      <w:marLeft w:val="0"/>
      <w:marRight w:val="0"/>
      <w:marTop w:val="0"/>
      <w:marBottom w:val="0"/>
      <w:divBdr>
        <w:top w:val="none" w:sz="0" w:space="0" w:color="auto"/>
        <w:left w:val="none" w:sz="0" w:space="0" w:color="auto"/>
        <w:bottom w:val="none" w:sz="0" w:space="0" w:color="auto"/>
        <w:right w:val="none" w:sz="0" w:space="0" w:color="auto"/>
      </w:divBdr>
    </w:div>
    <w:div w:id="1501116489">
      <w:bodyDiv w:val="1"/>
      <w:marLeft w:val="0"/>
      <w:marRight w:val="0"/>
      <w:marTop w:val="0"/>
      <w:marBottom w:val="0"/>
      <w:divBdr>
        <w:top w:val="none" w:sz="0" w:space="0" w:color="auto"/>
        <w:left w:val="none" w:sz="0" w:space="0" w:color="auto"/>
        <w:bottom w:val="none" w:sz="0" w:space="0" w:color="auto"/>
        <w:right w:val="none" w:sz="0" w:space="0" w:color="auto"/>
      </w:divBdr>
      <w:divsChild>
        <w:div w:id="32922987">
          <w:marLeft w:val="0"/>
          <w:marRight w:val="0"/>
          <w:marTop w:val="0"/>
          <w:marBottom w:val="0"/>
          <w:divBdr>
            <w:top w:val="single" w:sz="2" w:space="0" w:color="E5E7EB"/>
            <w:left w:val="single" w:sz="2" w:space="0" w:color="E5E7EB"/>
            <w:bottom w:val="single" w:sz="2" w:space="0" w:color="E5E7EB"/>
            <w:right w:val="single" w:sz="2" w:space="0" w:color="E5E7EB"/>
          </w:divBdr>
          <w:divsChild>
            <w:div w:id="1993220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714245">
          <w:marLeft w:val="0"/>
          <w:marRight w:val="0"/>
          <w:marTop w:val="0"/>
          <w:marBottom w:val="0"/>
          <w:divBdr>
            <w:top w:val="single" w:sz="2" w:space="0" w:color="E5E7EB"/>
            <w:left w:val="single" w:sz="2" w:space="0" w:color="E5E7EB"/>
            <w:bottom w:val="single" w:sz="2" w:space="0" w:color="E5E7EB"/>
            <w:right w:val="single" w:sz="2" w:space="0" w:color="E5E7EB"/>
          </w:divBdr>
        </w:div>
        <w:div w:id="1320496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539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nejadnik.lab.uiowa.edu/" TargetMode="External"/><Relationship Id="rId10" Type="http://schemas.openxmlformats.org/officeDocument/2006/relationships/fontTable" Target="fontTable.xml"/><Relationship Id="rId4" Type="http://schemas.openxmlformats.org/officeDocument/2006/relationships/hyperlink" Target="mailto:reza-nejadnik@uiowa.edu"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Hejmady, Siddhanth H</dc:creator>
  <cp:keywords/>
  <dc:description/>
  <cp:lastModifiedBy>Hejmady, Siddhanth H</cp:lastModifiedBy>
  <cp:revision>14</cp:revision>
  <dcterms:created xsi:type="dcterms:W3CDTF">2025-08-02T01:01:00Z</dcterms:created>
  <dcterms:modified xsi:type="dcterms:W3CDTF">2025-09-25T17:32:00Z</dcterms:modified>
</cp:coreProperties>
</file>