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  <w:r w:rsidRPr="00170F59">
        <w:rPr>
          <w:rFonts w:ascii="Arial" w:eastAsiaTheme="majorEastAsia" w:hAnsi="Arial" w:cs="Arial"/>
          <w:b/>
          <w:bCs/>
          <w:sz w:val="18"/>
          <w:szCs w:val="20"/>
          <w:lang w:val="en-GB" w:eastAsia="nl-NL"/>
        </w:rPr>
        <w:t>Appendices</w:t>
      </w: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pStyle w:val="Caption"/>
        <w:keepNext/>
        <w:spacing w:line="480" w:lineRule="auto"/>
        <w:rPr>
          <w:szCs w:val="20"/>
          <w:lang w:val="en-GB"/>
        </w:rPr>
      </w:pPr>
      <w:bookmarkStart w:id="0" w:name="_Ref470008090"/>
      <w:r w:rsidRPr="00170F59">
        <w:rPr>
          <w:rFonts w:ascii="Arial" w:hAnsi="Arial" w:cs="Arial"/>
          <w:color w:val="00000A"/>
          <w:szCs w:val="20"/>
          <w:lang w:val="en-GB"/>
        </w:rPr>
        <w:t xml:space="preserve">Table </w:t>
      </w:r>
      <w:bookmarkEnd w:id="0"/>
      <w:r>
        <w:rPr>
          <w:rFonts w:ascii="Arial" w:hAnsi="Arial" w:cs="Arial"/>
          <w:color w:val="00000A"/>
          <w:szCs w:val="20"/>
          <w:lang w:val="en-GB"/>
        </w:rPr>
        <w:t>1</w:t>
      </w:r>
      <w:r w:rsidRPr="00170F59">
        <w:rPr>
          <w:rFonts w:ascii="Arial" w:hAnsi="Arial" w:cs="Arial"/>
          <w:color w:val="00000A"/>
          <w:szCs w:val="20"/>
          <w:lang w:val="en-GB"/>
        </w:rPr>
        <w:t xml:space="preserve">: The ten most costly returned </w:t>
      </w:r>
      <w:r>
        <w:rPr>
          <w:rFonts w:ascii="Arial" w:hAnsi="Arial" w:cs="Arial"/>
          <w:color w:val="00000A"/>
          <w:szCs w:val="20"/>
          <w:lang w:val="en-GB"/>
        </w:rPr>
        <w:t>medications</w:t>
      </w:r>
      <w:r w:rsidRPr="00170F59">
        <w:rPr>
          <w:rFonts w:ascii="Arial" w:hAnsi="Arial" w:cs="Arial"/>
          <w:color w:val="00000A"/>
          <w:szCs w:val="20"/>
          <w:lang w:val="en-GB"/>
        </w:rPr>
        <w:t>, the reasons for returning and if they were classified as medication waste and/or eligible for redispensing</w:t>
      </w:r>
    </w:p>
    <w:tbl>
      <w:tblPr>
        <w:tblStyle w:val="LightList"/>
        <w:tblW w:w="9256" w:type="dxa"/>
        <w:tblInd w:w="-10" w:type="dxa"/>
        <w:tblCellMar>
          <w:left w:w="97" w:type="dxa"/>
        </w:tblCellMar>
        <w:tblLook w:val="04A0"/>
      </w:tblPr>
      <w:tblGrid>
        <w:gridCol w:w="3122"/>
        <w:gridCol w:w="1086"/>
        <w:gridCol w:w="2225"/>
        <w:gridCol w:w="1407"/>
        <w:gridCol w:w="1416"/>
      </w:tblGrid>
      <w:tr w:rsidR="00BB140C" w:rsidRPr="00170F59" w:rsidTr="00A50D33">
        <w:trPr>
          <w:cnfStyle w:val="100000000000"/>
        </w:trPr>
        <w:tc>
          <w:tcPr>
            <w:cnfStyle w:val="001000000000"/>
            <w:tcW w:w="3122" w:type="dxa"/>
            <w:tcBorders>
              <w:bottom w:val="single" w:sz="8" w:space="0" w:color="000000" w:themeColor="text1"/>
              <w:right w:val="nil"/>
            </w:tcBorders>
            <w:tcMar>
              <w:left w:w="97" w:type="dxa"/>
            </w:tcMar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Medication</w:t>
            </w: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 xml:space="preserve"> (number of returned units)</w:t>
            </w:r>
          </w:p>
        </w:tc>
        <w:tc>
          <w:tcPr>
            <w:tcW w:w="1086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17" w:type="dxa"/>
            </w:tcMar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Economic value (€)</w:t>
            </w:r>
          </w:p>
        </w:tc>
        <w:tc>
          <w:tcPr>
            <w:tcW w:w="2225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17" w:type="dxa"/>
            </w:tcMar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Reason for returning</w:t>
            </w:r>
          </w:p>
        </w:tc>
        <w:tc>
          <w:tcPr>
            <w:tcW w:w="1407" w:type="dxa"/>
            <w:tcBorders>
              <w:left w:val="nil"/>
              <w:bottom w:val="single" w:sz="8" w:space="0" w:color="000000" w:themeColor="text1"/>
              <w:right w:val="nil"/>
            </w:tcBorders>
            <w:tcMar>
              <w:left w:w="117" w:type="dxa"/>
            </w:tcMar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Preventable waste</w:t>
            </w:r>
          </w:p>
        </w:tc>
        <w:tc>
          <w:tcPr>
            <w:tcW w:w="1416" w:type="dxa"/>
            <w:tcBorders>
              <w:left w:val="nil"/>
              <w:bottom w:val="single" w:sz="8" w:space="0" w:color="000000" w:themeColor="text1"/>
            </w:tcBorders>
            <w:tcMar>
              <w:left w:w="117" w:type="dxa"/>
            </w:tcMar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Eligible for redispensing*</w:t>
            </w:r>
          </w:p>
        </w:tc>
      </w:tr>
      <w:tr w:rsidR="00BB140C" w:rsidRPr="00170F59" w:rsidTr="00A50D33">
        <w:trPr>
          <w:cnfStyle w:val="000000100000"/>
        </w:trPr>
        <w:tc>
          <w:tcPr>
            <w:cnfStyle w:val="001000000000"/>
            <w:tcW w:w="3122" w:type="dxa"/>
            <w:tcBorders>
              <w:bottom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Fentanyl 50 mcg spray 40 doses (3)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726.00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Patient was deceased</w:t>
            </w:r>
          </w:p>
        </w:tc>
        <w:tc>
          <w:tcPr>
            <w:tcW w:w="1407" w:type="dxa"/>
            <w:tcBorders>
              <w:bottom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bottom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c>
          <w:tcPr>
            <w:cnfStyle w:val="001000000000"/>
            <w:tcW w:w="3122" w:type="dxa"/>
            <w:tcBorders>
              <w:top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Ondansetron 16 mg suppository (34)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476.00</w:t>
            </w:r>
          </w:p>
        </w:tc>
        <w:tc>
          <w:tcPr>
            <w:tcW w:w="2225" w:type="dxa"/>
            <w:tcBorders>
              <w:top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Patient was deceased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rPr>
          <w:cnfStyle w:val="000000100000"/>
        </w:trPr>
        <w:tc>
          <w:tcPr>
            <w:cnfStyle w:val="001000000000"/>
            <w:tcW w:w="312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Follitropin alpha 900IE/1.5 ml injection (1)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354.00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c>
          <w:tcPr>
            <w:cnfStyle w:val="001000000000"/>
            <w:tcW w:w="3122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Ketanserin 20 mg tablet (168)</w:t>
            </w:r>
          </w:p>
        </w:tc>
        <w:tc>
          <w:tcPr>
            <w:tcW w:w="1086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196.56</w:t>
            </w:r>
          </w:p>
        </w:tc>
        <w:tc>
          <w:tcPr>
            <w:tcW w:w="2225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Condition resolved</w:t>
            </w:r>
          </w:p>
        </w:tc>
        <w:tc>
          <w:tcPr>
            <w:tcW w:w="1407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3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BB140C" w:rsidTr="00A50D33">
        <w:trPr>
          <w:cnfStyle w:val="000000100000"/>
        </w:trPr>
        <w:tc>
          <w:tcPr>
            <w:cnfStyle w:val="001000000000"/>
            <w:tcW w:w="312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Methylphenidate 54 mg tablet with controlled release (90)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180.00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 xml:space="preserve">Switch from brand to generic, but switched back to brand variant by prescriber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c>
          <w:tcPr>
            <w:cnfStyle w:val="001000000000"/>
            <w:tcW w:w="3122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 xml:space="preserve">Insulin </w:t>
            </w:r>
            <w:proofErr w:type="spellStart"/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detemir</w:t>
            </w:r>
            <w:proofErr w:type="spellEnd"/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 xml:space="preserve"> 100 IE/ml injection (15)</w:t>
            </w:r>
          </w:p>
        </w:tc>
        <w:tc>
          <w:tcPr>
            <w:tcW w:w="1086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165.00</w:t>
            </w:r>
          </w:p>
        </w:tc>
        <w:tc>
          <w:tcPr>
            <w:tcW w:w="2225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Therapy changed</w:t>
            </w:r>
          </w:p>
        </w:tc>
        <w:tc>
          <w:tcPr>
            <w:tcW w:w="1407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2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rPr>
          <w:cnfStyle w:val="000000100000"/>
        </w:trPr>
        <w:tc>
          <w:tcPr>
            <w:cnfStyle w:val="001000000000"/>
            <w:tcW w:w="312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Pregabalin75 mg capsule (128)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128.34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Patient was deceased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2"/>
              </w:numPr>
              <w:spacing w:line="360" w:lineRule="auto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c>
          <w:tcPr>
            <w:cnfStyle w:val="001000000000"/>
            <w:tcW w:w="3122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proofErr w:type="spellStart"/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Eplerenone</w:t>
            </w:r>
            <w:proofErr w:type="spellEnd"/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 xml:space="preserve"> 25 mg tablet (61)</w:t>
            </w:r>
          </w:p>
        </w:tc>
        <w:tc>
          <w:tcPr>
            <w:tcW w:w="1086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124.44</w:t>
            </w:r>
          </w:p>
        </w:tc>
        <w:tc>
          <w:tcPr>
            <w:tcW w:w="2225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No/insufficient effect</w:t>
            </w:r>
          </w:p>
        </w:tc>
        <w:tc>
          <w:tcPr>
            <w:tcW w:w="1407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shd w:val="clear" w:color="auto" w:fill="auto"/>
            <w:tcMar>
              <w:left w:w="9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2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rPr>
          <w:cnfStyle w:val="000000100000"/>
        </w:trPr>
        <w:tc>
          <w:tcPr>
            <w:cnfStyle w:val="001000000000"/>
            <w:tcW w:w="312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Oxycodone 40 mg tablet with controlled release (60)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117.60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Patient was deceased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c>
          <w:tcPr>
            <w:cnfStyle w:val="001000000000"/>
            <w:tcW w:w="3122" w:type="dxa"/>
            <w:tcBorders>
              <w:top w:val="nil"/>
              <w:right w:val="nil"/>
            </w:tcBorders>
            <w:shd w:val="clear" w:color="auto" w:fill="auto"/>
            <w:tcMar>
              <w:left w:w="9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Tiotropium bromide 18 mcg inhalation capsules (68)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98.60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Therapy changed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</w:tcBorders>
            <w:shd w:val="clear" w:color="auto" w:fill="auto"/>
            <w:tcMar>
              <w:left w:w="117" w:type="dxa"/>
            </w:tcMar>
          </w:tcPr>
          <w:p w:rsidR="00BB140C" w:rsidRPr="00170F59" w:rsidRDefault="00BB140C" w:rsidP="00BB140C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</w:tbl>
    <w:p w:rsidR="00BB140C" w:rsidRPr="00170F59" w:rsidRDefault="00BB140C" w:rsidP="00BB140C">
      <w:pPr>
        <w:pStyle w:val="ListParagraph"/>
        <w:spacing w:line="480" w:lineRule="auto"/>
        <w:ind w:left="0"/>
        <w:rPr>
          <w:i/>
          <w:sz w:val="18"/>
          <w:szCs w:val="20"/>
          <w:lang w:val="en-GB"/>
        </w:rPr>
      </w:pPr>
      <w:r w:rsidRPr="00170F59">
        <w:rPr>
          <w:i/>
          <w:sz w:val="18"/>
          <w:szCs w:val="20"/>
          <w:lang w:val="en-GB"/>
        </w:rPr>
        <w:t>*</w:t>
      </w:r>
      <w:r>
        <w:rPr>
          <w:i/>
          <w:sz w:val="18"/>
          <w:szCs w:val="20"/>
          <w:lang w:val="en-GB"/>
        </w:rPr>
        <w:t>Medications</w:t>
      </w:r>
      <w:r w:rsidRPr="00170F59">
        <w:rPr>
          <w:i/>
          <w:sz w:val="18"/>
          <w:szCs w:val="20"/>
          <w:lang w:val="en-GB"/>
        </w:rPr>
        <w:t xml:space="preserve"> were partly eligible for redispensing, as not all returned packages were unopened</w:t>
      </w:r>
    </w:p>
    <w:p w:rsidR="00BB140C" w:rsidRPr="00170F59" w:rsidRDefault="00BB140C" w:rsidP="00BB140C">
      <w:pPr>
        <w:pStyle w:val="NoSpacing"/>
        <w:spacing w:line="480" w:lineRule="auto"/>
        <w:rPr>
          <w:sz w:val="18"/>
          <w:szCs w:val="20"/>
          <w:lang w:val="en-GB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spacing w:line="480" w:lineRule="auto"/>
        <w:rPr>
          <w:rFonts w:ascii="Arial" w:eastAsiaTheme="minorEastAsia" w:hAnsi="Arial" w:cs="Arial"/>
          <w:sz w:val="18"/>
          <w:szCs w:val="20"/>
          <w:lang w:val="en-GB" w:eastAsia="nl-NL"/>
        </w:rPr>
      </w:pPr>
    </w:p>
    <w:p w:rsidR="00BB140C" w:rsidRPr="00170F59" w:rsidRDefault="00BB140C" w:rsidP="00BB140C">
      <w:pPr>
        <w:pStyle w:val="Caption"/>
        <w:keepNext/>
        <w:spacing w:line="480" w:lineRule="auto"/>
        <w:rPr>
          <w:rFonts w:ascii="Arial" w:hAnsi="Arial" w:cs="Arial"/>
          <w:color w:val="auto"/>
          <w:szCs w:val="20"/>
          <w:lang w:val="en-US"/>
        </w:rPr>
      </w:pPr>
      <w:bookmarkStart w:id="1" w:name="_Ref475708684"/>
      <w:r w:rsidRPr="00170F59">
        <w:rPr>
          <w:rFonts w:ascii="Arial" w:hAnsi="Arial" w:cs="Arial"/>
          <w:color w:val="auto"/>
          <w:szCs w:val="20"/>
          <w:lang w:val="en-US"/>
        </w:rPr>
        <w:lastRenderedPageBreak/>
        <w:t xml:space="preserve">Table </w:t>
      </w:r>
      <w:bookmarkEnd w:id="1"/>
      <w:r w:rsidRPr="000B40C7">
        <w:rPr>
          <w:rFonts w:ascii="Arial" w:hAnsi="Arial" w:cs="Arial"/>
          <w:color w:val="auto"/>
          <w:szCs w:val="20"/>
          <w:lang w:val="en-GB"/>
        </w:rPr>
        <w:t>2</w:t>
      </w:r>
      <w:r w:rsidRPr="00170F59">
        <w:rPr>
          <w:rFonts w:ascii="Arial" w:hAnsi="Arial" w:cs="Arial"/>
          <w:color w:val="auto"/>
          <w:szCs w:val="20"/>
          <w:lang w:val="en-US"/>
        </w:rPr>
        <w:t xml:space="preserve">: Conditional logistic regression, with controlling for the pharmacy level, on factors associated with preventable medication waste. </w:t>
      </w:r>
      <w:r w:rsidRPr="00170F59">
        <w:rPr>
          <w:rFonts w:ascii="Arial" w:hAnsi="Arial" w:cs="Arial"/>
          <w:b w:val="0"/>
          <w:color w:val="00000A"/>
          <w:szCs w:val="20"/>
          <w:lang w:val="en-GB"/>
        </w:rPr>
        <w:t>Significant associations are shown in bold</w:t>
      </w:r>
    </w:p>
    <w:tbl>
      <w:tblPr>
        <w:tblStyle w:val="LightList"/>
        <w:tblW w:w="8755" w:type="dxa"/>
        <w:tblLayout w:type="fixed"/>
        <w:tblLook w:val="04A0"/>
      </w:tblPr>
      <w:tblGrid>
        <w:gridCol w:w="2235"/>
        <w:gridCol w:w="1630"/>
        <w:gridCol w:w="1630"/>
        <w:gridCol w:w="1630"/>
        <w:gridCol w:w="1630"/>
      </w:tblGrid>
      <w:tr w:rsidR="00BB140C" w:rsidRPr="00170F59" w:rsidTr="00A50D33">
        <w:trPr>
          <w:cnfStyle w:val="100000000000"/>
          <w:trHeight w:val="515"/>
        </w:trPr>
        <w:tc>
          <w:tcPr>
            <w:cnfStyle w:val="001000000000"/>
            <w:tcW w:w="2235" w:type="dxa"/>
            <w:tcBorders>
              <w:bottom w:val="single" w:sz="8" w:space="0" w:color="000000" w:themeColor="text1"/>
            </w:tcBorders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Medication waste</w:t>
            </w:r>
          </w:p>
        </w:tc>
        <w:tc>
          <w:tcPr>
            <w:tcW w:w="1630" w:type="dxa"/>
            <w:tcBorders>
              <w:bottom w:val="single" w:sz="8" w:space="0" w:color="000000" w:themeColor="text1"/>
            </w:tcBorders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Preventable n=245 (%)</w:t>
            </w:r>
          </w:p>
        </w:tc>
        <w:tc>
          <w:tcPr>
            <w:tcW w:w="1630" w:type="dxa"/>
            <w:tcBorders>
              <w:bottom w:val="single" w:sz="8" w:space="0" w:color="000000" w:themeColor="text1"/>
            </w:tcBorders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Inevitable n=245 (%)</w:t>
            </w:r>
          </w:p>
        </w:tc>
        <w:tc>
          <w:tcPr>
            <w:tcW w:w="1630" w:type="dxa"/>
            <w:tcBorders>
              <w:bottom w:val="single" w:sz="8" w:space="0" w:color="000000" w:themeColor="text1"/>
            </w:tcBorders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Crude OR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 xml:space="preserve"> (95% CI)</w:t>
            </w:r>
          </w:p>
        </w:tc>
        <w:tc>
          <w:tcPr>
            <w:tcW w:w="1630" w:type="dxa"/>
            <w:tcBorders>
              <w:bottom w:val="single" w:sz="8" w:space="0" w:color="000000" w:themeColor="text1"/>
            </w:tcBorders>
            <w:vAlign w:val="center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100000000000"/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color w:val="FFFFFF" w:themeColor="background1"/>
                <w:sz w:val="18"/>
                <w:szCs w:val="20"/>
                <w:lang w:val="en-GB"/>
              </w:rPr>
              <w:t>Adjusted OR  (95% CI)</w:t>
            </w:r>
          </w:p>
        </w:tc>
      </w:tr>
      <w:tr w:rsidR="00BB140C" w:rsidRPr="00170F59" w:rsidTr="00A50D33">
        <w:trPr>
          <w:cnfStyle w:val="000000100000"/>
          <w:trHeight w:val="248"/>
        </w:trPr>
        <w:tc>
          <w:tcPr>
            <w:cnfStyle w:val="001000000000"/>
            <w:tcW w:w="2235" w:type="dxa"/>
            <w:tcBorders>
              <w:bottom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b w:val="0"/>
                <w:bCs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Patient related</w:t>
            </w:r>
          </w:p>
        </w:tc>
        <w:tc>
          <w:tcPr>
            <w:tcW w:w="1630" w:type="dxa"/>
            <w:tcBorders>
              <w:bottom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rPr>
          <w:trHeight w:val="248"/>
        </w:trPr>
        <w:tc>
          <w:tcPr>
            <w:cnfStyle w:val="001000000000"/>
            <w:tcW w:w="2235" w:type="dxa"/>
            <w:tcBorders>
              <w:top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Gender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Female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Male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630" w:type="dxa"/>
            <w:tcBorders>
              <w:top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120 (49.0)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121 (49.4)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 (1.6)</w:t>
            </w:r>
          </w:p>
        </w:tc>
        <w:tc>
          <w:tcPr>
            <w:tcW w:w="1630" w:type="dxa"/>
            <w:tcBorders>
              <w:top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151 (61.6)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88 (35.9)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6 (2.5)</w:t>
            </w:r>
          </w:p>
        </w:tc>
        <w:tc>
          <w:tcPr>
            <w:tcW w:w="1630" w:type="dxa"/>
            <w:tcBorders>
              <w:top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1.9 (1.3-2.9)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  <w:tc>
          <w:tcPr>
            <w:tcW w:w="1630" w:type="dxa"/>
            <w:tcBorders>
              <w:top w:val="nil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1.8 (1.2-2.9)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-</w:t>
            </w:r>
          </w:p>
        </w:tc>
      </w:tr>
      <w:tr w:rsidR="00BB140C" w:rsidRPr="00170F59" w:rsidTr="00A50D33">
        <w:trPr>
          <w:cnfStyle w:val="000000100000"/>
          <w:trHeight w:val="248"/>
        </w:trPr>
        <w:tc>
          <w:tcPr>
            <w:cnfStyle w:val="001000000000"/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Age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0-65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&gt;65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103 (42.0)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138 (56.3)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 (1.6)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132 (53.9)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107 (43.7)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6 (2.5)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1.8 (1.2-2.7)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1.6 (1.1-2.5)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-</w:t>
            </w:r>
          </w:p>
        </w:tc>
      </w:tr>
      <w:tr w:rsidR="00BB140C" w:rsidRPr="00170F59" w:rsidTr="00A50D33">
        <w:trPr>
          <w:trHeight w:val="248"/>
        </w:trPr>
        <w:tc>
          <w:tcPr>
            <w:cnfStyle w:val="001000000000"/>
            <w:tcW w:w="2235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bCs w:val="0"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sz w:val="18"/>
                <w:szCs w:val="20"/>
                <w:lang w:val="en-GB"/>
              </w:rPr>
              <w:t>Medication</w:t>
            </w: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 xml:space="preserve"> related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BB140C" w:rsidRPr="00170F59" w:rsidTr="00A50D33">
        <w:trPr>
          <w:cnfStyle w:val="000000100000"/>
          <w:trHeight w:val="763"/>
        </w:trPr>
        <w:tc>
          <w:tcPr>
            <w:cnfStyle w:val="001000000000"/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Prescriber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General practitioner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Medical specialist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122 (49.8)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98 (40.0)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25 (10.2)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129 (52.7)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85 (34.7)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31 (12.7)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1.3 (0.8-1.9)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1.4 (0.8-2.2)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</w:tr>
      <w:tr w:rsidR="00BB140C" w:rsidRPr="00170F59" w:rsidTr="00A50D33">
        <w:trPr>
          <w:trHeight w:val="763"/>
        </w:trPr>
        <w:tc>
          <w:tcPr>
            <w:cnfStyle w:val="001000000000"/>
            <w:tcW w:w="2235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Reasons for returning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Condition resolved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Adverse events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No/insufficient effect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Patient was deceased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Other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45 (18.4)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18 (7.4)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28 (11.4)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41 (16.7)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103 (42.0)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10 (4.1)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57 (23.3)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19 (7.8)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26 (10.6)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62 (25.3)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78 (31.8)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3 (1.2)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1.3 (0.6-2.8)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1.5 (0.7-2.9)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0.8 (0.4-1.4)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1.8 (1.1-3.1)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1.0 (0.4-2.2)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1.2 (0.5-2.5)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0.6 (0.3-1.1)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1.9 (1.1-3.4)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-</w:t>
            </w:r>
          </w:p>
        </w:tc>
      </w:tr>
      <w:tr w:rsidR="00BB140C" w:rsidRPr="00170F59" w:rsidTr="00A50D33">
        <w:trPr>
          <w:cnfStyle w:val="000000100000"/>
          <w:trHeight w:val="248"/>
        </w:trPr>
        <w:tc>
          <w:tcPr>
            <w:cnfStyle w:val="001000000000"/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Duration of</w:t>
            </w:r>
            <w:r w:rsidRPr="00170F59"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 xml:space="preserve"> use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Acute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 xml:space="preserve">Chronic 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Episodic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39 (15.9)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135 (55.1)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71 (29.0)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48 (19.6)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100 (40.8)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97 (39.6)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1.7 (1.1-2.9)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0.9 (0.5-1.5)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1.0 (0.6-1.8)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0.8 (0.5-1.4)</w:t>
            </w:r>
          </w:p>
        </w:tc>
      </w:tr>
      <w:tr w:rsidR="00BB140C" w:rsidRPr="00170F59" w:rsidTr="00A50D33">
        <w:trPr>
          <w:trHeight w:val="763"/>
        </w:trPr>
        <w:tc>
          <w:tcPr>
            <w:cnfStyle w:val="001000000000"/>
            <w:tcW w:w="2235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Price unit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€0-1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€1-5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&gt;€5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217 (88.6)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13 (5.3)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13 (5.3)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 (0.8)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193 (78.8)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25 (10.2)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25 (10.2)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 (0.8)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0.5 (0.2-0.9)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0.5 (0.2-0.9)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  <w:tc>
          <w:tcPr>
            <w:tcW w:w="1630" w:type="dxa"/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0.3 (0.1-0.7)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0.5 (0.2-1.0)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0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-</w:t>
            </w:r>
          </w:p>
        </w:tc>
      </w:tr>
      <w:tr w:rsidR="00BB140C" w:rsidRPr="00170F59" w:rsidTr="00A50D33">
        <w:trPr>
          <w:cnfStyle w:val="000000100000"/>
          <w:trHeight w:val="248"/>
        </w:trPr>
        <w:tc>
          <w:tcPr>
            <w:cnfStyle w:val="001000000000"/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>Amount</w:t>
            </w:r>
            <w:r w:rsidRPr="00170F59">
              <w:rPr>
                <w:rFonts w:ascii="Arial" w:hAnsi="Arial" w:cs="Arial"/>
                <w:b w:val="0"/>
                <w:sz w:val="18"/>
                <w:szCs w:val="20"/>
                <w:u w:val="single"/>
                <w:lang w:val="en-GB"/>
              </w:rPr>
              <w:t xml:space="preserve"> dispensed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0-14 days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15-30 days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1-3 months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&gt;3 months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 w:val="0"/>
                <w:sz w:val="18"/>
                <w:szCs w:val="20"/>
                <w:lang w:val="en-GB"/>
              </w:rPr>
              <w:t>Unknown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52 (21.2)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56 (22.9)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80 (32.7)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21 (8.6)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36 (14.7)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64 (26.1)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79 (32.2)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45 (18.4)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9 (3.7)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48 (19.6)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0.9 (0.5-1.5)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2.2 (1.3-3.8)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sz w:val="18"/>
                <w:szCs w:val="20"/>
                <w:lang w:val="en-GB"/>
              </w:rPr>
              <w:t>2.7 (1.2-6.5)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sz w:val="18"/>
                <w:szCs w:val="20"/>
                <w:lang w:val="en-GB"/>
              </w:rPr>
              <w:t>-</w:t>
            </w:r>
          </w:p>
        </w:tc>
        <w:tc>
          <w:tcPr>
            <w:tcW w:w="16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Ref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1.0 (0.6-1.8)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2.4 (1.3-4.3)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3.0 (1.2-7.6)</w:t>
            </w:r>
          </w:p>
          <w:p w:rsidR="00BB140C" w:rsidRPr="00170F59" w:rsidRDefault="00BB140C" w:rsidP="00A50D33">
            <w:pPr>
              <w:pStyle w:val="ListParagraph"/>
              <w:spacing w:line="360" w:lineRule="auto"/>
              <w:ind w:left="0"/>
              <w:cnfStyle w:val="000000100000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70F59">
              <w:rPr>
                <w:rFonts w:ascii="Arial" w:hAnsi="Arial" w:cs="Arial"/>
                <w:bCs/>
                <w:sz w:val="18"/>
                <w:szCs w:val="20"/>
                <w:lang w:val="en-GB"/>
              </w:rPr>
              <w:t>-</w:t>
            </w:r>
          </w:p>
        </w:tc>
      </w:tr>
    </w:tbl>
    <w:p w:rsidR="00BB140C" w:rsidRDefault="00BB140C" w:rsidP="00BB140C"/>
    <w:p w:rsidR="00C90C23" w:rsidRDefault="00C90C23">
      <w:bookmarkStart w:id="2" w:name="_GoBack"/>
      <w:bookmarkEnd w:id="2"/>
    </w:p>
    <w:sectPr w:rsidR="00C90C23" w:rsidSect="007B7BC3">
      <w:pgSz w:w="11906" w:h="16838"/>
      <w:pgMar w:top="1418" w:right="1418" w:bottom="1418" w:left="1418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C99"/>
    <w:multiLevelType w:val="hybridMultilevel"/>
    <w:tmpl w:val="34786BF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C1E21"/>
    <w:multiLevelType w:val="multilevel"/>
    <w:tmpl w:val="0090FB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1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18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18"/>
      </w:rPr>
    </w:lvl>
  </w:abstractNum>
  <w:abstractNum w:abstractNumId="2">
    <w:nsid w:val="69CD32A1"/>
    <w:multiLevelType w:val="hybridMultilevel"/>
    <w:tmpl w:val="35D8117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8"/>
  <w:displayHorizontalDrawingGridEvery w:val="2"/>
  <w:characterSpacingControl w:val="doNotCompress"/>
  <w:compat/>
  <w:rsids>
    <w:rsidRoot w:val="00BB140C"/>
    <w:rsid w:val="007B7BC3"/>
    <w:rsid w:val="00BB140C"/>
    <w:rsid w:val="00C90C23"/>
    <w:rsid w:val="00FA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0C"/>
    <w:pPr>
      <w:spacing w:after="0" w:line="240" w:lineRule="exact"/>
    </w:pPr>
    <w:rPr>
      <w:rFonts w:ascii="Trebuchet MS" w:eastAsia="Times New Roman" w:hAnsi="Trebuchet MS" w:cs="Times New Roman"/>
      <w:color w:val="00000A"/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B140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BB140C"/>
    <w:pPr>
      <w:spacing w:after="0" w:line="240" w:lineRule="auto"/>
    </w:pPr>
    <w:rPr>
      <w:rFonts w:eastAsiaTheme="minorEastAsia"/>
      <w:color w:val="00000A"/>
      <w:lang w:val="nl-NL" w:eastAsia="nl-NL"/>
    </w:rPr>
  </w:style>
  <w:style w:type="paragraph" w:styleId="ListParagraph">
    <w:name w:val="List Paragraph"/>
    <w:basedOn w:val="Normal"/>
    <w:uiPriority w:val="34"/>
    <w:qFormat/>
    <w:rsid w:val="00BB140C"/>
    <w:pPr>
      <w:ind w:left="720"/>
      <w:contextualSpacing/>
    </w:pPr>
  </w:style>
  <w:style w:type="table" w:styleId="LightList">
    <w:name w:val="Light List"/>
    <w:basedOn w:val="TableNormal"/>
    <w:uiPriority w:val="61"/>
    <w:rsid w:val="00BB140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nl-NL" w:eastAsia="nl-N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B1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140C"/>
    <w:pPr>
      <w:spacing w:after="0" w:line="240" w:lineRule="exact"/>
    </w:pPr>
    <w:rPr>
      <w:rFonts w:ascii="Trebuchet MS" w:eastAsia="Times New Roman" w:hAnsi="Trebuchet MS" w:cs="Times New Roman"/>
      <w:color w:val="00000A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B140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Geenafstand">
    <w:name w:val="No Spacing"/>
    <w:uiPriority w:val="1"/>
    <w:qFormat/>
    <w:rsid w:val="00BB140C"/>
    <w:pPr>
      <w:spacing w:after="0" w:line="240" w:lineRule="auto"/>
    </w:pPr>
    <w:rPr>
      <w:rFonts w:eastAsiaTheme="minorEastAsia"/>
      <w:color w:val="00000A"/>
      <w:lang w:val="nl-NL" w:eastAsia="nl-NL"/>
    </w:rPr>
  </w:style>
  <w:style w:type="paragraph" w:styleId="Lijstalinea">
    <w:name w:val="List Paragraph"/>
    <w:basedOn w:val="Standaard"/>
    <w:uiPriority w:val="34"/>
    <w:qFormat/>
    <w:rsid w:val="00BB140C"/>
    <w:pPr>
      <w:ind w:left="720"/>
      <w:contextualSpacing/>
    </w:pPr>
  </w:style>
  <w:style w:type="table" w:styleId="Lichtelijst">
    <w:name w:val="Light List"/>
    <w:basedOn w:val="Standaardtabel"/>
    <w:uiPriority w:val="61"/>
    <w:rsid w:val="00BB140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nl-NL"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BB1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Bekker, Charlotte</dc:creator>
  <cp:lastModifiedBy>0013006</cp:lastModifiedBy>
  <cp:revision>2</cp:revision>
  <dcterms:created xsi:type="dcterms:W3CDTF">2018-04-10T14:28:00Z</dcterms:created>
  <dcterms:modified xsi:type="dcterms:W3CDTF">2018-04-19T13:10:00Z</dcterms:modified>
</cp:coreProperties>
</file>