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49717" w14:textId="5D2823D5" w:rsidR="00D71A9E" w:rsidRDefault="00D71A9E" w:rsidP="00D71A9E">
      <w:pPr>
        <w:rPr>
          <w:rFonts w:asciiTheme="majorBidi" w:hAnsiTheme="majorBidi" w:cstheme="majorBidi"/>
          <w:b/>
          <w:bCs/>
          <w:sz w:val="20"/>
          <w:szCs w:val="20"/>
        </w:rPr>
      </w:pPr>
      <w:r w:rsidRPr="0086524B">
        <w:rPr>
          <w:rFonts w:asciiTheme="majorBidi" w:hAnsiTheme="majorBidi" w:cstheme="majorBidi"/>
          <w:b/>
          <w:bCs/>
          <w:sz w:val="20"/>
          <w:szCs w:val="20"/>
        </w:rPr>
        <w:t>Supplementary 1: Tables</w:t>
      </w:r>
    </w:p>
    <w:tbl>
      <w:tblPr>
        <w:tblStyle w:val="TableGrid"/>
        <w:tblW w:w="9609" w:type="dxa"/>
        <w:tblInd w:w="0" w:type="dxa"/>
        <w:tblLook w:val="04A0" w:firstRow="1" w:lastRow="0" w:firstColumn="1" w:lastColumn="0" w:noHBand="0" w:noVBand="1"/>
      </w:tblPr>
      <w:tblGrid>
        <w:gridCol w:w="1048"/>
        <w:gridCol w:w="5979"/>
        <w:gridCol w:w="2582"/>
      </w:tblGrid>
      <w:tr w:rsidR="008139B3" w:rsidRPr="008139B3" w14:paraId="5463ACBF" w14:textId="77777777" w:rsidTr="007E7430">
        <w:trPr>
          <w:trHeight w:val="276"/>
        </w:trPr>
        <w:tc>
          <w:tcPr>
            <w:tcW w:w="9609" w:type="dxa"/>
            <w:gridSpan w:val="3"/>
          </w:tcPr>
          <w:p w14:paraId="0743F03B" w14:textId="3210A32A"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 xml:space="preserve">Table </w:t>
            </w:r>
            <w:r>
              <w:rPr>
                <w:rFonts w:asciiTheme="majorBidi" w:hAnsiTheme="majorBidi" w:cstheme="majorBidi"/>
                <w:b/>
                <w:bCs/>
                <w:sz w:val="20"/>
                <w:szCs w:val="20"/>
              </w:rPr>
              <w:t>1</w:t>
            </w:r>
            <w:r w:rsidRPr="008139B3">
              <w:rPr>
                <w:rFonts w:asciiTheme="majorBidi" w:hAnsiTheme="majorBidi" w:cstheme="majorBidi"/>
                <w:b/>
                <w:bCs/>
                <w:sz w:val="20"/>
                <w:szCs w:val="20"/>
              </w:rPr>
              <w:t xml:space="preserve">. Articles excluded at the full text screening </w:t>
            </w:r>
            <w:r>
              <w:rPr>
                <w:rFonts w:asciiTheme="majorBidi" w:hAnsiTheme="majorBidi" w:cstheme="majorBidi"/>
                <w:b/>
                <w:bCs/>
                <w:sz w:val="20"/>
                <w:szCs w:val="20"/>
              </w:rPr>
              <w:t>stage</w:t>
            </w:r>
          </w:p>
        </w:tc>
      </w:tr>
      <w:tr w:rsidR="008139B3" w:rsidRPr="008139B3" w14:paraId="6AD4A52E" w14:textId="77777777" w:rsidTr="007E7430">
        <w:trPr>
          <w:trHeight w:val="323"/>
        </w:trPr>
        <w:tc>
          <w:tcPr>
            <w:tcW w:w="1048" w:type="dxa"/>
          </w:tcPr>
          <w:p w14:paraId="0EE706C3"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 xml:space="preserve">Number </w:t>
            </w:r>
          </w:p>
        </w:tc>
        <w:tc>
          <w:tcPr>
            <w:tcW w:w="5979" w:type="dxa"/>
          </w:tcPr>
          <w:p w14:paraId="4FFB257B"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Title of the excluded review</w:t>
            </w:r>
          </w:p>
        </w:tc>
        <w:tc>
          <w:tcPr>
            <w:tcW w:w="2582" w:type="dxa"/>
          </w:tcPr>
          <w:p w14:paraId="70D9B3D3"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 xml:space="preserve">Reason for exclusion </w:t>
            </w:r>
          </w:p>
        </w:tc>
      </w:tr>
      <w:tr w:rsidR="008139B3" w:rsidRPr="008139B3" w14:paraId="50C52B56" w14:textId="77777777" w:rsidTr="007E7430">
        <w:trPr>
          <w:trHeight w:val="308"/>
        </w:trPr>
        <w:tc>
          <w:tcPr>
            <w:tcW w:w="1048" w:type="dxa"/>
          </w:tcPr>
          <w:p w14:paraId="7AD1B58A"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1</w:t>
            </w:r>
          </w:p>
        </w:tc>
        <w:tc>
          <w:tcPr>
            <w:tcW w:w="5979" w:type="dxa"/>
          </w:tcPr>
          <w:p w14:paraId="5A2E7B9F"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A cross-sectional study on prescribing and dispensing errors at a corporate hospital in South India</w:t>
            </w:r>
          </w:p>
        </w:tc>
        <w:tc>
          <w:tcPr>
            <w:tcW w:w="2582" w:type="dxa"/>
          </w:tcPr>
          <w:p w14:paraId="444972C8"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 isolation of adult outcomes</w:t>
            </w:r>
          </w:p>
        </w:tc>
      </w:tr>
      <w:tr w:rsidR="008139B3" w:rsidRPr="008139B3" w14:paraId="363123E2" w14:textId="77777777" w:rsidTr="007E7430">
        <w:trPr>
          <w:trHeight w:val="308"/>
        </w:trPr>
        <w:tc>
          <w:tcPr>
            <w:tcW w:w="1048" w:type="dxa"/>
          </w:tcPr>
          <w:p w14:paraId="371C636D"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2</w:t>
            </w:r>
          </w:p>
        </w:tc>
        <w:tc>
          <w:tcPr>
            <w:tcW w:w="5979" w:type="dxa"/>
          </w:tcPr>
          <w:p w14:paraId="571F16A0"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A prospective observational study of medication errors in general medicine department in a tertiary care hospital</w:t>
            </w:r>
          </w:p>
        </w:tc>
        <w:tc>
          <w:tcPr>
            <w:tcW w:w="2582" w:type="dxa"/>
          </w:tcPr>
          <w:p w14:paraId="5EB3E3A5"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sz w:val="20"/>
                <w:szCs w:val="20"/>
              </w:rPr>
              <w:t>Not focused on outpatient and ambulatory settings</w:t>
            </w:r>
          </w:p>
        </w:tc>
      </w:tr>
      <w:tr w:rsidR="008139B3" w:rsidRPr="008139B3" w14:paraId="432E6898" w14:textId="77777777" w:rsidTr="007E7430">
        <w:trPr>
          <w:trHeight w:val="308"/>
        </w:trPr>
        <w:tc>
          <w:tcPr>
            <w:tcW w:w="1048" w:type="dxa"/>
          </w:tcPr>
          <w:p w14:paraId="163A6102"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3</w:t>
            </w:r>
          </w:p>
        </w:tc>
        <w:tc>
          <w:tcPr>
            <w:tcW w:w="5979" w:type="dxa"/>
          </w:tcPr>
          <w:p w14:paraId="58A83D47"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Adverse events in psychiatry: A national cohort study in Sweden with a unique psychiatric trigger tool</w:t>
            </w:r>
          </w:p>
        </w:tc>
        <w:tc>
          <w:tcPr>
            <w:tcW w:w="2582" w:type="dxa"/>
          </w:tcPr>
          <w:p w14:paraId="4943A56F"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3D14027B" w14:textId="77777777" w:rsidTr="007E7430">
        <w:trPr>
          <w:trHeight w:val="308"/>
        </w:trPr>
        <w:tc>
          <w:tcPr>
            <w:tcW w:w="1048" w:type="dxa"/>
          </w:tcPr>
          <w:p w14:paraId="666F5DD1"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4</w:t>
            </w:r>
          </w:p>
        </w:tc>
        <w:tc>
          <w:tcPr>
            <w:tcW w:w="5979" w:type="dxa"/>
          </w:tcPr>
          <w:p w14:paraId="596F0985"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An Internal Quality Improvement Collaborative Significantly Reduces Hospital-Wide Medication Error Related Adverse Drug Events</w:t>
            </w:r>
          </w:p>
        </w:tc>
        <w:tc>
          <w:tcPr>
            <w:tcW w:w="2582" w:type="dxa"/>
          </w:tcPr>
          <w:p w14:paraId="13CD110E"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15D01A2C" w14:textId="77777777" w:rsidTr="007E7430">
        <w:trPr>
          <w:trHeight w:val="308"/>
        </w:trPr>
        <w:tc>
          <w:tcPr>
            <w:tcW w:w="1048" w:type="dxa"/>
          </w:tcPr>
          <w:p w14:paraId="43AFEB98"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5</w:t>
            </w:r>
          </w:p>
        </w:tc>
        <w:tc>
          <w:tcPr>
            <w:tcW w:w="5979" w:type="dxa"/>
          </w:tcPr>
          <w:p w14:paraId="4EEE07ED"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An observational study to evaluate the factors which influence the dispensing errors in the hospital pharmacy of a tertiary care hospital</w:t>
            </w:r>
          </w:p>
        </w:tc>
        <w:tc>
          <w:tcPr>
            <w:tcW w:w="2582" w:type="dxa"/>
          </w:tcPr>
          <w:p w14:paraId="1CB2E38B"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386B0A01" w14:textId="77777777" w:rsidTr="007E7430">
        <w:trPr>
          <w:trHeight w:val="308"/>
        </w:trPr>
        <w:tc>
          <w:tcPr>
            <w:tcW w:w="1048" w:type="dxa"/>
          </w:tcPr>
          <w:p w14:paraId="6B88D92E"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6</w:t>
            </w:r>
          </w:p>
        </w:tc>
        <w:tc>
          <w:tcPr>
            <w:tcW w:w="5979" w:type="dxa"/>
          </w:tcPr>
          <w:p w14:paraId="7C00B9AF"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Appropriateness of prescribing in selected healthcare facilities in Papua New Guinea</w:t>
            </w:r>
          </w:p>
        </w:tc>
        <w:tc>
          <w:tcPr>
            <w:tcW w:w="2582" w:type="dxa"/>
          </w:tcPr>
          <w:p w14:paraId="42E07811"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Not focused on medication errors  </w:t>
            </w:r>
          </w:p>
        </w:tc>
      </w:tr>
      <w:tr w:rsidR="008139B3" w:rsidRPr="008139B3" w14:paraId="02EAC6E1" w14:textId="77777777" w:rsidTr="007E7430">
        <w:trPr>
          <w:trHeight w:val="318"/>
        </w:trPr>
        <w:tc>
          <w:tcPr>
            <w:tcW w:w="1048" w:type="dxa"/>
          </w:tcPr>
          <w:p w14:paraId="7D6B9C6E"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7</w:t>
            </w:r>
          </w:p>
        </w:tc>
        <w:tc>
          <w:tcPr>
            <w:tcW w:w="5979" w:type="dxa"/>
          </w:tcPr>
          <w:p w14:paraId="245D2086"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Clinical evaluation of pharmacists' interventions on multidisciplinary lung transplant outpatients' management: results of a 7-year observational study</w:t>
            </w:r>
          </w:p>
        </w:tc>
        <w:tc>
          <w:tcPr>
            <w:tcW w:w="2582" w:type="dxa"/>
          </w:tcPr>
          <w:p w14:paraId="23B57233"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sz w:val="20"/>
                <w:szCs w:val="20"/>
              </w:rPr>
              <w:t>No isolation of adult outcomes</w:t>
            </w:r>
          </w:p>
        </w:tc>
      </w:tr>
      <w:tr w:rsidR="008139B3" w:rsidRPr="008139B3" w14:paraId="00F3E3D3" w14:textId="77777777" w:rsidTr="007E7430">
        <w:trPr>
          <w:trHeight w:val="308"/>
        </w:trPr>
        <w:tc>
          <w:tcPr>
            <w:tcW w:w="1048" w:type="dxa"/>
          </w:tcPr>
          <w:p w14:paraId="03DC49A2"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8</w:t>
            </w:r>
          </w:p>
        </w:tc>
        <w:tc>
          <w:tcPr>
            <w:tcW w:w="5979" w:type="dxa"/>
          </w:tcPr>
          <w:p w14:paraId="35017F8E"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Description of the role of pharmacist independent double checks during cognitive order verification of outpatient parenteral anti-cancer therapy</w:t>
            </w:r>
          </w:p>
        </w:tc>
        <w:tc>
          <w:tcPr>
            <w:tcW w:w="2582" w:type="dxa"/>
          </w:tcPr>
          <w:p w14:paraId="158741CC"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Not focused on medication errors  </w:t>
            </w:r>
          </w:p>
        </w:tc>
      </w:tr>
      <w:tr w:rsidR="008139B3" w:rsidRPr="008139B3" w14:paraId="2471C2E6" w14:textId="77777777" w:rsidTr="007E7430">
        <w:trPr>
          <w:trHeight w:val="308"/>
        </w:trPr>
        <w:tc>
          <w:tcPr>
            <w:tcW w:w="1048" w:type="dxa"/>
          </w:tcPr>
          <w:p w14:paraId="2777D408"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9</w:t>
            </w:r>
          </w:p>
        </w:tc>
        <w:tc>
          <w:tcPr>
            <w:tcW w:w="5979" w:type="dxa"/>
          </w:tcPr>
          <w:p w14:paraId="3B0E05D8"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Descriptive analysis of medication errors reported to the Egyptian national online reporting system during six months</w:t>
            </w:r>
          </w:p>
        </w:tc>
        <w:tc>
          <w:tcPr>
            <w:tcW w:w="2582" w:type="dxa"/>
          </w:tcPr>
          <w:p w14:paraId="24030F61"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 isolation of adult outcomes</w:t>
            </w:r>
          </w:p>
        </w:tc>
      </w:tr>
      <w:tr w:rsidR="008139B3" w:rsidRPr="008139B3" w14:paraId="3A0EC290" w14:textId="77777777" w:rsidTr="007E7430">
        <w:trPr>
          <w:trHeight w:val="308"/>
        </w:trPr>
        <w:tc>
          <w:tcPr>
            <w:tcW w:w="1048" w:type="dxa"/>
          </w:tcPr>
          <w:p w14:paraId="3B4EB00C"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10</w:t>
            </w:r>
          </w:p>
        </w:tc>
        <w:tc>
          <w:tcPr>
            <w:tcW w:w="5979" w:type="dxa"/>
          </w:tcPr>
          <w:p w14:paraId="54C48291"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Drug errors and related interventions reported by united states clinical pharmacists: The american college of clinical pharmacy practice-based research network medication error detection, amelioration and prevention study</w:t>
            </w:r>
          </w:p>
        </w:tc>
        <w:tc>
          <w:tcPr>
            <w:tcW w:w="2582" w:type="dxa"/>
          </w:tcPr>
          <w:p w14:paraId="11D1D616"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62517AC2" w14:textId="77777777" w:rsidTr="007E7430">
        <w:trPr>
          <w:trHeight w:val="308"/>
        </w:trPr>
        <w:tc>
          <w:tcPr>
            <w:tcW w:w="1048" w:type="dxa"/>
          </w:tcPr>
          <w:p w14:paraId="634AED78"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11</w:t>
            </w:r>
          </w:p>
        </w:tc>
        <w:tc>
          <w:tcPr>
            <w:tcW w:w="5979" w:type="dxa"/>
          </w:tcPr>
          <w:p w14:paraId="4C8508A8"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Epidemiology of adverse events and medical errors in the care of cardiology patients</w:t>
            </w:r>
          </w:p>
        </w:tc>
        <w:tc>
          <w:tcPr>
            <w:tcW w:w="2582" w:type="dxa"/>
          </w:tcPr>
          <w:p w14:paraId="26A9FCBC"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Not focused on medication errors  </w:t>
            </w:r>
          </w:p>
        </w:tc>
      </w:tr>
      <w:tr w:rsidR="008139B3" w:rsidRPr="008139B3" w14:paraId="40951704" w14:textId="77777777" w:rsidTr="007E7430">
        <w:trPr>
          <w:trHeight w:val="308"/>
        </w:trPr>
        <w:tc>
          <w:tcPr>
            <w:tcW w:w="1048" w:type="dxa"/>
          </w:tcPr>
          <w:p w14:paraId="6ADF42BC"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12</w:t>
            </w:r>
          </w:p>
        </w:tc>
        <w:tc>
          <w:tcPr>
            <w:tcW w:w="5979" w:type="dxa"/>
          </w:tcPr>
          <w:p w14:paraId="12101378"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Errors associated with outpatient computerized prescribing systems</w:t>
            </w:r>
          </w:p>
        </w:tc>
        <w:tc>
          <w:tcPr>
            <w:tcW w:w="2582" w:type="dxa"/>
          </w:tcPr>
          <w:p w14:paraId="0DC7AF19"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38FE666C" w14:textId="77777777" w:rsidTr="007E7430">
        <w:trPr>
          <w:trHeight w:val="308"/>
        </w:trPr>
        <w:tc>
          <w:tcPr>
            <w:tcW w:w="1048" w:type="dxa"/>
          </w:tcPr>
          <w:p w14:paraId="32A0D27D"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13</w:t>
            </w:r>
          </w:p>
        </w:tc>
        <w:tc>
          <w:tcPr>
            <w:tcW w:w="5979" w:type="dxa"/>
          </w:tcPr>
          <w:p w14:paraId="5EB7DDAD"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Evaluation of faculty and non-faculty physicians' medication errors in outpatients' prescriptions in Shiraz, Iran</w:t>
            </w:r>
          </w:p>
        </w:tc>
        <w:tc>
          <w:tcPr>
            <w:tcW w:w="2582" w:type="dxa"/>
          </w:tcPr>
          <w:p w14:paraId="4EC00EA3"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 isolation of adult outcomes</w:t>
            </w:r>
          </w:p>
        </w:tc>
      </w:tr>
      <w:tr w:rsidR="008139B3" w:rsidRPr="008139B3" w14:paraId="34B81254" w14:textId="77777777" w:rsidTr="007E7430">
        <w:trPr>
          <w:trHeight w:val="308"/>
        </w:trPr>
        <w:tc>
          <w:tcPr>
            <w:tcW w:w="1048" w:type="dxa"/>
          </w:tcPr>
          <w:p w14:paraId="12AC0398"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14</w:t>
            </w:r>
          </w:p>
        </w:tc>
        <w:tc>
          <w:tcPr>
            <w:tcW w:w="5979" w:type="dxa"/>
          </w:tcPr>
          <w:p w14:paraId="6C12A732"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Frequency of ambulatory care adverse events in Latin American countries: the AMBEAS/PAHO cohort study</w:t>
            </w:r>
          </w:p>
        </w:tc>
        <w:tc>
          <w:tcPr>
            <w:tcW w:w="2582" w:type="dxa"/>
          </w:tcPr>
          <w:p w14:paraId="22A52639"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Not focused on medication errors  </w:t>
            </w:r>
          </w:p>
        </w:tc>
      </w:tr>
      <w:tr w:rsidR="008139B3" w:rsidRPr="008139B3" w14:paraId="5C62267A" w14:textId="77777777" w:rsidTr="007E7430">
        <w:trPr>
          <w:trHeight w:val="308"/>
        </w:trPr>
        <w:tc>
          <w:tcPr>
            <w:tcW w:w="1048" w:type="dxa"/>
          </w:tcPr>
          <w:p w14:paraId="14A3EE25"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15</w:t>
            </w:r>
          </w:p>
        </w:tc>
        <w:tc>
          <w:tcPr>
            <w:tcW w:w="5979" w:type="dxa"/>
          </w:tcPr>
          <w:p w14:paraId="6FF3BBCF"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Frequency of and risk factors for medication errors by pharmacists during order verification in a tertiary care medical center</w:t>
            </w:r>
          </w:p>
        </w:tc>
        <w:tc>
          <w:tcPr>
            <w:tcW w:w="2582" w:type="dxa"/>
          </w:tcPr>
          <w:p w14:paraId="7478E124"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2BB8B06C" w14:textId="77777777" w:rsidTr="007E7430">
        <w:trPr>
          <w:trHeight w:val="308"/>
        </w:trPr>
        <w:tc>
          <w:tcPr>
            <w:tcW w:w="1048" w:type="dxa"/>
          </w:tcPr>
          <w:p w14:paraId="3C6AEEA9"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16</w:t>
            </w:r>
          </w:p>
        </w:tc>
        <w:tc>
          <w:tcPr>
            <w:tcW w:w="5979" w:type="dxa"/>
          </w:tcPr>
          <w:p w14:paraId="6D52A927"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Frequency of medication errors in primary care patients with polypharmacy</w:t>
            </w:r>
          </w:p>
        </w:tc>
        <w:tc>
          <w:tcPr>
            <w:tcW w:w="2582" w:type="dxa"/>
          </w:tcPr>
          <w:p w14:paraId="17301C41"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Not focused on medication errors  </w:t>
            </w:r>
          </w:p>
        </w:tc>
      </w:tr>
      <w:tr w:rsidR="008139B3" w:rsidRPr="008139B3" w14:paraId="1DB9DCAE" w14:textId="77777777" w:rsidTr="007E7430">
        <w:trPr>
          <w:trHeight w:val="440"/>
        </w:trPr>
        <w:tc>
          <w:tcPr>
            <w:tcW w:w="1048" w:type="dxa"/>
          </w:tcPr>
          <w:p w14:paraId="6754EBA9"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17</w:t>
            </w:r>
          </w:p>
        </w:tc>
        <w:tc>
          <w:tcPr>
            <w:tcW w:w="5979" w:type="dxa"/>
          </w:tcPr>
          <w:p w14:paraId="3FE196B9"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Identification of medication errors through a monitoring and minimization program in outpatients in Colombia, 2018-2019</w:t>
            </w:r>
          </w:p>
        </w:tc>
        <w:tc>
          <w:tcPr>
            <w:tcW w:w="2582" w:type="dxa"/>
          </w:tcPr>
          <w:p w14:paraId="4C60195D"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Not English</w:t>
            </w:r>
          </w:p>
        </w:tc>
      </w:tr>
      <w:tr w:rsidR="008139B3" w:rsidRPr="008139B3" w14:paraId="25526FAD" w14:textId="77777777" w:rsidTr="007E7430">
        <w:trPr>
          <w:trHeight w:val="308"/>
        </w:trPr>
        <w:tc>
          <w:tcPr>
            <w:tcW w:w="1048" w:type="dxa"/>
          </w:tcPr>
          <w:p w14:paraId="7E53B528"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18</w:t>
            </w:r>
          </w:p>
        </w:tc>
        <w:tc>
          <w:tcPr>
            <w:tcW w:w="5979" w:type="dxa"/>
          </w:tcPr>
          <w:p w14:paraId="6C59B757"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Impact of clinical pharmacy services on medication errors in a multispecialty hospital</w:t>
            </w:r>
          </w:p>
        </w:tc>
        <w:tc>
          <w:tcPr>
            <w:tcW w:w="2582" w:type="dxa"/>
          </w:tcPr>
          <w:p w14:paraId="48DB6F87"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0EFE8A96" w14:textId="77777777" w:rsidTr="007E7430">
        <w:trPr>
          <w:trHeight w:val="308"/>
        </w:trPr>
        <w:tc>
          <w:tcPr>
            <w:tcW w:w="1048" w:type="dxa"/>
          </w:tcPr>
          <w:p w14:paraId="66930D52"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19</w:t>
            </w:r>
          </w:p>
        </w:tc>
        <w:tc>
          <w:tcPr>
            <w:tcW w:w="5979" w:type="dxa"/>
          </w:tcPr>
          <w:p w14:paraId="3272FBF3"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Impacts of Pharmacists-Managed Oncology Outpatient Clinic on Resolving Drug-Related Problems in Ambulatory Neoplasm Patients: A Prospective Study in China</w:t>
            </w:r>
          </w:p>
        </w:tc>
        <w:tc>
          <w:tcPr>
            <w:tcW w:w="2582" w:type="dxa"/>
          </w:tcPr>
          <w:p w14:paraId="0038681B"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Not focused on medication errors  </w:t>
            </w:r>
          </w:p>
        </w:tc>
      </w:tr>
      <w:tr w:rsidR="008139B3" w:rsidRPr="008139B3" w14:paraId="6912AD08" w14:textId="77777777" w:rsidTr="007E7430">
        <w:trPr>
          <w:trHeight w:val="308"/>
        </w:trPr>
        <w:tc>
          <w:tcPr>
            <w:tcW w:w="1048" w:type="dxa"/>
          </w:tcPr>
          <w:p w14:paraId="56174780"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20</w:t>
            </w:r>
          </w:p>
        </w:tc>
        <w:tc>
          <w:tcPr>
            <w:tcW w:w="5979" w:type="dxa"/>
          </w:tcPr>
          <w:p w14:paraId="561EEBBF"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Medication errors and adverse drug reactions in psychiatry department: A prospective observational study</w:t>
            </w:r>
          </w:p>
        </w:tc>
        <w:tc>
          <w:tcPr>
            <w:tcW w:w="2582" w:type="dxa"/>
          </w:tcPr>
          <w:p w14:paraId="7B46E02A"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 full text </w:t>
            </w:r>
          </w:p>
        </w:tc>
      </w:tr>
      <w:tr w:rsidR="008139B3" w:rsidRPr="008139B3" w14:paraId="30806EC9" w14:textId="77777777" w:rsidTr="007E7430">
        <w:trPr>
          <w:trHeight w:val="308"/>
        </w:trPr>
        <w:tc>
          <w:tcPr>
            <w:tcW w:w="1048" w:type="dxa"/>
          </w:tcPr>
          <w:p w14:paraId="0C84FCD4"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21</w:t>
            </w:r>
          </w:p>
        </w:tc>
        <w:tc>
          <w:tcPr>
            <w:tcW w:w="5979" w:type="dxa"/>
          </w:tcPr>
          <w:p w14:paraId="64E3FA39"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Medication errors in a health care facility in southern Saudi Arabia</w:t>
            </w:r>
          </w:p>
        </w:tc>
        <w:tc>
          <w:tcPr>
            <w:tcW w:w="2582" w:type="dxa"/>
          </w:tcPr>
          <w:p w14:paraId="1903592A"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sz w:val="20"/>
                <w:szCs w:val="20"/>
              </w:rPr>
              <w:t>Not focused on outpatient and ambulatory settings</w:t>
            </w:r>
          </w:p>
        </w:tc>
      </w:tr>
      <w:tr w:rsidR="008139B3" w:rsidRPr="008139B3" w14:paraId="29190364" w14:textId="77777777" w:rsidTr="007E7430">
        <w:trPr>
          <w:trHeight w:val="308"/>
        </w:trPr>
        <w:tc>
          <w:tcPr>
            <w:tcW w:w="1048" w:type="dxa"/>
          </w:tcPr>
          <w:p w14:paraId="4A26D648"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lastRenderedPageBreak/>
              <w:t>22</w:t>
            </w:r>
          </w:p>
        </w:tc>
        <w:tc>
          <w:tcPr>
            <w:tcW w:w="5979" w:type="dxa"/>
          </w:tcPr>
          <w:p w14:paraId="4EF76A03"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Medication errors in Auvergne-Rhone-Alpes: A prospective pilot study led in collaboration by regional vigilance and support structures</w:t>
            </w:r>
          </w:p>
        </w:tc>
        <w:tc>
          <w:tcPr>
            <w:tcW w:w="2582" w:type="dxa"/>
          </w:tcPr>
          <w:p w14:paraId="04AAD77A"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 xml:space="preserve">Not English </w:t>
            </w:r>
          </w:p>
        </w:tc>
      </w:tr>
      <w:tr w:rsidR="008139B3" w:rsidRPr="008139B3" w14:paraId="70C21AAC" w14:textId="77777777" w:rsidTr="007E7430">
        <w:trPr>
          <w:trHeight w:val="308"/>
        </w:trPr>
        <w:tc>
          <w:tcPr>
            <w:tcW w:w="1048" w:type="dxa"/>
          </w:tcPr>
          <w:p w14:paraId="3FA3E347"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23</w:t>
            </w:r>
          </w:p>
        </w:tc>
        <w:tc>
          <w:tcPr>
            <w:tcW w:w="5979" w:type="dxa"/>
          </w:tcPr>
          <w:p w14:paraId="0D52ED5E"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Medication errors in outpatient care in Colombia, 2005-2013</w:t>
            </w:r>
          </w:p>
        </w:tc>
        <w:tc>
          <w:tcPr>
            <w:tcW w:w="2582" w:type="dxa"/>
          </w:tcPr>
          <w:p w14:paraId="4168E911"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5B44271F" w14:textId="77777777" w:rsidTr="007E7430">
        <w:trPr>
          <w:trHeight w:val="308"/>
        </w:trPr>
        <w:tc>
          <w:tcPr>
            <w:tcW w:w="1048" w:type="dxa"/>
          </w:tcPr>
          <w:p w14:paraId="61862F18"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24</w:t>
            </w:r>
          </w:p>
        </w:tc>
        <w:tc>
          <w:tcPr>
            <w:tcW w:w="5979" w:type="dxa"/>
          </w:tcPr>
          <w:p w14:paraId="73C99A3C"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Medication errors reported to the National Medication Error Reporting System in Malaysia: a 4-year retrospective review (2009 to 2012)</w:t>
            </w:r>
          </w:p>
        </w:tc>
        <w:tc>
          <w:tcPr>
            <w:tcW w:w="2582" w:type="dxa"/>
          </w:tcPr>
          <w:p w14:paraId="182EECEE"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4DF11C94" w14:textId="77777777" w:rsidTr="007E7430">
        <w:trPr>
          <w:trHeight w:val="308"/>
        </w:trPr>
        <w:tc>
          <w:tcPr>
            <w:tcW w:w="1048" w:type="dxa"/>
          </w:tcPr>
          <w:p w14:paraId="609DC719"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25</w:t>
            </w:r>
          </w:p>
        </w:tc>
        <w:tc>
          <w:tcPr>
            <w:tcW w:w="5979" w:type="dxa"/>
          </w:tcPr>
          <w:p w14:paraId="1FEBE712"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Medication incidents associated with outpatient computerized prescribing systems</w:t>
            </w:r>
          </w:p>
        </w:tc>
        <w:tc>
          <w:tcPr>
            <w:tcW w:w="2582" w:type="dxa"/>
          </w:tcPr>
          <w:p w14:paraId="380C60FA"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 isolation of adult outcomes</w:t>
            </w:r>
          </w:p>
        </w:tc>
      </w:tr>
      <w:tr w:rsidR="008139B3" w:rsidRPr="008139B3" w14:paraId="1E0F90C8" w14:textId="77777777" w:rsidTr="007E7430">
        <w:trPr>
          <w:trHeight w:val="308"/>
        </w:trPr>
        <w:tc>
          <w:tcPr>
            <w:tcW w:w="1048" w:type="dxa"/>
          </w:tcPr>
          <w:p w14:paraId="35E237BA"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26</w:t>
            </w:r>
          </w:p>
        </w:tc>
        <w:tc>
          <w:tcPr>
            <w:tcW w:w="5979" w:type="dxa"/>
          </w:tcPr>
          <w:p w14:paraId="4280ABDE"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Minimising prescription errors-a quality improvement project in the ophthalmology department in a tertiary referral hospital</w:t>
            </w:r>
          </w:p>
        </w:tc>
        <w:tc>
          <w:tcPr>
            <w:tcW w:w="2582" w:type="dxa"/>
          </w:tcPr>
          <w:p w14:paraId="5D4E408F"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544964E4" w14:textId="77777777" w:rsidTr="007E7430">
        <w:trPr>
          <w:trHeight w:val="308"/>
        </w:trPr>
        <w:tc>
          <w:tcPr>
            <w:tcW w:w="1048" w:type="dxa"/>
          </w:tcPr>
          <w:p w14:paraId="56321289"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27</w:t>
            </w:r>
          </w:p>
        </w:tc>
        <w:tc>
          <w:tcPr>
            <w:tcW w:w="5979" w:type="dxa"/>
          </w:tcPr>
          <w:p w14:paraId="59FDEF5B"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Pharmacist's role in improving medication safety for patients in an allogeneic hematopoietic cell transplant ambulatory clinic</w:t>
            </w:r>
          </w:p>
        </w:tc>
        <w:tc>
          <w:tcPr>
            <w:tcW w:w="2582" w:type="dxa"/>
          </w:tcPr>
          <w:p w14:paraId="7DD44AE0"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sz w:val="20"/>
                <w:szCs w:val="20"/>
              </w:rPr>
              <w:t>Not focused on outpatient and ambulatory settings</w:t>
            </w:r>
          </w:p>
        </w:tc>
      </w:tr>
      <w:tr w:rsidR="008139B3" w:rsidRPr="008139B3" w14:paraId="0A73A27C" w14:textId="77777777" w:rsidTr="007E7430">
        <w:trPr>
          <w:trHeight w:val="308"/>
        </w:trPr>
        <w:tc>
          <w:tcPr>
            <w:tcW w:w="1048" w:type="dxa"/>
          </w:tcPr>
          <w:p w14:paraId="1EB05FDD"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28</w:t>
            </w:r>
          </w:p>
        </w:tc>
        <w:tc>
          <w:tcPr>
            <w:tcW w:w="5979" w:type="dxa"/>
          </w:tcPr>
          <w:p w14:paraId="6F5A5D60"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Potential risks in drug prescriptions to elderly: A cross-sectional study in the public primary health care system of Ourinhos micro-region, Brazil.</w:t>
            </w:r>
          </w:p>
        </w:tc>
        <w:tc>
          <w:tcPr>
            <w:tcW w:w="2582" w:type="dxa"/>
          </w:tcPr>
          <w:p w14:paraId="78BD1FA3"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 full text </w:t>
            </w:r>
          </w:p>
        </w:tc>
      </w:tr>
      <w:tr w:rsidR="008139B3" w:rsidRPr="008139B3" w14:paraId="321238A0" w14:textId="77777777" w:rsidTr="007E7430">
        <w:trPr>
          <w:trHeight w:val="308"/>
        </w:trPr>
        <w:tc>
          <w:tcPr>
            <w:tcW w:w="1048" w:type="dxa"/>
          </w:tcPr>
          <w:p w14:paraId="112D22AD"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29</w:t>
            </w:r>
          </w:p>
        </w:tc>
        <w:tc>
          <w:tcPr>
            <w:tcW w:w="5979" w:type="dxa"/>
          </w:tcPr>
          <w:p w14:paraId="0B980019"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Prescription, Transcription and Administration Errors in Out- Patient Day Care Unit of a Regional Cancer Centre in South India</w:t>
            </w:r>
          </w:p>
        </w:tc>
        <w:tc>
          <w:tcPr>
            <w:tcW w:w="2582" w:type="dxa"/>
          </w:tcPr>
          <w:p w14:paraId="614869DD"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7F6AC3F4" w14:textId="77777777" w:rsidTr="007E7430">
        <w:trPr>
          <w:trHeight w:val="308"/>
        </w:trPr>
        <w:tc>
          <w:tcPr>
            <w:tcW w:w="1048" w:type="dxa"/>
          </w:tcPr>
          <w:p w14:paraId="001316D7"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30</w:t>
            </w:r>
          </w:p>
        </w:tc>
        <w:tc>
          <w:tcPr>
            <w:tcW w:w="5979" w:type="dxa"/>
          </w:tcPr>
          <w:p w14:paraId="775FD8DF" w14:textId="77777777" w:rsidR="008139B3" w:rsidRPr="008139B3" w:rsidRDefault="008139B3" w:rsidP="007E7430">
            <w:pPr>
              <w:jc w:val="both"/>
              <w:rPr>
                <w:rFonts w:asciiTheme="majorBidi" w:hAnsiTheme="majorBidi" w:cstheme="majorBidi"/>
                <w:color w:val="000000"/>
                <w:sz w:val="20"/>
                <w:szCs w:val="20"/>
              </w:rPr>
            </w:pPr>
            <w:r w:rsidRPr="008139B3">
              <w:rPr>
                <w:rFonts w:asciiTheme="majorBidi" w:hAnsiTheme="majorBidi" w:cstheme="majorBidi"/>
                <w:color w:val="000000"/>
                <w:sz w:val="20"/>
                <w:szCs w:val="20"/>
              </w:rPr>
              <w:t>Prevalence of medication-related problems among patients with renal compromise in an Indian hospital</w:t>
            </w:r>
          </w:p>
        </w:tc>
        <w:tc>
          <w:tcPr>
            <w:tcW w:w="2582" w:type="dxa"/>
          </w:tcPr>
          <w:p w14:paraId="330FC7A5" w14:textId="77777777" w:rsidR="008139B3" w:rsidRPr="008139B3" w:rsidRDefault="008139B3" w:rsidP="007E7430">
            <w:pPr>
              <w:jc w:val="both"/>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5E4979E1" w14:textId="77777777" w:rsidTr="007E7430">
        <w:trPr>
          <w:trHeight w:val="308"/>
        </w:trPr>
        <w:tc>
          <w:tcPr>
            <w:tcW w:w="1048" w:type="dxa"/>
          </w:tcPr>
          <w:p w14:paraId="3DEC5EA1"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31</w:t>
            </w:r>
          </w:p>
        </w:tc>
        <w:tc>
          <w:tcPr>
            <w:tcW w:w="5979" w:type="dxa"/>
          </w:tcPr>
          <w:p w14:paraId="2FF70B0D"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Prevalence, nature and potential preventability of adverse drug events - A population-based medical record study of 4970 adults</w:t>
            </w:r>
          </w:p>
        </w:tc>
        <w:tc>
          <w:tcPr>
            <w:tcW w:w="2582" w:type="dxa"/>
          </w:tcPr>
          <w:p w14:paraId="336FACEB"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Not focused on outpatient and ambulatory settings</w:t>
            </w:r>
          </w:p>
        </w:tc>
      </w:tr>
      <w:tr w:rsidR="008139B3" w:rsidRPr="008139B3" w14:paraId="55D844BB" w14:textId="77777777" w:rsidTr="007E7430">
        <w:trPr>
          <w:trHeight w:val="308"/>
        </w:trPr>
        <w:tc>
          <w:tcPr>
            <w:tcW w:w="1048" w:type="dxa"/>
          </w:tcPr>
          <w:p w14:paraId="43D583A8"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32</w:t>
            </w:r>
          </w:p>
        </w:tc>
        <w:tc>
          <w:tcPr>
            <w:tcW w:w="5979" w:type="dxa"/>
          </w:tcPr>
          <w:p w14:paraId="7128927A"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Prevention of medication errors in drug dispensation to outpatients, Colombia june 2014 to june 2015</w:t>
            </w:r>
          </w:p>
        </w:tc>
        <w:tc>
          <w:tcPr>
            <w:tcW w:w="2582" w:type="dxa"/>
          </w:tcPr>
          <w:p w14:paraId="3C885957"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Not English </w:t>
            </w:r>
          </w:p>
        </w:tc>
      </w:tr>
      <w:tr w:rsidR="008139B3" w:rsidRPr="008139B3" w14:paraId="6ADA3A48" w14:textId="77777777" w:rsidTr="007E7430">
        <w:trPr>
          <w:trHeight w:val="308"/>
        </w:trPr>
        <w:tc>
          <w:tcPr>
            <w:tcW w:w="1048" w:type="dxa"/>
          </w:tcPr>
          <w:p w14:paraId="64D1A9E0"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33</w:t>
            </w:r>
          </w:p>
        </w:tc>
        <w:tc>
          <w:tcPr>
            <w:tcW w:w="5979" w:type="dxa"/>
          </w:tcPr>
          <w:p w14:paraId="5A6EDE73"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Reducing Medical Errors in Primary Care Using a Pragmatic Complex Intervention</w:t>
            </w:r>
          </w:p>
        </w:tc>
        <w:tc>
          <w:tcPr>
            <w:tcW w:w="2582" w:type="dxa"/>
          </w:tcPr>
          <w:p w14:paraId="6A58C714"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Not focused on medication errors  </w:t>
            </w:r>
          </w:p>
        </w:tc>
      </w:tr>
      <w:tr w:rsidR="008139B3" w:rsidRPr="008139B3" w14:paraId="40587EBF" w14:textId="77777777" w:rsidTr="007E7430">
        <w:trPr>
          <w:trHeight w:val="308"/>
        </w:trPr>
        <w:tc>
          <w:tcPr>
            <w:tcW w:w="1048" w:type="dxa"/>
          </w:tcPr>
          <w:p w14:paraId="50FACB33"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34</w:t>
            </w:r>
          </w:p>
        </w:tc>
        <w:tc>
          <w:tcPr>
            <w:tcW w:w="5979" w:type="dxa"/>
          </w:tcPr>
          <w:p w14:paraId="405244DC"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Strategies to Reduce Medication Errors in Ambulatory Practice</w:t>
            </w:r>
          </w:p>
        </w:tc>
        <w:tc>
          <w:tcPr>
            <w:tcW w:w="2582" w:type="dxa"/>
          </w:tcPr>
          <w:p w14:paraId="2F2883E4"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Not focused on medication errors  </w:t>
            </w:r>
          </w:p>
        </w:tc>
      </w:tr>
      <w:tr w:rsidR="008139B3" w:rsidRPr="008139B3" w14:paraId="23A87606" w14:textId="77777777" w:rsidTr="007E7430">
        <w:trPr>
          <w:trHeight w:val="308"/>
        </w:trPr>
        <w:tc>
          <w:tcPr>
            <w:tcW w:w="1048" w:type="dxa"/>
          </w:tcPr>
          <w:p w14:paraId="1E0332B7"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35</w:t>
            </w:r>
          </w:p>
        </w:tc>
        <w:tc>
          <w:tcPr>
            <w:tcW w:w="5979" w:type="dxa"/>
          </w:tcPr>
          <w:p w14:paraId="7BBD5B56"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The impact of electronic prescription on reducing medication errors in an Egyptian outpatient clinic</w:t>
            </w:r>
          </w:p>
        </w:tc>
        <w:tc>
          <w:tcPr>
            <w:tcW w:w="2582" w:type="dxa"/>
          </w:tcPr>
          <w:p w14:paraId="2A65EFAC"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No isolation of adult outcomes</w:t>
            </w:r>
          </w:p>
        </w:tc>
      </w:tr>
      <w:tr w:rsidR="008139B3" w:rsidRPr="008139B3" w14:paraId="4DBF23BE" w14:textId="77777777" w:rsidTr="007E7430">
        <w:trPr>
          <w:trHeight w:val="308"/>
        </w:trPr>
        <w:tc>
          <w:tcPr>
            <w:tcW w:w="1048" w:type="dxa"/>
          </w:tcPr>
          <w:p w14:paraId="10C4842C"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36</w:t>
            </w:r>
          </w:p>
        </w:tc>
        <w:tc>
          <w:tcPr>
            <w:tcW w:w="5979" w:type="dxa"/>
          </w:tcPr>
          <w:p w14:paraId="5E0F441B"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Update on Drug-Related Problems in the Elderly</w:t>
            </w:r>
          </w:p>
        </w:tc>
        <w:tc>
          <w:tcPr>
            <w:tcW w:w="2582" w:type="dxa"/>
          </w:tcPr>
          <w:p w14:paraId="0AB49B86"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Not focused on medication errors  </w:t>
            </w:r>
          </w:p>
        </w:tc>
      </w:tr>
      <w:tr w:rsidR="008139B3" w:rsidRPr="008139B3" w14:paraId="0E34A459" w14:textId="77777777" w:rsidTr="007E7430">
        <w:trPr>
          <w:trHeight w:val="308"/>
        </w:trPr>
        <w:tc>
          <w:tcPr>
            <w:tcW w:w="1048" w:type="dxa"/>
          </w:tcPr>
          <w:p w14:paraId="38CB157A" w14:textId="77777777" w:rsidR="008139B3" w:rsidRPr="008139B3" w:rsidRDefault="008139B3" w:rsidP="007E7430">
            <w:pPr>
              <w:jc w:val="both"/>
              <w:rPr>
                <w:rFonts w:asciiTheme="majorBidi" w:hAnsiTheme="majorBidi" w:cstheme="majorBidi"/>
                <w:b/>
                <w:bCs/>
                <w:sz w:val="20"/>
                <w:szCs w:val="20"/>
              </w:rPr>
            </w:pPr>
            <w:r w:rsidRPr="008139B3">
              <w:rPr>
                <w:rFonts w:asciiTheme="majorBidi" w:hAnsiTheme="majorBidi" w:cstheme="majorBidi"/>
                <w:b/>
                <w:bCs/>
                <w:sz w:val="20"/>
                <w:szCs w:val="20"/>
              </w:rPr>
              <w:t>37</w:t>
            </w:r>
          </w:p>
        </w:tc>
        <w:tc>
          <w:tcPr>
            <w:tcW w:w="5979" w:type="dxa"/>
          </w:tcPr>
          <w:p w14:paraId="6203C0E9" w14:textId="77777777" w:rsidR="008139B3" w:rsidRPr="008139B3" w:rsidRDefault="008139B3" w:rsidP="007E7430">
            <w:pPr>
              <w:rPr>
                <w:rFonts w:asciiTheme="majorBidi" w:hAnsiTheme="majorBidi" w:cstheme="majorBidi"/>
                <w:color w:val="000000"/>
                <w:sz w:val="20"/>
                <w:szCs w:val="20"/>
              </w:rPr>
            </w:pPr>
            <w:r w:rsidRPr="008139B3">
              <w:rPr>
                <w:rFonts w:asciiTheme="majorBidi" w:hAnsiTheme="majorBidi" w:cstheme="majorBidi"/>
                <w:color w:val="000000"/>
                <w:sz w:val="20"/>
                <w:szCs w:val="20"/>
              </w:rPr>
              <w:t>What Safety Events Are Reported For Ambulatory Care? Analysis of Incident Reports from a Patient Safety Organization</w:t>
            </w:r>
          </w:p>
        </w:tc>
        <w:tc>
          <w:tcPr>
            <w:tcW w:w="2582" w:type="dxa"/>
          </w:tcPr>
          <w:p w14:paraId="450C9172" w14:textId="77777777" w:rsidR="008139B3" w:rsidRPr="008139B3" w:rsidRDefault="008139B3" w:rsidP="007E7430">
            <w:pPr>
              <w:rPr>
                <w:rFonts w:asciiTheme="majorBidi" w:hAnsiTheme="majorBidi" w:cstheme="majorBidi"/>
                <w:sz w:val="20"/>
                <w:szCs w:val="20"/>
              </w:rPr>
            </w:pPr>
            <w:r w:rsidRPr="008139B3">
              <w:rPr>
                <w:rFonts w:asciiTheme="majorBidi" w:hAnsiTheme="majorBidi" w:cstheme="majorBidi"/>
                <w:sz w:val="20"/>
                <w:szCs w:val="20"/>
              </w:rPr>
              <w:t xml:space="preserve">Not focused on medication errors  </w:t>
            </w:r>
          </w:p>
        </w:tc>
      </w:tr>
    </w:tbl>
    <w:p w14:paraId="67F39910" w14:textId="710BE6C4" w:rsidR="008139B3" w:rsidRDefault="008139B3" w:rsidP="00D71A9E">
      <w:pPr>
        <w:rPr>
          <w:rFonts w:asciiTheme="majorBidi" w:hAnsiTheme="majorBidi" w:cstheme="majorBidi"/>
          <w:sz w:val="20"/>
          <w:szCs w:val="20"/>
        </w:rPr>
      </w:pPr>
    </w:p>
    <w:p w14:paraId="70A0E29D" w14:textId="67229326" w:rsidR="008139B3" w:rsidRDefault="008139B3" w:rsidP="00D71A9E">
      <w:pPr>
        <w:rPr>
          <w:rFonts w:asciiTheme="majorBidi" w:hAnsiTheme="majorBidi" w:cstheme="majorBidi"/>
          <w:sz w:val="20"/>
          <w:szCs w:val="20"/>
        </w:rPr>
      </w:pPr>
    </w:p>
    <w:p w14:paraId="34740B39" w14:textId="62DF4B31" w:rsidR="008139B3" w:rsidRDefault="008139B3" w:rsidP="00D71A9E">
      <w:pPr>
        <w:rPr>
          <w:rFonts w:asciiTheme="majorBidi" w:hAnsiTheme="majorBidi" w:cstheme="majorBidi"/>
          <w:sz w:val="20"/>
          <w:szCs w:val="20"/>
        </w:rPr>
      </w:pPr>
    </w:p>
    <w:p w14:paraId="2B548D90" w14:textId="65C7A354" w:rsidR="008139B3" w:rsidRDefault="008139B3" w:rsidP="00D71A9E">
      <w:pPr>
        <w:rPr>
          <w:rFonts w:asciiTheme="majorBidi" w:hAnsiTheme="majorBidi" w:cstheme="majorBidi"/>
          <w:sz w:val="20"/>
          <w:szCs w:val="20"/>
        </w:rPr>
      </w:pPr>
    </w:p>
    <w:p w14:paraId="36D1BB70" w14:textId="27107D13" w:rsidR="008139B3" w:rsidRDefault="008139B3" w:rsidP="00D71A9E">
      <w:pPr>
        <w:rPr>
          <w:rFonts w:asciiTheme="majorBidi" w:hAnsiTheme="majorBidi" w:cstheme="majorBidi"/>
          <w:sz w:val="20"/>
          <w:szCs w:val="20"/>
        </w:rPr>
      </w:pPr>
    </w:p>
    <w:p w14:paraId="3E9AFD05" w14:textId="5AE98EB8" w:rsidR="008139B3" w:rsidRDefault="008139B3" w:rsidP="00D71A9E">
      <w:pPr>
        <w:rPr>
          <w:rFonts w:asciiTheme="majorBidi" w:hAnsiTheme="majorBidi" w:cstheme="majorBidi"/>
          <w:sz w:val="20"/>
          <w:szCs w:val="20"/>
        </w:rPr>
      </w:pPr>
    </w:p>
    <w:p w14:paraId="4D1503E2" w14:textId="3A42C32D" w:rsidR="008139B3" w:rsidRDefault="008139B3" w:rsidP="00D71A9E">
      <w:pPr>
        <w:rPr>
          <w:rFonts w:asciiTheme="majorBidi" w:hAnsiTheme="majorBidi" w:cstheme="majorBidi"/>
          <w:sz w:val="20"/>
          <w:szCs w:val="20"/>
        </w:rPr>
      </w:pPr>
    </w:p>
    <w:p w14:paraId="2E467987" w14:textId="60B10443" w:rsidR="008139B3" w:rsidRDefault="008139B3" w:rsidP="00D71A9E">
      <w:pPr>
        <w:rPr>
          <w:rFonts w:asciiTheme="majorBidi" w:hAnsiTheme="majorBidi" w:cstheme="majorBidi"/>
          <w:sz w:val="20"/>
          <w:szCs w:val="20"/>
        </w:rPr>
      </w:pPr>
    </w:p>
    <w:p w14:paraId="01FD5E7A" w14:textId="701E2384" w:rsidR="008139B3" w:rsidRDefault="008139B3" w:rsidP="00D71A9E">
      <w:pPr>
        <w:rPr>
          <w:rFonts w:asciiTheme="majorBidi" w:hAnsiTheme="majorBidi" w:cstheme="majorBidi"/>
          <w:sz w:val="20"/>
          <w:szCs w:val="20"/>
        </w:rPr>
      </w:pPr>
    </w:p>
    <w:p w14:paraId="59A1173E" w14:textId="77777777" w:rsidR="008139B3" w:rsidRDefault="008139B3" w:rsidP="00D71A9E">
      <w:pPr>
        <w:rPr>
          <w:rFonts w:asciiTheme="majorBidi" w:hAnsiTheme="majorBidi" w:cstheme="majorBidi"/>
          <w:sz w:val="20"/>
          <w:szCs w:val="20"/>
        </w:rPr>
        <w:sectPr w:rsidR="008139B3" w:rsidSect="008139B3">
          <w:pgSz w:w="12240" w:h="15840"/>
          <w:pgMar w:top="1440" w:right="1440" w:bottom="1440" w:left="1440" w:header="720" w:footer="720" w:gutter="0"/>
          <w:cols w:space="720"/>
          <w:docGrid w:linePitch="360"/>
        </w:sectPr>
      </w:pPr>
    </w:p>
    <w:p w14:paraId="52A8F722" w14:textId="371DC6E4" w:rsidR="008139B3" w:rsidRDefault="008139B3" w:rsidP="00D71A9E">
      <w:pPr>
        <w:rPr>
          <w:rFonts w:asciiTheme="majorBidi" w:hAnsiTheme="majorBidi" w:cstheme="majorBidi"/>
          <w:sz w:val="20"/>
          <w:szCs w:val="20"/>
        </w:rPr>
      </w:pPr>
    </w:p>
    <w:tbl>
      <w:tblPr>
        <w:tblStyle w:val="TableGrid"/>
        <w:tblW w:w="15345" w:type="dxa"/>
        <w:tblInd w:w="-1175" w:type="dxa"/>
        <w:tblLayout w:type="fixed"/>
        <w:tblLook w:val="04A0" w:firstRow="1" w:lastRow="0" w:firstColumn="1" w:lastColumn="0" w:noHBand="0" w:noVBand="1"/>
      </w:tblPr>
      <w:tblGrid>
        <w:gridCol w:w="1355"/>
        <w:gridCol w:w="1584"/>
        <w:gridCol w:w="1378"/>
        <w:gridCol w:w="1439"/>
        <w:gridCol w:w="1170"/>
        <w:gridCol w:w="1350"/>
        <w:gridCol w:w="1260"/>
        <w:gridCol w:w="1620"/>
        <w:gridCol w:w="1170"/>
        <w:gridCol w:w="1354"/>
        <w:gridCol w:w="1665"/>
      </w:tblGrid>
      <w:tr w:rsidR="00735E13" w:rsidRPr="0086524B" w14:paraId="10E7B774" w14:textId="77777777" w:rsidTr="00735E13">
        <w:trPr>
          <w:trHeight w:val="296"/>
        </w:trPr>
        <w:tc>
          <w:tcPr>
            <w:tcW w:w="15345" w:type="dxa"/>
            <w:gridSpan w:val="11"/>
            <w:tcBorders>
              <w:top w:val="single" w:sz="4" w:space="0" w:color="auto"/>
              <w:left w:val="single" w:sz="4" w:space="0" w:color="auto"/>
              <w:bottom w:val="single" w:sz="4" w:space="0" w:color="auto"/>
              <w:right w:val="single" w:sz="4" w:space="0" w:color="auto"/>
            </w:tcBorders>
            <w:noWrap/>
          </w:tcPr>
          <w:p w14:paraId="1F5EBF90" w14:textId="7C6B8271"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hAnsiTheme="majorBidi" w:cstheme="majorBidi"/>
                <w:b/>
                <w:bCs/>
                <w:sz w:val="20"/>
                <w:szCs w:val="20"/>
              </w:rPr>
              <w:t xml:space="preserve">Table </w:t>
            </w:r>
            <w:r w:rsidR="008139B3">
              <w:rPr>
                <w:rFonts w:asciiTheme="majorBidi" w:hAnsiTheme="majorBidi" w:cstheme="majorBidi"/>
                <w:b/>
                <w:bCs/>
                <w:sz w:val="20"/>
                <w:szCs w:val="20"/>
              </w:rPr>
              <w:t>2</w:t>
            </w:r>
            <w:r w:rsidRPr="0086524B">
              <w:rPr>
                <w:rFonts w:asciiTheme="majorBidi" w:hAnsiTheme="majorBidi" w:cstheme="majorBidi"/>
                <w:b/>
                <w:bCs/>
                <w:sz w:val="20"/>
                <w:szCs w:val="20"/>
              </w:rPr>
              <w:t>. Quality assessment of included studies</w:t>
            </w:r>
          </w:p>
        </w:tc>
      </w:tr>
      <w:tr w:rsidR="00735E13" w:rsidRPr="0086524B" w14:paraId="51D2E276" w14:textId="77777777" w:rsidTr="00B3290B">
        <w:trPr>
          <w:trHeight w:val="932"/>
        </w:trPr>
        <w:tc>
          <w:tcPr>
            <w:tcW w:w="1355" w:type="dxa"/>
            <w:tcBorders>
              <w:top w:val="single" w:sz="4" w:space="0" w:color="auto"/>
              <w:left w:val="single" w:sz="4" w:space="0" w:color="auto"/>
              <w:bottom w:val="single" w:sz="4" w:space="0" w:color="auto"/>
              <w:right w:val="single" w:sz="4" w:space="0" w:color="auto"/>
            </w:tcBorders>
            <w:noWrap/>
            <w:hideMark/>
          </w:tcPr>
          <w:p w14:paraId="1E26C222"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Author, year of publication</w:t>
            </w:r>
          </w:p>
        </w:tc>
        <w:tc>
          <w:tcPr>
            <w:tcW w:w="1584" w:type="dxa"/>
            <w:tcBorders>
              <w:top w:val="single" w:sz="4" w:space="0" w:color="auto"/>
              <w:left w:val="single" w:sz="4" w:space="0" w:color="auto"/>
              <w:bottom w:val="single" w:sz="4" w:space="0" w:color="auto"/>
              <w:right w:val="single" w:sz="4" w:space="0" w:color="auto"/>
            </w:tcBorders>
            <w:hideMark/>
          </w:tcPr>
          <w:p w14:paraId="4FF2678B"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Was the target population a close representation of the national population?</w:t>
            </w:r>
          </w:p>
        </w:tc>
        <w:tc>
          <w:tcPr>
            <w:tcW w:w="1378" w:type="dxa"/>
            <w:tcBorders>
              <w:top w:val="single" w:sz="4" w:space="0" w:color="auto"/>
              <w:left w:val="single" w:sz="4" w:space="0" w:color="auto"/>
              <w:bottom w:val="single" w:sz="4" w:space="0" w:color="auto"/>
              <w:right w:val="single" w:sz="4" w:space="0" w:color="auto"/>
            </w:tcBorders>
            <w:hideMark/>
          </w:tcPr>
          <w:p w14:paraId="217B2D7E"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Was the sampling frame a true or close representation of the target population?</w:t>
            </w:r>
          </w:p>
        </w:tc>
        <w:tc>
          <w:tcPr>
            <w:tcW w:w="1439" w:type="dxa"/>
            <w:tcBorders>
              <w:top w:val="single" w:sz="4" w:space="0" w:color="auto"/>
              <w:left w:val="single" w:sz="4" w:space="0" w:color="auto"/>
              <w:bottom w:val="single" w:sz="4" w:space="0" w:color="auto"/>
              <w:right w:val="single" w:sz="4" w:space="0" w:color="auto"/>
            </w:tcBorders>
            <w:hideMark/>
          </w:tcPr>
          <w:p w14:paraId="0D8D0721"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Was some form of random selection used to select the sample, OR, was a census undertaken?</w:t>
            </w:r>
          </w:p>
        </w:tc>
        <w:tc>
          <w:tcPr>
            <w:tcW w:w="1170" w:type="dxa"/>
            <w:tcBorders>
              <w:top w:val="single" w:sz="4" w:space="0" w:color="auto"/>
              <w:left w:val="single" w:sz="4" w:space="0" w:color="auto"/>
              <w:bottom w:val="single" w:sz="4" w:space="0" w:color="auto"/>
              <w:right w:val="single" w:sz="4" w:space="0" w:color="auto"/>
            </w:tcBorders>
            <w:hideMark/>
          </w:tcPr>
          <w:p w14:paraId="765733FC"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Was the likelihood of non-response bias minimal?</w:t>
            </w:r>
          </w:p>
        </w:tc>
        <w:tc>
          <w:tcPr>
            <w:tcW w:w="1350" w:type="dxa"/>
            <w:tcBorders>
              <w:top w:val="single" w:sz="4" w:space="0" w:color="auto"/>
              <w:left w:val="single" w:sz="4" w:space="0" w:color="auto"/>
              <w:bottom w:val="single" w:sz="4" w:space="0" w:color="auto"/>
              <w:right w:val="single" w:sz="4" w:space="0" w:color="auto"/>
            </w:tcBorders>
            <w:hideMark/>
          </w:tcPr>
          <w:p w14:paraId="0A7230D4"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Were data collected directly from the subjects (OR proxy)?</w:t>
            </w:r>
          </w:p>
        </w:tc>
        <w:tc>
          <w:tcPr>
            <w:tcW w:w="1260" w:type="dxa"/>
            <w:tcBorders>
              <w:top w:val="single" w:sz="4" w:space="0" w:color="auto"/>
              <w:left w:val="single" w:sz="4" w:space="0" w:color="auto"/>
              <w:bottom w:val="single" w:sz="4" w:space="0" w:color="auto"/>
              <w:right w:val="single" w:sz="4" w:space="0" w:color="auto"/>
            </w:tcBorders>
            <w:hideMark/>
          </w:tcPr>
          <w:p w14:paraId="59C7E63E"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Was an acceptable case definition used?</w:t>
            </w:r>
          </w:p>
        </w:tc>
        <w:tc>
          <w:tcPr>
            <w:tcW w:w="1620" w:type="dxa"/>
            <w:tcBorders>
              <w:top w:val="single" w:sz="4" w:space="0" w:color="auto"/>
              <w:left w:val="single" w:sz="4" w:space="0" w:color="auto"/>
              <w:bottom w:val="single" w:sz="4" w:space="0" w:color="auto"/>
              <w:right w:val="single" w:sz="4" w:space="0" w:color="auto"/>
            </w:tcBorders>
            <w:hideMark/>
          </w:tcPr>
          <w:p w14:paraId="64D8BF53"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Was the instrument that measured the parameter of interest shown to have reliability and validity (if necessary)?</w:t>
            </w:r>
          </w:p>
        </w:tc>
        <w:tc>
          <w:tcPr>
            <w:tcW w:w="1170" w:type="dxa"/>
            <w:tcBorders>
              <w:top w:val="single" w:sz="4" w:space="0" w:color="auto"/>
              <w:left w:val="single" w:sz="4" w:space="0" w:color="auto"/>
              <w:bottom w:val="single" w:sz="4" w:space="0" w:color="auto"/>
              <w:right w:val="single" w:sz="4" w:space="0" w:color="auto"/>
            </w:tcBorders>
            <w:hideMark/>
          </w:tcPr>
          <w:p w14:paraId="6A30B515"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Was the same mode of data collection used for all subjects?</w:t>
            </w:r>
          </w:p>
        </w:tc>
        <w:tc>
          <w:tcPr>
            <w:tcW w:w="1354" w:type="dxa"/>
            <w:tcBorders>
              <w:top w:val="single" w:sz="4" w:space="0" w:color="auto"/>
              <w:left w:val="single" w:sz="4" w:space="0" w:color="auto"/>
              <w:bottom w:val="single" w:sz="4" w:space="0" w:color="auto"/>
              <w:right w:val="single" w:sz="4" w:space="0" w:color="auto"/>
            </w:tcBorders>
            <w:hideMark/>
          </w:tcPr>
          <w:p w14:paraId="699FCFFA"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Were the numerator(s) and denominator(s) for the parameter of interest appropriate</w:t>
            </w:r>
          </w:p>
        </w:tc>
        <w:tc>
          <w:tcPr>
            <w:tcW w:w="1665" w:type="dxa"/>
            <w:tcBorders>
              <w:top w:val="single" w:sz="4" w:space="0" w:color="auto"/>
              <w:left w:val="single" w:sz="4" w:space="0" w:color="auto"/>
              <w:bottom w:val="single" w:sz="4" w:space="0" w:color="auto"/>
              <w:right w:val="single" w:sz="4" w:space="0" w:color="auto"/>
            </w:tcBorders>
            <w:hideMark/>
          </w:tcPr>
          <w:p w14:paraId="32FA927F"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Overall risk of bias</w:t>
            </w:r>
          </w:p>
        </w:tc>
      </w:tr>
      <w:tr w:rsidR="00735E13" w:rsidRPr="0086524B" w14:paraId="1856D497"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224697EB"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Abramson E, 2011</w:t>
            </w:r>
          </w:p>
        </w:tc>
        <w:tc>
          <w:tcPr>
            <w:tcW w:w="1584" w:type="dxa"/>
            <w:tcBorders>
              <w:top w:val="single" w:sz="4" w:space="0" w:color="auto"/>
              <w:left w:val="single" w:sz="4" w:space="0" w:color="auto"/>
              <w:bottom w:val="single" w:sz="4" w:space="0" w:color="auto"/>
              <w:right w:val="single" w:sz="4" w:space="0" w:color="auto"/>
            </w:tcBorders>
            <w:noWrap/>
            <w:hideMark/>
          </w:tcPr>
          <w:p w14:paraId="093EDE0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4BD95DB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6CEDB3E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761CD25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4ABDE01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714BC59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02E9661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4EFE479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0C0E21E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1537CA4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3 (low risk)</w:t>
            </w:r>
          </w:p>
        </w:tc>
      </w:tr>
      <w:tr w:rsidR="00735E13" w:rsidRPr="0086524B" w14:paraId="78530E83"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56266871"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 xml:space="preserve">Abramson E, 2013 </w:t>
            </w:r>
          </w:p>
        </w:tc>
        <w:tc>
          <w:tcPr>
            <w:tcW w:w="1584" w:type="dxa"/>
            <w:tcBorders>
              <w:top w:val="single" w:sz="4" w:space="0" w:color="auto"/>
              <w:left w:val="single" w:sz="4" w:space="0" w:color="auto"/>
              <w:bottom w:val="single" w:sz="4" w:space="0" w:color="auto"/>
              <w:right w:val="single" w:sz="4" w:space="0" w:color="auto"/>
            </w:tcBorders>
            <w:noWrap/>
            <w:hideMark/>
          </w:tcPr>
          <w:p w14:paraId="1A818AC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76B4971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0915B8D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21617F8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3465387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2A3383A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154E320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73E2DFC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61AFEB4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34E2B55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4 (moderate risk)</w:t>
            </w:r>
          </w:p>
        </w:tc>
      </w:tr>
      <w:tr w:rsidR="00735E13" w:rsidRPr="0086524B" w14:paraId="4C61FC34"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25609DDE"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 xml:space="preserve">Al Khawaldeh T, 2017 </w:t>
            </w:r>
          </w:p>
        </w:tc>
        <w:tc>
          <w:tcPr>
            <w:tcW w:w="1584" w:type="dxa"/>
            <w:tcBorders>
              <w:top w:val="single" w:sz="4" w:space="0" w:color="auto"/>
              <w:left w:val="single" w:sz="4" w:space="0" w:color="auto"/>
              <w:bottom w:val="single" w:sz="4" w:space="0" w:color="auto"/>
              <w:right w:val="single" w:sz="4" w:space="0" w:color="auto"/>
            </w:tcBorders>
            <w:noWrap/>
            <w:hideMark/>
          </w:tcPr>
          <w:p w14:paraId="0695253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22C27BF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1A1A6E4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030642F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0" w:type="dxa"/>
            <w:tcBorders>
              <w:top w:val="single" w:sz="4" w:space="0" w:color="auto"/>
              <w:left w:val="single" w:sz="4" w:space="0" w:color="auto"/>
              <w:bottom w:val="single" w:sz="4" w:space="0" w:color="auto"/>
              <w:right w:val="single" w:sz="4" w:space="0" w:color="auto"/>
            </w:tcBorders>
            <w:noWrap/>
            <w:hideMark/>
          </w:tcPr>
          <w:p w14:paraId="224399A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166B788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33FC05D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6678324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4" w:type="dxa"/>
            <w:tcBorders>
              <w:top w:val="single" w:sz="4" w:space="0" w:color="auto"/>
              <w:left w:val="single" w:sz="4" w:space="0" w:color="auto"/>
              <w:bottom w:val="single" w:sz="4" w:space="0" w:color="auto"/>
              <w:right w:val="single" w:sz="4" w:space="0" w:color="auto"/>
            </w:tcBorders>
            <w:noWrap/>
            <w:hideMark/>
          </w:tcPr>
          <w:p w14:paraId="2C2D208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5A460CB2"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4 (moderate risk)</w:t>
            </w:r>
          </w:p>
        </w:tc>
      </w:tr>
      <w:tr w:rsidR="00735E13" w:rsidRPr="0086524B" w14:paraId="2A1285D2"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6615342D"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Al-Khani S, 2013</w:t>
            </w:r>
          </w:p>
        </w:tc>
        <w:tc>
          <w:tcPr>
            <w:tcW w:w="1584" w:type="dxa"/>
            <w:tcBorders>
              <w:top w:val="single" w:sz="4" w:space="0" w:color="auto"/>
              <w:left w:val="single" w:sz="4" w:space="0" w:color="auto"/>
              <w:bottom w:val="single" w:sz="4" w:space="0" w:color="auto"/>
              <w:right w:val="single" w:sz="4" w:space="0" w:color="auto"/>
            </w:tcBorders>
            <w:noWrap/>
            <w:hideMark/>
          </w:tcPr>
          <w:p w14:paraId="567F81A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749DE5A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439" w:type="dxa"/>
            <w:tcBorders>
              <w:top w:val="single" w:sz="4" w:space="0" w:color="auto"/>
              <w:left w:val="single" w:sz="4" w:space="0" w:color="auto"/>
              <w:bottom w:val="single" w:sz="4" w:space="0" w:color="auto"/>
              <w:right w:val="single" w:sz="4" w:space="0" w:color="auto"/>
            </w:tcBorders>
            <w:noWrap/>
            <w:hideMark/>
          </w:tcPr>
          <w:p w14:paraId="6880B09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2C03077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0" w:type="dxa"/>
            <w:tcBorders>
              <w:top w:val="single" w:sz="4" w:space="0" w:color="auto"/>
              <w:left w:val="single" w:sz="4" w:space="0" w:color="auto"/>
              <w:bottom w:val="single" w:sz="4" w:space="0" w:color="auto"/>
              <w:right w:val="single" w:sz="4" w:space="0" w:color="auto"/>
            </w:tcBorders>
            <w:noWrap/>
            <w:hideMark/>
          </w:tcPr>
          <w:p w14:paraId="0B432B9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260" w:type="dxa"/>
            <w:tcBorders>
              <w:top w:val="single" w:sz="4" w:space="0" w:color="auto"/>
              <w:left w:val="single" w:sz="4" w:space="0" w:color="auto"/>
              <w:bottom w:val="single" w:sz="4" w:space="0" w:color="auto"/>
              <w:right w:val="single" w:sz="4" w:space="0" w:color="auto"/>
            </w:tcBorders>
            <w:noWrap/>
            <w:hideMark/>
          </w:tcPr>
          <w:p w14:paraId="2AEB1565"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17A0949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06722B7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4" w:type="dxa"/>
            <w:tcBorders>
              <w:top w:val="single" w:sz="4" w:space="0" w:color="auto"/>
              <w:left w:val="single" w:sz="4" w:space="0" w:color="auto"/>
              <w:bottom w:val="single" w:sz="4" w:space="0" w:color="auto"/>
              <w:right w:val="single" w:sz="4" w:space="0" w:color="auto"/>
            </w:tcBorders>
            <w:noWrap/>
            <w:hideMark/>
          </w:tcPr>
          <w:p w14:paraId="64FA6BA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65" w:type="dxa"/>
            <w:tcBorders>
              <w:top w:val="single" w:sz="4" w:space="0" w:color="auto"/>
              <w:left w:val="single" w:sz="4" w:space="0" w:color="auto"/>
              <w:bottom w:val="single" w:sz="4" w:space="0" w:color="auto"/>
              <w:right w:val="single" w:sz="4" w:space="0" w:color="auto"/>
            </w:tcBorders>
            <w:noWrap/>
            <w:hideMark/>
          </w:tcPr>
          <w:p w14:paraId="7601472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5 (moderate risk)</w:t>
            </w:r>
          </w:p>
        </w:tc>
      </w:tr>
      <w:tr w:rsidR="00735E13" w:rsidRPr="0086524B" w14:paraId="2AACA173"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23A4920C"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Assiri G, 2019</w:t>
            </w:r>
          </w:p>
        </w:tc>
        <w:tc>
          <w:tcPr>
            <w:tcW w:w="1584" w:type="dxa"/>
            <w:tcBorders>
              <w:top w:val="single" w:sz="4" w:space="0" w:color="auto"/>
              <w:left w:val="single" w:sz="4" w:space="0" w:color="auto"/>
              <w:bottom w:val="single" w:sz="4" w:space="0" w:color="auto"/>
              <w:right w:val="single" w:sz="4" w:space="0" w:color="auto"/>
            </w:tcBorders>
            <w:noWrap/>
            <w:hideMark/>
          </w:tcPr>
          <w:p w14:paraId="7B839825"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0270AFB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439" w:type="dxa"/>
            <w:tcBorders>
              <w:top w:val="single" w:sz="4" w:space="0" w:color="auto"/>
              <w:left w:val="single" w:sz="4" w:space="0" w:color="auto"/>
              <w:bottom w:val="single" w:sz="4" w:space="0" w:color="auto"/>
              <w:right w:val="single" w:sz="4" w:space="0" w:color="auto"/>
            </w:tcBorders>
            <w:noWrap/>
            <w:hideMark/>
          </w:tcPr>
          <w:p w14:paraId="3811C51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1CC2D362"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793420C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260" w:type="dxa"/>
            <w:tcBorders>
              <w:top w:val="single" w:sz="4" w:space="0" w:color="auto"/>
              <w:left w:val="single" w:sz="4" w:space="0" w:color="auto"/>
              <w:bottom w:val="single" w:sz="4" w:space="0" w:color="auto"/>
              <w:right w:val="single" w:sz="4" w:space="0" w:color="auto"/>
            </w:tcBorders>
            <w:noWrap/>
            <w:hideMark/>
          </w:tcPr>
          <w:p w14:paraId="5FDA6BC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59648F8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01E2DB4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7703E7B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65" w:type="dxa"/>
            <w:tcBorders>
              <w:top w:val="single" w:sz="4" w:space="0" w:color="auto"/>
              <w:left w:val="single" w:sz="4" w:space="0" w:color="auto"/>
              <w:bottom w:val="single" w:sz="4" w:space="0" w:color="auto"/>
              <w:right w:val="single" w:sz="4" w:space="0" w:color="auto"/>
            </w:tcBorders>
            <w:noWrap/>
            <w:hideMark/>
          </w:tcPr>
          <w:p w14:paraId="6BDD7A6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3 (low risk)</w:t>
            </w:r>
          </w:p>
        </w:tc>
      </w:tr>
      <w:tr w:rsidR="00735E13" w:rsidRPr="0086524B" w14:paraId="148807E8"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3BBA73E5"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 xml:space="preserve">Belaiche S, 2012 </w:t>
            </w:r>
          </w:p>
        </w:tc>
        <w:tc>
          <w:tcPr>
            <w:tcW w:w="1584" w:type="dxa"/>
            <w:tcBorders>
              <w:top w:val="single" w:sz="4" w:space="0" w:color="auto"/>
              <w:left w:val="single" w:sz="4" w:space="0" w:color="auto"/>
              <w:bottom w:val="single" w:sz="4" w:space="0" w:color="auto"/>
              <w:right w:val="single" w:sz="4" w:space="0" w:color="auto"/>
            </w:tcBorders>
            <w:noWrap/>
            <w:hideMark/>
          </w:tcPr>
          <w:p w14:paraId="7AFCFE1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56ACB9C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439" w:type="dxa"/>
            <w:tcBorders>
              <w:top w:val="single" w:sz="4" w:space="0" w:color="auto"/>
              <w:left w:val="single" w:sz="4" w:space="0" w:color="auto"/>
              <w:bottom w:val="single" w:sz="4" w:space="0" w:color="auto"/>
              <w:right w:val="single" w:sz="4" w:space="0" w:color="auto"/>
            </w:tcBorders>
            <w:noWrap/>
            <w:hideMark/>
          </w:tcPr>
          <w:p w14:paraId="3B5F15A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49CD864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6CA4FB8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10524A8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hideMark/>
          </w:tcPr>
          <w:p w14:paraId="4002DB4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48A2839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4" w:type="dxa"/>
            <w:tcBorders>
              <w:top w:val="single" w:sz="4" w:space="0" w:color="auto"/>
              <w:left w:val="single" w:sz="4" w:space="0" w:color="auto"/>
              <w:bottom w:val="single" w:sz="4" w:space="0" w:color="auto"/>
              <w:right w:val="single" w:sz="4" w:space="0" w:color="auto"/>
            </w:tcBorders>
            <w:noWrap/>
            <w:hideMark/>
          </w:tcPr>
          <w:p w14:paraId="1D9F011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65" w:type="dxa"/>
            <w:tcBorders>
              <w:top w:val="single" w:sz="4" w:space="0" w:color="auto"/>
              <w:left w:val="single" w:sz="4" w:space="0" w:color="auto"/>
              <w:bottom w:val="single" w:sz="4" w:space="0" w:color="auto"/>
              <w:right w:val="single" w:sz="4" w:space="0" w:color="auto"/>
            </w:tcBorders>
            <w:noWrap/>
            <w:hideMark/>
          </w:tcPr>
          <w:p w14:paraId="77F8880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3 (low risk)</w:t>
            </w:r>
          </w:p>
        </w:tc>
      </w:tr>
      <w:tr w:rsidR="00735E13" w:rsidRPr="0086524B" w14:paraId="4A8BA56E"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tcPr>
          <w:p w14:paraId="41A41723"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Bell S, 2020</w:t>
            </w:r>
          </w:p>
        </w:tc>
        <w:tc>
          <w:tcPr>
            <w:tcW w:w="1584" w:type="dxa"/>
            <w:tcBorders>
              <w:top w:val="single" w:sz="4" w:space="0" w:color="auto"/>
              <w:left w:val="single" w:sz="4" w:space="0" w:color="auto"/>
              <w:bottom w:val="single" w:sz="4" w:space="0" w:color="auto"/>
              <w:right w:val="single" w:sz="4" w:space="0" w:color="auto"/>
            </w:tcBorders>
            <w:noWrap/>
          </w:tcPr>
          <w:p w14:paraId="4F187AF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78" w:type="dxa"/>
            <w:tcBorders>
              <w:top w:val="single" w:sz="4" w:space="0" w:color="auto"/>
              <w:left w:val="single" w:sz="4" w:space="0" w:color="auto"/>
              <w:bottom w:val="single" w:sz="4" w:space="0" w:color="auto"/>
              <w:right w:val="single" w:sz="4" w:space="0" w:color="auto"/>
            </w:tcBorders>
            <w:noWrap/>
          </w:tcPr>
          <w:p w14:paraId="7932737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439" w:type="dxa"/>
            <w:tcBorders>
              <w:top w:val="single" w:sz="4" w:space="0" w:color="auto"/>
              <w:left w:val="single" w:sz="4" w:space="0" w:color="auto"/>
              <w:bottom w:val="single" w:sz="4" w:space="0" w:color="auto"/>
              <w:right w:val="single" w:sz="4" w:space="0" w:color="auto"/>
            </w:tcBorders>
            <w:noWrap/>
          </w:tcPr>
          <w:p w14:paraId="1F84108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tcPr>
          <w:p w14:paraId="287B717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tcPr>
          <w:p w14:paraId="22BC112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tcPr>
          <w:p w14:paraId="23EB1735"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tcPr>
          <w:p w14:paraId="0CE6006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tcPr>
          <w:p w14:paraId="6EAA597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tcPr>
          <w:p w14:paraId="18361EB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tcPr>
          <w:p w14:paraId="6F45243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6 (moderate risk)</w:t>
            </w:r>
          </w:p>
        </w:tc>
      </w:tr>
      <w:tr w:rsidR="00735E13" w:rsidRPr="0086524B" w14:paraId="4391CE07"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6A563736"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Bicket M, 2018</w:t>
            </w:r>
          </w:p>
        </w:tc>
        <w:tc>
          <w:tcPr>
            <w:tcW w:w="1584" w:type="dxa"/>
            <w:tcBorders>
              <w:top w:val="single" w:sz="4" w:space="0" w:color="auto"/>
              <w:left w:val="single" w:sz="4" w:space="0" w:color="auto"/>
              <w:bottom w:val="single" w:sz="4" w:space="0" w:color="auto"/>
              <w:right w:val="single" w:sz="4" w:space="0" w:color="auto"/>
            </w:tcBorders>
            <w:noWrap/>
            <w:hideMark/>
          </w:tcPr>
          <w:p w14:paraId="0891130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78" w:type="dxa"/>
            <w:tcBorders>
              <w:top w:val="single" w:sz="4" w:space="0" w:color="auto"/>
              <w:left w:val="single" w:sz="4" w:space="0" w:color="auto"/>
              <w:bottom w:val="single" w:sz="4" w:space="0" w:color="auto"/>
              <w:right w:val="single" w:sz="4" w:space="0" w:color="auto"/>
            </w:tcBorders>
            <w:noWrap/>
            <w:hideMark/>
          </w:tcPr>
          <w:p w14:paraId="4094739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1A229B6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3CB19A4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0" w:type="dxa"/>
            <w:tcBorders>
              <w:top w:val="single" w:sz="4" w:space="0" w:color="auto"/>
              <w:left w:val="single" w:sz="4" w:space="0" w:color="auto"/>
              <w:bottom w:val="single" w:sz="4" w:space="0" w:color="auto"/>
              <w:right w:val="single" w:sz="4" w:space="0" w:color="auto"/>
            </w:tcBorders>
            <w:noWrap/>
            <w:hideMark/>
          </w:tcPr>
          <w:p w14:paraId="0479B04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4B6B622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hideMark/>
          </w:tcPr>
          <w:p w14:paraId="71A0BF3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3ED48D6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7B417BF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1A3D7A8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3 (low risk)</w:t>
            </w:r>
          </w:p>
        </w:tc>
      </w:tr>
      <w:tr w:rsidR="00735E13" w:rsidRPr="0086524B" w14:paraId="3D0DD952"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4B99C599"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Carollo J, 2017</w:t>
            </w:r>
          </w:p>
        </w:tc>
        <w:tc>
          <w:tcPr>
            <w:tcW w:w="1584" w:type="dxa"/>
            <w:tcBorders>
              <w:top w:val="single" w:sz="4" w:space="0" w:color="auto"/>
              <w:left w:val="single" w:sz="4" w:space="0" w:color="auto"/>
              <w:bottom w:val="single" w:sz="4" w:space="0" w:color="auto"/>
              <w:right w:val="single" w:sz="4" w:space="0" w:color="auto"/>
            </w:tcBorders>
            <w:noWrap/>
            <w:hideMark/>
          </w:tcPr>
          <w:p w14:paraId="653E5D5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2490B05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439" w:type="dxa"/>
            <w:tcBorders>
              <w:top w:val="single" w:sz="4" w:space="0" w:color="auto"/>
              <w:left w:val="single" w:sz="4" w:space="0" w:color="auto"/>
              <w:bottom w:val="single" w:sz="4" w:space="0" w:color="auto"/>
              <w:right w:val="single" w:sz="4" w:space="0" w:color="auto"/>
            </w:tcBorders>
            <w:noWrap/>
            <w:hideMark/>
          </w:tcPr>
          <w:p w14:paraId="5DCB027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502A031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76C5793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10C860D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hideMark/>
          </w:tcPr>
          <w:p w14:paraId="7236F4F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4161573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4E5ABF2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65" w:type="dxa"/>
            <w:tcBorders>
              <w:top w:val="single" w:sz="4" w:space="0" w:color="auto"/>
              <w:left w:val="single" w:sz="4" w:space="0" w:color="auto"/>
              <w:bottom w:val="single" w:sz="4" w:space="0" w:color="auto"/>
              <w:right w:val="single" w:sz="4" w:space="0" w:color="auto"/>
            </w:tcBorders>
            <w:noWrap/>
            <w:hideMark/>
          </w:tcPr>
          <w:p w14:paraId="0A64188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4 (moderate risk)</w:t>
            </w:r>
          </w:p>
        </w:tc>
      </w:tr>
      <w:tr w:rsidR="00735E13" w:rsidRPr="0086524B" w14:paraId="6E605CFC"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5756F64E"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Dempsey J, 2017</w:t>
            </w:r>
          </w:p>
        </w:tc>
        <w:tc>
          <w:tcPr>
            <w:tcW w:w="1584" w:type="dxa"/>
            <w:tcBorders>
              <w:top w:val="single" w:sz="4" w:space="0" w:color="auto"/>
              <w:left w:val="single" w:sz="4" w:space="0" w:color="auto"/>
              <w:bottom w:val="single" w:sz="4" w:space="0" w:color="auto"/>
              <w:right w:val="single" w:sz="4" w:space="0" w:color="auto"/>
            </w:tcBorders>
            <w:noWrap/>
            <w:hideMark/>
          </w:tcPr>
          <w:p w14:paraId="3E33EE2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78" w:type="dxa"/>
            <w:tcBorders>
              <w:top w:val="single" w:sz="4" w:space="0" w:color="auto"/>
              <w:left w:val="single" w:sz="4" w:space="0" w:color="auto"/>
              <w:bottom w:val="single" w:sz="4" w:space="0" w:color="auto"/>
              <w:right w:val="single" w:sz="4" w:space="0" w:color="auto"/>
            </w:tcBorders>
            <w:noWrap/>
            <w:hideMark/>
          </w:tcPr>
          <w:p w14:paraId="6944CDA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439" w:type="dxa"/>
            <w:tcBorders>
              <w:top w:val="single" w:sz="4" w:space="0" w:color="auto"/>
              <w:left w:val="single" w:sz="4" w:space="0" w:color="auto"/>
              <w:bottom w:val="single" w:sz="4" w:space="0" w:color="auto"/>
              <w:right w:val="single" w:sz="4" w:space="0" w:color="auto"/>
            </w:tcBorders>
            <w:noWrap/>
            <w:hideMark/>
          </w:tcPr>
          <w:p w14:paraId="0F93287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1B83FCB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318243F5"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6D75DB2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5D6650F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393E2605"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2045706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65" w:type="dxa"/>
            <w:tcBorders>
              <w:top w:val="single" w:sz="4" w:space="0" w:color="auto"/>
              <w:left w:val="single" w:sz="4" w:space="0" w:color="auto"/>
              <w:bottom w:val="single" w:sz="4" w:space="0" w:color="auto"/>
              <w:right w:val="single" w:sz="4" w:space="0" w:color="auto"/>
            </w:tcBorders>
            <w:noWrap/>
            <w:hideMark/>
          </w:tcPr>
          <w:p w14:paraId="22F6BA9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5 (moderate risk)</w:t>
            </w:r>
          </w:p>
        </w:tc>
      </w:tr>
      <w:tr w:rsidR="00735E13" w:rsidRPr="0086524B" w14:paraId="7445148C"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01DC299C"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Duarte N, 2018</w:t>
            </w:r>
          </w:p>
        </w:tc>
        <w:tc>
          <w:tcPr>
            <w:tcW w:w="1584" w:type="dxa"/>
            <w:tcBorders>
              <w:top w:val="single" w:sz="4" w:space="0" w:color="auto"/>
              <w:left w:val="single" w:sz="4" w:space="0" w:color="auto"/>
              <w:bottom w:val="single" w:sz="4" w:space="0" w:color="auto"/>
              <w:right w:val="single" w:sz="4" w:space="0" w:color="auto"/>
            </w:tcBorders>
            <w:noWrap/>
            <w:hideMark/>
          </w:tcPr>
          <w:p w14:paraId="7634F51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68ABBF7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1FDCFAB2"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7B8A368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005BF92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6370E6C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7D51B22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422BD52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269C734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5AFE991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4 (moderate risk)</w:t>
            </w:r>
          </w:p>
        </w:tc>
      </w:tr>
      <w:tr w:rsidR="00735E13" w:rsidRPr="0086524B" w14:paraId="3BC59E89"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19323A58"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Hernández S, 2018</w:t>
            </w:r>
          </w:p>
        </w:tc>
        <w:tc>
          <w:tcPr>
            <w:tcW w:w="1584" w:type="dxa"/>
            <w:tcBorders>
              <w:top w:val="single" w:sz="4" w:space="0" w:color="auto"/>
              <w:left w:val="single" w:sz="4" w:space="0" w:color="auto"/>
              <w:bottom w:val="single" w:sz="4" w:space="0" w:color="auto"/>
              <w:right w:val="single" w:sz="4" w:space="0" w:color="auto"/>
            </w:tcBorders>
            <w:noWrap/>
            <w:hideMark/>
          </w:tcPr>
          <w:p w14:paraId="36F502A2"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7072D152"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439" w:type="dxa"/>
            <w:tcBorders>
              <w:top w:val="single" w:sz="4" w:space="0" w:color="auto"/>
              <w:left w:val="single" w:sz="4" w:space="0" w:color="auto"/>
              <w:bottom w:val="single" w:sz="4" w:space="0" w:color="auto"/>
              <w:right w:val="single" w:sz="4" w:space="0" w:color="auto"/>
            </w:tcBorders>
            <w:noWrap/>
            <w:hideMark/>
          </w:tcPr>
          <w:p w14:paraId="7FD53A2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32243A9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0" w:type="dxa"/>
            <w:tcBorders>
              <w:top w:val="single" w:sz="4" w:space="0" w:color="auto"/>
              <w:left w:val="single" w:sz="4" w:space="0" w:color="auto"/>
              <w:bottom w:val="single" w:sz="4" w:space="0" w:color="auto"/>
              <w:right w:val="single" w:sz="4" w:space="0" w:color="auto"/>
            </w:tcBorders>
            <w:noWrap/>
            <w:hideMark/>
          </w:tcPr>
          <w:p w14:paraId="32E87FA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1C7630D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hideMark/>
          </w:tcPr>
          <w:p w14:paraId="7D3C75A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137A87C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5EB867F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65" w:type="dxa"/>
            <w:tcBorders>
              <w:top w:val="single" w:sz="4" w:space="0" w:color="auto"/>
              <w:left w:val="single" w:sz="4" w:space="0" w:color="auto"/>
              <w:bottom w:val="single" w:sz="4" w:space="0" w:color="auto"/>
              <w:right w:val="single" w:sz="4" w:space="0" w:color="auto"/>
            </w:tcBorders>
            <w:noWrap/>
            <w:hideMark/>
          </w:tcPr>
          <w:p w14:paraId="637933D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4 (moderate risk)</w:t>
            </w:r>
          </w:p>
        </w:tc>
      </w:tr>
      <w:tr w:rsidR="00735E13" w:rsidRPr="0086524B" w14:paraId="56A293C1"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275FBDCB"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lastRenderedPageBreak/>
              <w:t>Howard M, 2016</w:t>
            </w:r>
          </w:p>
        </w:tc>
        <w:tc>
          <w:tcPr>
            <w:tcW w:w="1584" w:type="dxa"/>
            <w:tcBorders>
              <w:top w:val="single" w:sz="4" w:space="0" w:color="auto"/>
              <w:left w:val="single" w:sz="4" w:space="0" w:color="auto"/>
              <w:bottom w:val="single" w:sz="4" w:space="0" w:color="auto"/>
              <w:right w:val="single" w:sz="4" w:space="0" w:color="auto"/>
            </w:tcBorders>
            <w:noWrap/>
            <w:hideMark/>
          </w:tcPr>
          <w:p w14:paraId="1F00EE4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01C242A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1484F71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4C07D3B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63522AA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623C6A8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42D030B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47E9844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64840FD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3960EE4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4 (moderate risk)</w:t>
            </w:r>
          </w:p>
        </w:tc>
      </w:tr>
      <w:tr w:rsidR="00735E13" w:rsidRPr="0086524B" w14:paraId="35818F01"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360B2B28"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Kim G, 2016</w:t>
            </w:r>
          </w:p>
        </w:tc>
        <w:tc>
          <w:tcPr>
            <w:tcW w:w="1584" w:type="dxa"/>
            <w:tcBorders>
              <w:top w:val="single" w:sz="4" w:space="0" w:color="auto"/>
              <w:left w:val="single" w:sz="4" w:space="0" w:color="auto"/>
              <w:bottom w:val="single" w:sz="4" w:space="0" w:color="auto"/>
              <w:right w:val="single" w:sz="4" w:space="0" w:color="auto"/>
            </w:tcBorders>
            <w:noWrap/>
            <w:hideMark/>
          </w:tcPr>
          <w:p w14:paraId="6583616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7C3D0F1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439" w:type="dxa"/>
            <w:tcBorders>
              <w:top w:val="single" w:sz="4" w:space="0" w:color="auto"/>
              <w:left w:val="single" w:sz="4" w:space="0" w:color="auto"/>
              <w:bottom w:val="single" w:sz="4" w:space="0" w:color="auto"/>
              <w:right w:val="single" w:sz="4" w:space="0" w:color="auto"/>
            </w:tcBorders>
            <w:noWrap/>
            <w:hideMark/>
          </w:tcPr>
          <w:p w14:paraId="4D78378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17F5FD0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52F97D2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260" w:type="dxa"/>
            <w:tcBorders>
              <w:top w:val="single" w:sz="4" w:space="0" w:color="auto"/>
              <w:left w:val="single" w:sz="4" w:space="0" w:color="auto"/>
              <w:bottom w:val="single" w:sz="4" w:space="0" w:color="auto"/>
              <w:right w:val="single" w:sz="4" w:space="0" w:color="auto"/>
            </w:tcBorders>
            <w:noWrap/>
            <w:hideMark/>
          </w:tcPr>
          <w:p w14:paraId="4842A85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4041F34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3D1E5EB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5124FC6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12F3FEC5"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2 (low risk)</w:t>
            </w:r>
          </w:p>
        </w:tc>
      </w:tr>
      <w:tr w:rsidR="00735E13" w:rsidRPr="0086524B" w14:paraId="4C3E74D7"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4657DF1F"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Lee P, 2016</w:t>
            </w:r>
          </w:p>
        </w:tc>
        <w:tc>
          <w:tcPr>
            <w:tcW w:w="1584" w:type="dxa"/>
            <w:tcBorders>
              <w:top w:val="single" w:sz="4" w:space="0" w:color="auto"/>
              <w:left w:val="single" w:sz="4" w:space="0" w:color="auto"/>
              <w:bottom w:val="single" w:sz="4" w:space="0" w:color="auto"/>
              <w:right w:val="single" w:sz="4" w:space="0" w:color="auto"/>
            </w:tcBorders>
            <w:noWrap/>
            <w:hideMark/>
          </w:tcPr>
          <w:p w14:paraId="3417863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05850A02"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5BDDA54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611A5142"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49AC413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704EDEE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1CCB254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3862064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2398E5A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3BAF3985"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5 (moderate risk)</w:t>
            </w:r>
          </w:p>
        </w:tc>
      </w:tr>
      <w:tr w:rsidR="00735E13" w:rsidRPr="0086524B" w14:paraId="4FE54FC8"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13152790"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 xml:space="preserve">Niriayo Y, 2018 </w:t>
            </w:r>
          </w:p>
        </w:tc>
        <w:tc>
          <w:tcPr>
            <w:tcW w:w="1584" w:type="dxa"/>
            <w:tcBorders>
              <w:top w:val="single" w:sz="4" w:space="0" w:color="auto"/>
              <w:left w:val="single" w:sz="4" w:space="0" w:color="auto"/>
              <w:bottom w:val="single" w:sz="4" w:space="0" w:color="auto"/>
              <w:right w:val="single" w:sz="4" w:space="0" w:color="auto"/>
            </w:tcBorders>
            <w:noWrap/>
            <w:hideMark/>
          </w:tcPr>
          <w:p w14:paraId="2D9B6F6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3F0E26E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439" w:type="dxa"/>
            <w:tcBorders>
              <w:top w:val="single" w:sz="4" w:space="0" w:color="auto"/>
              <w:left w:val="single" w:sz="4" w:space="0" w:color="auto"/>
              <w:bottom w:val="single" w:sz="4" w:space="0" w:color="auto"/>
              <w:right w:val="single" w:sz="4" w:space="0" w:color="auto"/>
            </w:tcBorders>
            <w:noWrap/>
            <w:hideMark/>
          </w:tcPr>
          <w:p w14:paraId="1CF6326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2BF8306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0" w:type="dxa"/>
            <w:tcBorders>
              <w:top w:val="single" w:sz="4" w:space="0" w:color="auto"/>
              <w:left w:val="single" w:sz="4" w:space="0" w:color="auto"/>
              <w:bottom w:val="single" w:sz="4" w:space="0" w:color="auto"/>
              <w:right w:val="single" w:sz="4" w:space="0" w:color="auto"/>
            </w:tcBorders>
            <w:noWrap/>
            <w:hideMark/>
          </w:tcPr>
          <w:p w14:paraId="6B66700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53E3CF3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6591971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1D5E684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49D46A7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7504B01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5 (moderate risk)</w:t>
            </w:r>
          </w:p>
        </w:tc>
      </w:tr>
      <w:tr w:rsidR="00735E13" w:rsidRPr="0086524B" w14:paraId="73303957"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2B328040"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Ojeh V, 2015</w:t>
            </w:r>
          </w:p>
        </w:tc>
        <w:tc>
          <w:tcPr>
            <w:tcW w:w="1584" w:type="dxa"/>
            <w:tcBorders>
              <w:top w:val="single" w:sz="4" w:space="0" w:color="auto"/>
              <w:left w:val="single" w:sz="4" w:space="0" w:color="auto"/>
              <w:bottom w:val="single" w:sz="4" w:space="0" w:color="auto"/>
              <w:right w:val="single" w:sz="4" w:space="0" w:color="auto"/>
            </w:tcBorders>
            <w:noWrap/>
            <w:hideMark/>
          </w:tcPr>
          <w:p w14:paraId="4B6EF3D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7A8E2C3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3B4420E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3FAE80B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248C43D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34148A9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20" w:type="dxa"/>
            <w:tcBorders>
              <w:top w:val="single" w:sz="4" w:space="0" w:color="auto"/>
              <w:left w:val="single" w:sz="4" w:space="0" w:color="auto"/>
              <w:bottom w:val="single" w:sz="4" w:space="0" w:color="auto"/>
              <w:right w:val="single" w:sz="4" w:space="0" w:color="auto"/>
            </w:tcBorders>
            <w:noWrap/>
            <w:hideMark/>
          </w:tcPr>
          <w:p w14:paraId="1316A99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6775BA2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2A74883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539AC2C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7 (high risk)</w:t>
            </w:r>
          </w:p>
        </w:tc>
      </w:tr>
      <w:tr w:rsidR="00735E13" w:rsidRPr="0086524B" w14:paraId="2D78D091"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1C14BD03"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Prasad D, 2020</w:t>
            </w:r>
          </w:p>
        </w:tc>
        <w:tc>
          <w:tcPr>
            <w:tcW w:w="1584" w:type="dxa"/>
            <w:tcBorders>
              <w:top w:val="single" w:sz="4" w:space="0" w:color="auto"/>
              <w:left w:val="single" w:sz="4" w:space="0" w:color="auto"/>
              <w:bottom w:val="single" w:sz="4" w:space="0" w:color="auto"/>
              <w:right w:val="single" w:sz="4" w:space="0" w:color="auto"/>
            </w:tcBorders>
            <w:noWrap/>
            <w:hideMark/>
          </w:tcPr>
          <w:p w14:paraId="62A3E00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43D722E5"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2F6292A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73A17E0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156D3042"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18E119B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hideMark/>
          </w:tcPr>
          <w:p w14:paraId="0EA51F4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6FACF845"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59BD725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53D8566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7 (high risk)</w:t>
            </w:r>
          </w:p>
        </w:tc>
      </w:tr>
      <w:tr w:rsidR="00735E13" w:rsidRPr="0086524B" w14:paraId="783A085D"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0EE62844"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Priya K, 2017</w:t>
            </w:r>
          </w:p>
        </w:tc>
        <w:tc>
          <w:tcPr>
            <w:tcW w:w="1584" w:type="dxa"/>
            <w:tcBorders>
              <w:top w:val="single" w:sz="4" w:space="0" w:color="auto"/>
              <w:left w:val="single" w:sz="4" w:space="0" w:color="auto"/>
              <w:bottom w:val="single" w:sz="4" w:space="0" w:color="auto"/>
              <w:right w:val="single" w:sz="4" w:space="0" w:color="auto"/>
            </w:tcBorders>
            <w:noWrap/>
            <w:hideMark/>
          </w:tcPr>
          <w:p w14:paraId="2EA3672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4DB95B0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5AE6BC5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60D34AE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0" w:type="dxa"/>
            <w:tcBorders>
              <w:top w:val="single" w:sz="4" w:space="0" w:color="auto"/>
              <w:left w:val="single" w:sz="4" w:space="0" w:color="auto"/>
              <w:bottom w:val="single" w:sz="4" w:space="0" w:color="auto"/>
              <w:right w:val="single" w:sz="4" w:space="0" w:color="auto"/>
            </w:tcBorders>
            <w:noWrap/>
            <w:hideMark/>
          </w:tcPr>
          <w:p w14:paraId="24EDC48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509960D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hideMark/>
          </w:tcPr>
          <w:p w14:paraId="2725AE6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6B9FFD5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4" w:type="dxa"/>
            <w:tcBorders>
              <w:top w:val="single" w:sz="4" w:space="0" w:color="auto"/>
              <w:left w:val="single" w:sz="4" w:space="0" w:color="auto"/>
              <w:bottom w:val="single" w:sz="4" w:space="0" w:color="auto"/>
              <w:right w:val="single" w:sz="4" w:space="0" w:color="auto"/>
            </w:tcBorders>
            <w:noWrap/>
            <w:hideMark/>
          </w:tcPr>
          <w:p w14:paraId="73C678E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65" w:type="dxa"/>
            <w:tcBorders>
              <w:top w:val="single" w:sz="4" w:space="0" w:color="auto"/>
              <w:left w:val="single" w:sz="4" w:space="0" w:color="auto"/>
              <w:bottom w:val="single" w:sz="4" w:space="0" w:color="auto"/>
              <w:right w:val="single" w:sz="4" w:space="0" w:color="auto"/>
            </w:tcBorders>
            <w:noWrap/>
            <w:hideMark/>
          </w:tcPr>
          <w:p w14:paraId="2018F34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7 (high risk)</w:t>
            </w:r>
          </w:p>
        </w:tc>
      </w:tr>
      <w:tr w:rsidR="00735E13" w:rsidRPr="0086524B" w14:paraId="43262D8C"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655FD79C"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Rouhani M, 2018</w:t>
            </w:r>
          </w:p>
        </w:tc>
        <w:tc>
          <w:tcPr>
            <w:tcW w:w="1584" w:type="dxa"/>
            <w:tcBorders>
              <w:top w:val="single" w:sz="4" w:space="0" w:color="auto"/>
              <w:left w:val="single" w:sz="4" w:space="0" w:color="auto"/>
              <w:bottom w:val="single" w:sz="4" w:space="0" w:color="auto"/>
              <w:right w:val="single" w:sz="4" w:space="0" w:color="auto"/>
            </w:tcBorders>
            <w:noWrap/>
            <w:hideMark/>
          </w:tcPr>
          <w:p w14:paraId="28DF776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1FF399C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5F605E4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0F0EDAD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47ED166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6D8274F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hideMark/>
          </w:tcPr>
          <w:p w14:paraId="40CF17D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63D2EF7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2E39B04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762D4E6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7 (high risk)</w:t>
            </w:r>
          </w:p>
        </w:tc>
      </w:tr>
      <w:tr w:rsidR="00735E13" w:rsidRPr="0086524B" w14:paraId="18D7D5C8"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2AAE2336"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Shaikh A, 2017</w:t>
            </w:r>
          </w:p>
        </w:tc>
        <w:tc>
          <w:tcPr>
            <w:tcW w:w="1584" w:type="dxa"/>
            <w:tcBorders>
              <w:top w:val="single" w:sz="4" w:space="0" w:color="auto"/>
              <w:left w:val="single" w:sz="4" w:space="0" w:color="auto"/>
              <w:bottom w:val="single" w:sz="4" w:space="0" w:color="auto"/>
              <w:right w:val="single" w:sz="4" w:space="0" w:color="auto"/>
            </w:tcBorders>
            <w:noWrap/>
            <w:hideMark/>
          </w:tcPr>
          <w:p w14:paraId="75898FCD"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395EACB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00151BCA"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44D7BB0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232F8AB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71E936F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hideMark/>
          </w:tcPr>
          <w:p w14:paraId="1AED98B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2807696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3F62BF7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65" w:type="dxa"/>
            <w:tcBorders>
              <w:top w:val="single" w:sz="4" w:space="0" w:color="auto"/>
              <w:left w:val="single" w:sz="4" w:space="0" w:color="auto"/>
              <w:bottom w:val="single" w:sz="4" w:space="0" w:color="auto"/>
              <w:right w:val="single" w:sz="4" w:space="0" w:color="auto"/>
            </w:tcBorders>
            <w:noWrap/>
            <w:hideMark/>
          </w:tcPr>
          <w:p w14:paraId="4A57795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4 (moderate risk)</w:t>
            </w:r>
          </w:p>
        </w:tc>
      </w:tr>
      <w:tr w:rsidR="00735E13" w:rsidRPr="0086524B" w14:paraId="2E25CAB3"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2B3109D6"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Shakuntala B, 2019</w:t>
            </w:r>
          </w:p>
        </w:tc>
        <w:tc>
          <w:tcPr>
            <w:tcW w:w="1584" w:type="dxa"/>
            <w:tcBorders>
              <w:top w:val="single" w:sz="4" w:space="0" w:color="auto"/>
              <w:left w:val="single" w:sz="4" w:space="0" w:color="auto"/>
              <w:bottom w:val="single" w:sz="4" w:space="0" w:color="auto"/>
              <w:right w:val="single" w:sz="4" w:space="0" w:color="auto"/>
            </w:tcBorders>
            <w:noWrap/>
            <w:hideMark/>
          </w:tcPr>
          <w:p w14:paraId="135328B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784DC36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5A4D4457"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6143B13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7CF2959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0161E9C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hideMark/>
          </w:tcPr>
          <w:p w14:paraId="245206A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79D61792"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4" w:type="dxa"/>
            <w:tcBorders>
              <w:top w:val="single" w:sz="4" w:space="0" w:color="auto"/>
              <w:left w:val="single" w:sz="4" w:space="0" w:color="auto"/>
              <w:bottom w:val="single" w:sz="4" w:space="0" w:color="auto"/>
              <w:right w:val="single" w:sz="4" w:space="0" w:color="auto"/>
            </w:tcBorders>
            <w:noWrap/>
            <w:hideMark/>
          </w:tcPr>
          <w:p w14:paraId="25533EC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665" w:type="dxa"/>
            <w:tcBorders>
              <w:top w:val="single" w:sz="4" w:space="0" w:color="auto"/>
              <w:left w:val="single" w:sz="4" w:space="0" w:color="auto"/>
              <w:bottom w:val="single" w:sz="4" w:space="0" w:color="auto"/>
              <w:right w:val="single" w:sz="4" w:space="0" w:color="auto"/>
            </w:tcBorders>
            <w:noWrap/>
            <w:hideMark/>
          </w:tcPr>
          <w:p w14:paraId="059B33F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9 (high risk)</w:t>
            </w:r>
          </w:p>
        </w:tc>
      </w:tr>
      <w:tr w:rsidR="00735E13" w:rsidRPr="0086524B" w14:paraId="6DE1AD94"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7ADDF670"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Shrestha R, 2019</w:t>
            </w:r>
          </w:p>
        </w:tc>
        <w:tc>
          <w:tcPr>
            <w:tcW w:w="1584" w:type="dxa"/>
            <w:tcBorders>
              <w:top w:val="single" w:sz="4" w:space="0" w:color="auto"/>
              <w:left w:val="single" w:sz="4" w:space="0" w:color="auto"/>
              <w:bottom w:val="single" w:sz="4" w:space="0" w:color="auto"/>
              <w:right w:val="single" w:sz="4" w:space="0" w:color="auto"/>
            </w:tcBorders>
            <w:noWrap/>
            <w:hideMark/>
          </w:tcPr>
          <w:p w14:paraId="3044167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3F1F46D3"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439" w:type="dxa"/>
            <w:tcBorders>
              <w:top w:val="single" w:sz="4" w:space="0" w:color="auto"/>
              <w:left w:val="single" w:sz="4" w:space="0" w:color="auto"/>
              <w:bottom w:val="single" w:sz="4" w:space="0" w:color="auto"/>
              <w:right w:val="single" w:sz="4" w:space="0" w:color="auto"/>
            </w:tcBorders>
            <w:noWrap/>
            <w:hideMark/>
          </w:tcPr>
          <w:p w14:paraId="2DECD3D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170" w:type="dxa"/>
            <w:tcBorders>
              <w:top w:val="single" w:sz="4" w:space="0" w:color="auto"/>
              <w:left w:val="single" w:sz="4" w:space="0" w:color="auto"/>
              <w:bottom w:val="single" w:sz="4" w:space="0" w:color="auto"/>
              <w:right w:val="single" w:sz="4" w:space="0" w:color="auto"/>
            </w:tcBorders>
            <w:noWrap/>
            <w:hideMark/>
          </w:tcPr>
          <w:p w14:paraId="718781A5"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0" w:type="dxa"/>
            <w:tcBorders>
              <w:top w:val="single" w:sz="4" w:space="0" w:color="auto"/>
              <w:left w:val="single" w:sz="4" w:space="0" w:color="auto"/>
              <w:bottom w:val="single" w:sz="4" w:space="0" w:color="auto"/>
              <w:right w:val="single" w:sz="4" w:space="0" w:color="auto"/>
            </w:tcBorders>
            <w:noWrap/>
            <w:hideMark/>
          </w:tcPr>
          <w:p w14:paraId="76858D0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260" w:type="dxa"/>
            <w:tcBorders>
              <w:top w:val="single" w:sz="4" w:space="0" w:color="auto"/>
              <w:left w:val="single" w:sz="4" w:space="0" w:color="auto"/>
              <w:bottom w:val="single" w:sz="4" w:space="0" w:color="auto"/>
              <w:right w:val="single" w:sz="4" w:space="0" w:color="auto"/>
            </w:tcBorders>
            <w:noWrap/>
            <w:hideMark/>
          </w:tcPr>
          <w:p w14:paraId="7C802992"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hideMark/>
          </w:tcPr>
          <w:p w14:paraId="5BC7B2C2"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1721ABE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Yes</w:t>
            </w:r>
          </w:p>
        </w:tc>
        <w:tc>
          <w:tcPr>
            <w:tcW w:w="1354" w:type="dxa"/>
            <w:tcBorders>
              <w:top w:val="single" w:sz="4" w:space="0" w:color="auto"/>
              <w:left w:val="single" w:sz="4" w:space="0" w:color="auto"/>
              <w:bottom w:val="single" w:sz="4" w:space="0" w:color="auto"/>
              <w:right w:val="single" w:sz="4" w:space="0" w:color="auto"/>
            </w:tcBorders>
            <w:noWrap/>
            <w:hideMark/>
          </w:tcPr>
          <w:p w14:paraId="01CC4DD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65" w:type="dxa"/>
            <w:tcBorders>
              <w:top w:val="single" w:sz="4" w:space="0" w:color="auto"/>
              <w:left w:val="single" w:sz="4" w:space="0" w:color="auto"/>
              <w:bottom w:val="single" w:sz="4" w:space="0" w:color="auto"/>
              <w:right w:val="single" w:sz="4" w:space="0" w:color="auto"/>
            </w:tcBorders>
            <w:noWrap/>
            <w:hideMark/>
          </w:tcPr>
          <w:p w14:paraId="15D37FFC"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3 (low risk)</w:t>
            </w:r>
          </w:p>
        </w:tc>
      </w:tr>
      <w:tr w:rsidR="00735E13" w:rsidRPr="0086524B" w14:paraId="508C3B78" w14:textId="77777777" w:rsidTr="00B3290B">
        <w:trPr>
          <w:trHeight w:val="290"/>
        </w:trPr>
        <w:tc>
          <w:tcPr>
            <w:tcW w:w="1355" w:type="dxa"/>
            <w:tcBorders>
              <w:top w:val="single" w:sz="4" w:space="0" w:color="auto"/>
              <w:left w:val="single" w:sz="4" w:space="0" w:color="auto"/>
              <w:bottom w:val="single" w:sz="4" w:space="0" w:color="auto"/>
              <w:right w:val="single" w:sz="4" w:space="0" w:color="auto"/>
            </w:tcBorders>
            <w:noWrap/>
            <w:hideMark/>
          </w:tcPr>
          <w:p w14:paraId="05CCFF1B" w14:textId="77777777" w:rsidR="00735E13" w:rsidRPr="0086524B" w:rsidRDefault="00735E13" w:rsidP="00735E13">
            <w:pPr>
              <w:rPr>
                <w:rFonts w:asciiTheme="majorBidi" w:eastAsia="Times New Roman" w:hAnsiTheme="majorBidi" w:cstheme="majorBidi"/>
                <w:b/>
                <w:bCs/>
                <w:color w:val="000000"/>
                <w:sz w:val="20"/>
                <w:szCs w:val="20"/>
              </w:rPr>
            </w:pPr>
            <w:r w:rsidRPr="0086524B">
              <w:rPr>
                <w:rFonts w:asciiTheme="majorBidi" w:eastAsia="Times New Roman" w:hAnsiTheme="majorBidi" w:cstheme="majorBidi"/>
                <w:b/>
                <w:bCs/>
                <w:color w:val="000000"/>
                <w:sz w:val="20"/>
                <w:szCs w:val="20"/>
              </w:rPr>
              <w:t>Thakur H, 2013</w:t>
            </w:r>
          </w:p>
        </w:tc>
        <w:tc>
          <w:tcPr>
            <w:tcW w:w="1584" w:type="dxa"/>
            <w:tcBorders>
              <w:top w:val="single" w:sz="4" w:space="0" w:color="auto"/>
              <w:left w:val="single" w:sz="4" w:space="0" w:color="auto"/>
              <w:bottom w:val="single" w:sz="4" w:space="0" w:color="auto"/>
              <w:right w:val="single" w:sz="4" w:space="0" w:color="auto"/>
            </w:tcBorders>
            <w:noWrap/>
            <w:hideMark/>
          </w:tcPr>
          <w:p w14:paraId="2463577F"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78" w:type="dxa"/>
            <w:tcBorders>
              <w:top w:val="single" w:sz="4" w:space="0" w:color="auto"/>
              <w:left w:val="single" w:sz="4" w:space="0" w:color="auto"/>
              <w:bottom w:val="single" w:sz="4" w:space="0" w:color="auto"/>
              <w:right w:val="single" w:sz="4" w:space="0" w:color="auto"/>
            </w:tcBorders>
            <w:noWrap/>
            <w:hideMark/>
          </w:tcPr>
          <w:p w14:paraId="12206ED1"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439" w:type="dxa"/>
            <w:tcBorders>
              <w:top w:val="single" w:sz="4" w:space="0" w:color="auto"/>
              <w:left w:val="single" w:sz="4" w:space="0" w:color="auto"/>
              <w:bottom w:val="single" w:sz="4" w:space="0" w:color="auto"/>
              <w:right w:val="single" w:sz="4" w:space="0" w:color="auto"/>
            </w:tcBorders>
            <w:noWrap/>
            <w:hideMark/>
          </w:tcPr>
          <w:p w14:paraId="01480CF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442511D4"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0" w:type="dxa"/>
            <w:tcBorders>
              <w:top w:val="single" w:sz="4" w:space="0" w:color="auto"/>
              <w:left w:val="single" w:sz="4" w:space="0" w:color="auto"/>
              <w:bottom w:val="single" w:sz="4" w:space="0" w:color="auto"/>
              <w:right w:val="single" w:sz="4" w:space="0" w:color="auto"/>
            </w:tcBorders>
            <w:noWrap/>
            <w:hideMark/>
          </w:tcPr>
          <w:p w14:paraId="5D29C629"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260" w:type="dxa"/>
            <w:tcBorders>
              <w:top w:val="single" w:sz="4" w:space="0" w:color="auto"/>
              <w:left w:val="single" w:sz="4" w:space="0" w:color="auto"/>
              <w:bottom w:val="single" w:sz="4" w:space="0" w:color="auto"/>
              <w:right w:val="single" w:sz="4" w:space="0" w:color="auto"/>
            </w:tcBorders>
            <w:noWrap/>
            <w:hideMark/>
          </w:tcPr>
          <w:p w14:paraId="26A3F786"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20" w:type="dxa"/>
            <w:tcBorders>
              <w:top w:val="single" w:sz="4" w:space="0" w:color="auto"/>
              <w:left w:val="single" w:sz="4" w:space="0" w:color="auto"/>
              <w:bottom w:val="single" w:sz="4" w:space="0" w:color="auto"/>
              <w:right w:val="single" w:sz="4" w:space="0" w:color="auto"/>
            </w:tcBorders>
            <w:noWrap/>
            <w:hideMark/>
          </w:tcPr>
          <w:p w14:paraId="7B5BA758"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170" w:type="dxa"/>
            <w:tcBorders>
              <w:top w:val="single" w:sz="4" w:space="0" w:color="auto"/>
              <w:left w:val="single" w:sz="4" w:space="0" w:color="auto"/>
              <w:bottom w:val="single" w:sz="4" w:space="0" w:color="auto"/>
              <w:right w:val="single" w:sz="4" w:space="0" w:color="auto"/>
            </w:tcBorders>
            <w:noWrap/>
            <w:hideMark/>
          </w:tcPr>
          <w:p w14:paraId="062FC8BE"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354" w:type="dxa"/>
            <w:tcBorders>
              <w:top w:val="single" w:sz="4" w:space="0" w:color="auto"/>
              <w:left w:val="single" w:sz="4" w:space="0" w:color="auto"/>
              <w:bottom w:val="single" w:sz="4" w:space="0" w:color="auto"/>
              <w:right w:val="single" w:sz="4" w:space="0" w:color="auto"/>
            </w:tcBorders>
            <w:noWrap/>
            <w:hideMark/>
          </w:tcPr>
          <w:p w14:paraId="7234D88B"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No</w:t>
            </w:r>
          </w:p>
        </w:tc>
        <w:tc>
          <w:tcPr>
            <w:tcW w:w="1665" w:type="dxa"/>
            <w:tcBorders>
              <w:top w:val="single" w:sz="4" w:space="0" w:color="auto"/>
              <w:left w:val="single" w:sz="4" w:space="0" w:color="auto"/>
              <w:bottom w:val="single" w:sz="4" w:space="0" w:color="auto"/>
              <w:right w:val="single" w:sz="4" w:space="0" w:color="auto"/>
            </w:tcBorders>
            <w:noWrap/>
            <w:hideMark/>
          </w:tcPr>
          <w:p w14:paraId="70643D30" w14:textId="77777777" w:rsidR="00735E13" w:rsidRPr="0086524B" w:rsidRDefault="00735E13" w:rsidP="00735E13">
            <w:pPr>
              <w:jc w:val="center"/>
              <w:rPr>
                <w:rFonts w:asciiTheme="majorBidi" w:eastAsia="Times New Roman" w:hAnsiTheme="majorBidi" w:cstheme="majorBidi"/>
                <w:color w:val="000000"/>
                <w:sz w:val="20"/>
                <w:szCs w:val="20"/>
              </w:rPr>
            </w:pPr>
            <w:r w:rsidRPr="0086524B">
              <w:rPr>
                <w:rFonts w:asciiTheme="majorBidi" w:eastAsia="Times New Roman" w:hAnsiTheme="majorBidi" w:cstheme="majorBidi"/>
                <w:color w:val="000000"/>
                <w:sz w:val="20"/>
                <w:szCs w:val="20"/>
              </w:rPr>
              <w:t>6 (moderate risk)</w:t>
            </w:r>
          </w:p>
        </w:tc>
      </w:tr>
      <w:tr w:rsidR="00735E13" w:rsidRPr="0086524B" w14:paraId="54E598FE" w14:textId="77777777" w:rsidTr="00B3290B">
        <w:trPr>
          <w:trHeight w:val="341"/>
        </w:trPr>
        <w:tc>
          <w:tcPr>
            <w:tcW w:w="15345" w:type="dxa"/>
            <w:gridSpan w:val="11"/>
            <w:tcBorders>
              <w:top w:val="single" w:sz="4" w:space="0" w:color="auto"/>
              <w:left w:val="single" w:sz="4" w:space="0" w:color="auto"/>
              <w:bottom w:val="single" w:sz="4" w:space="0" w:color="auto"/>
              <w:right w:val="single" w:sz="4" w:space="0" w:color="auto"/>
            </w:tcBorders>
            <w:noWrap/>
          </w:tcPr>
          <w:p w14:paraId="2ED24D20" w14:textId="77777777" w:rsidR="00735E13" w:rsidRPr="0086524B" w:rsidRDefault="00735E13" w:rsidP="00735E13">
            <w:pPr>
              <w:jc w:val="both"/>
              <w:rPr>
                <w:rFonts w:asciiTheme="majorBidi" w:hAnsiTheme="majorBidi" w:cstheme="majorBidi"/>
                <w:sz w:val="20"/>
                <w:szCs w:val="20"/>
              </w:rPr>
            </w:pPr>
            <w:r w:rsidRPr="0086524B">
              <w:rPr>
                <w:rFonts w:asciiTheme="majorBidi" w:hAnsiTheme="majorBidi" w:cstheme="majorBidi"/>
                <w:sz w:val="20"/>
                <w:szCs w:val="20"/>
              </w:rPr>
              <w:t>Low risk of bias: final score 0-3 points; moderate risk of bias: final score 4-6; high risk of bias: final score 7-9</w:t>
            </w:r>
          </w:p>
        </w:tc>
      </w:tr>
    </w:tbl>
    <w:p w14:paraId="265C4AD9" w14:textId="0EAC5848" w:rsidR="00287A72" w:rsidRPr="0086524B" w:rsidRDefault="00287A72">
      <w:pPr>
        <w:rPr>
          <w:rFonts w:asciiTheme="majorBidi" w:hAnsiTheme="majorBidi" w:cstheme="majorBidi"/>
          <w:sz w:val="20"/>
          <w:szCs w:val="20"/>
        </w:rPr>
      </w:pPr>
    </w:p>
    <w:p w14:paraId="04C38A04" w14:textId="6B7E902C" w:rsidR="00D71A9E" w:rsidRPr="0086524B" w:rsidRDefault="00D71A9E">
      <w:pPr>
        <w:rPr>
          <w:rFonts w:asciiTheme="majorBidi" w:hAnsiTheme="majorBidi" w:cstheme="majorBidi"/>
          <w:sz w:val="20"/>
          <w:szCs w:val="20"/>
        </w:rPr>
      </w:pPr>
    </w:p>
    <w:p w14:paraId="716DD2E8" w14:textId="1D40EFEA" w:rsidR="00735E13" w:rsidRPr="0086524B" w:rsidRDefault="00735E13">
      <w:pPr>
        <w:rPr>
          <w:rFonts w:asciiTheme="majorBidi" w:hAnsiTheme="majorBidi" w:cstheme="majorBidi"/>
          <w:sz w:val="20"/>
          <w:szCs w:val="20"/>
        </w:rPr>
      </w:pPr>
    </w:p>
    <w:p w14:paraId="5F40B18F" w14:textId="4FE894B6" w:rsidR="00735E13" w:rsidRPr="0086524B" w:rsidRDefault="00735E13">
      <w:pPr>
        <w:rPr>
          <w:rFonts w:asciiTheme="majorBidi" w:hAnsiTheme="majorBidi" w:cstheme="majorBidi"/>
          <w:sz w:val="20"/>
          <w:szCs w:val="20"/>
        </w:rPr>
      </w:pPr>
    </w:p>
    <w:p w14:paraId="289DFB30" w14:textId="4FBA1796" w:rsidR="00735E13" w:rsidRPr="0086524B" w:rsidRDefault="00735E13">
      <w:pPr>
        <w:rPr>
          <w:rFonts w:asciiTheme="majorBidi" w:hAnsiTheme="majorBidi" w:cstheme="majorBidi"/>
          <w:sz w:val="20"/>
          <w:szCs w:val="20"/>
        </w:rPr>
      </w:pPr>
    </w:p>
    <w:p w14:paraId="3127A358" w14:textId="58B2363E" w:rsidR="00735E13" w:rsidRPr="0086524B" w:rsidRDefault="00735E13">
      <w:pPr>
        <w:rPr>
          <w:rFonts w:asciiTheme="majorBidi" w:hAnsiTheme="majorBidi" w:cstheme="majorBidi"/>
          <w:sz w:val="20"/>
          <w:szCs w:val="20"/>
        </w:rPr>
      </w:pPr>
    </w:p>
    <w:p w14:paraId="47D7C91B" w14:textId="3C4AEFD1" w:rsidR="00735E13" w:rsidRPr="0086524B" w:rsidRDefault="00735E13">
      <w:pPr>
        <w:rPr>
          <w:rFonts w:asciiTheme="majorBidi" w:hAnsiTheme="majorBidi" w:cstheme="majorBidi"/>
          <w:sz w:val="20"/>
          <w:szCs w:val="20"/>
        </w:rPr>
      </w:pPr>
    </w:p>
    <w:p w14:paraId="79D30554" w14:textId="68605A52" w:rsidR="00D71A9E" w:rsidRPr="0086524B" w:rsidRDefault="00D71A9E" w:rsidP="00D71A9E">
      <w:pPr>
        <w:tabs>
          <w:tab w:val="left" w:pos="1250"/>
        </w:tabs>
        <w:rPr>
          <w:rFonts w:asciiTheme="majorBidi" w:hAnsiTheme="majorBidi" w:cstheme="majorBidi"/>
          <w:sz w:val="20"/>
          <w:szCs w:val="20"/>
        </w:rPr>
      </w:pPr>
      <w:r w:rsidRPr="0086524B">
        <w:rPr>
          <w:rFonts w:asciiTheme="majorBidi" w:hAnsiTheme="majorBidi" w:cstheme="majorBidi"/>
          <w:sz w:val="20"/>
          <w:szCs w:val="20"/>
        </w:rPr>
        <w:tab/>
      </w:r>
    </w:p>
    <w:tbl>
      <w:tblPr>
        <w:tblStyle w:val="TableGrid"/>
        <w:tblpPr w:leftFromText="180" w:rightFromText="180" w:vertAnchor="page" w:horzAnchor="margin" w:tblpXSpec="center" w:tblpY="1331"/>
        <w:tblW w:w="14845" w:type="dxa"/>
        <w:tblInd w:w="0" w:type="dxa"/>
        <w:tblLook w:val="04A0" w:firstRow="1" w:lastRow="0" w:firstColumn="1" w:lastColumn="0" w:noHBand="0" w:noVBand="1"/>
      </w:tblPr>
      <w:tblGrid>
        <w:gridCol w:w="1281"/>
        <w:gridCol w:w="8763"/>
        <w:gridCol w:w="1381"/>
        <w:gridCol w:w="1805"/>
        <w:gridCol w:w="1615"/>
      </w:tblGrid>
      <w:tr w:rsidR="00735E13" w:rsidRPr="0086524B" w14:paraId="596D213A" w14:textId="77777777" w:rsidTr="008F7436">
        <w:trPr>
          <w:trHeight w:val="366"/>
        </w:trPr>
        <w:tc>
          <w:tcPr>
            <w:tcW w:w="14845" w:type="dxa"/>
            <w:gridSpan w:val="5"/>
            <w:tcBorders>
              <w:top w:val="single" w:sz="4" w:space="0" w:color="auto"/>
              <w:left w:val="single" w:sz="4" w:space="0" w:color="auto"/>
              <w:bottom w:val="single" w:sz="4" w:space="0" w:color="auto"/>
              <w:right w:val="single" w:sz="4" w:space="0" w:color="auto"/>
            </w:tcBorders>
            <w:hideMark/>
          </w:tcPr>
          <w:p w14:paraId="7F00B6AE" w14:textId="722FC73D"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sz w:val="20"/>
                <w:szCs w:val="20"/>
              </w:rPr>
              <w:lastRenderedPageBreak/>
              <w:t xml:space="preserve">Table </w:t>
            </w:r>
            <w:r w:rsidR="008139B3">
              <w:rPr>
                <w:rFonts w:asciiTheme="majorBidi" w:hAnsiTheme="majorBidi" w:cstheme="majorBidi"/>
                <w:b/>
                <w:bCs/>
                <w:sz w:val="20"/>
                <w:szCs w:val="20"/>
              </w:rPr>
              <w:t>3</w:t>
            </w:r>
            <w:r w:rsidRPr="0086524B">
              <w:rPr>
                <w:rFonts w:asciiTheme="majorBidi" w:hAnsiTheme="majorBidi" w:cstheme="majorBidi"/>
                <w:b/>
                <w:bCs/>
                <w:sz w:val="20"/>
                <w:szCs w:val="20"/>
              </w:rPr>
              <w:t>. Outcomes of studies reporting on the prevalence of overall medication errors (n=9)</w:t>
            </w:r>
          </w:p>
        </w:tc>
      </w:tr>
      <w:tr w:rsidR="00735E13" w:rsidRPr="0086524B" w14:paraId="32991D24" w14:textId="77777777" w:rsidTr="008F7436">
        <w:trPr>
          <w:trHeight w:val="838"/>
        </w:trPr>
        <w:tc>
          <w:tcPr>
            <w:tcW w:w="1281" w:type="dxa"/>
            <w:tcBorders>
              <w:top w:val="single" w:sz="4" w:space="0" w:color="auto"/>
              <w:left w:val="single" w:sz="4" w:space="0" w:color="auto"/>
              <w:bottom w:val="single" w:sz="4" w:space="0" w:color="auto"/>
              <w:right w:val="single" w:sz="4" w:space="0" w:color="auto"/>
            </w:tcBorders>
            <w:hideMark/>
          </w:tcPr>
          <w:p w14:paraId="4AA09D30"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b/>
                <w:bCs/>
                <w:sz w:val="20"/>
                <w:szCs w:val="20"/>
              </w:rPr>
              <w:t>Author, year of publication</w:t>
            </w:r>
          </w:p>
        </w:tc>
        <w:tc>
          <w:tcPr>
            <w:tcW w:w="8763" w:type="dxa"/>
            <w:tcBorders>
              <w:top w:val="single" w:sz="4" w:space="0" w:color="auto"/>
              <w:left w:val="single" w:sz="4" w:space="0" w:color="auto"/>
              <w:bottom w:val="single" w:sz="4" w:space="0" w:color="auto"/>
              <w:right w:val="single" w:sz="4" w:space="0" w:color="auto"/>
            </w:tcBorders>
            <w:hideMark/>
          </w:tcPr>
          <w:p w14:paraId="0EBB2297" w14:textId="77777777"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sz w:val="20"/>
                <w:szCs w:val="20"/>
              </w:rPr>
              <w:t xml:space="preserve">Method specific to prevalence data  </w:t>
            </w:r>
          </w:p>
        </w:tc>
        <w:tc>
          <w:tcPr>
            <w:tcW w:w="1381" w:type="dxa"/>
            <w:tcBorders>
              <w:top w:val="single" w:sz="4" w:space="0" w:color="auto"/>
              <w:left w:val="single" w:sz="4" w:space="0" w:color="auto"/>
              <w:bottom w:val="single" w:sz="4" w:space="0" w:color="auto"/>
              <w:right w:val="single" w:sz="4" w:space="0" w:color="auto"/>
            </w:tcBorders>
            <w:hideMark/>
          </w:tcPr>
          <w:p w14:paraId="3C2AC0C4" w14:textId="77777777" w:rsidR="00735E13" w:rsidRPr="0086524B" w:rsidRDefault="00735E13" w:rsidP="008F7436">
            <w:pPr>
              <w:spacing w:line="240" w:lineRule="auto"/>
              <w:rPr>
                <w:rFonts w:asciiTheme="majorBidi" w:hAnsiTheme="majorBidi" w:cstheme="majorBidi"/>
                <w:b/>
                <w:bCs/>
                <w:color w:val="000000" w:themeColor="text1"/>
                <w:sz w:val="20"/>
                <w:szCs w:val="20"/>
              </w:rPr>
            </w:pPr>
            <w:r w:rsidRPr="0086524B">
              <w:rPr>
                <w:rFonts w:asciiTheme="majorBidi" w:hAnsiTheme="majorBidi" w:cstheme="majorBidi"/>
                <w:b/>
                <w:bCs/>
                <w:color w:val="000000" w:themeColor="text1"/>
                <w:sz w:val="20"/>
                <w:szCs w:val="20"/>
              </w:rPr>
              <w:t xml:space="preserve">Duration of prevalence data collection  </w:t>
            </w:r>
          </w:p>
        </w:tc>
        <w:tc>
          <w:tcPr>
            <w:tcW w:w="1805" w:type="dxa"/>
            <w:tcBorders>
              <w:top w:val="single" w:sz="4" w:space="0" w:color="auto"/>
              <w:left w:val="single" w:sz="4" w:space="0" w:color="auto"/>
              <w:bottom w:val="single" w:sz="4" w:space="0" w:color="auto"/>
              <w:right w:val="single" w:sz="4" w:space="0" w:color="auto"/>
            </w:tcBorders>
            <w:hideMark/>
          </w:tcPr>
          <w:p w14:paraId="4F31E4BC" w14:textId="77777777"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color w:val="000000" w:themeColor="text1"/>
                <w:sz w:val="20"/>
                <w:szCs w:val="20"/>
              </w:rPr>
              <w:t xml:space="preserve">Total number of observations (denominator) </w:t>
            </w:r>
          </w:p>
        </w:tc>
        <w:tc>
          <w:tcPr>
            <w:tcW w:w="1615" w:type="dxa"/>
            <w:tcBorders>
              <w:top w:val="single" w:sz="4" w:space="0" w:color="auto"/>
              <w:left w:val="single" w:sz="4" w:space="0" w:color="auto"/>
              <w:bottom w:val="single" w:sz="4" w:space="0" w:color="auto"/>
              <w:right w:val="single" w:sz="4" w:space="0" w:color="auto"/>
            </w:tcBorders>
            <w:hideMark/>
          </w:tcPr>
          <w:p w14:paraId="4820EFB7" w14:textId="77777777" w:rsidR="00735E13" w:rsidRPr="0086524B" w:rsidRDefault="00735E13" w:rsidP="008F7436">
            <w:pPr>
              <w:spacing w:line="240" w:lineRule="auto"/>
              <w:rPr>
                <w:rFonts w:asciiTheme="majorBidi" w:hAnsiTheme="majorBidi" w:cstheme="majorBidi"/>
                <w:b/>
                <w:bCs/>
                <w:color w:val="000000" w:themeColor="text1"/>
                <w:sz w:val="20"/>
                <w:szCs w:val="20"/>
              </w:rPr>
            </w:pPr>
            <w:r w:rsidRPr="0086524B">
              <w:rPr>
                <w:rFonts w:asciiTheme="majorBidi" w:hAnsiTheme="majorBidi" w:cstheme="majorBidi"/>
                <w:b/>
                <w:bCs/>
                <w:sz w:val="20"/>
                <w:szCs w:val="20"/>
              </w:rPr>
              <w:t xml:space="preserve">Number of overall ME </w:t>
            </w:r>
          </w:p>
        </w:tc>
      </w:tr>
      <w:tr w:rsidR="00735E13" w:rsidRPr="0086524B" w14:paraId="7E6F0235" w14:textId="77777777" w:rsidTr="008F7436">
        <w:trPr>
          <w:trHeight w:val="838"/>
        </w:trPr>
        <w:tc>
          <w:tcPr>
            <w:tcW w:w="1281" w:type="dxa"/>
            <w:tcBorders>
              <w:top w:val="single" w:sz="4" w:space="0" w:color="auto"/>
              <w:left w:val="single" w:sz="4" w:space="0" w:color="auto"/>
              <w:bottom w:val="single" w:sz="4" w:space="0" w:color="auto"/>
              <w:right w:val="single" w:sz="4" w:space="0" w:color="auto"/>
            </w:tcBorders>
            <w:hideMark/>
          </w:tcPr>
          <w:p w14:paraId="36FFC9DE" w14:textId="77777777" w:rsidR="00735E13" w:rsidRPr="0086524B" w:rsidRDefault="00735E13" w:rsidP="008F7436">
            <w:pPr>
              <w:spacing w:line="240" w:lineRule="auto"/>
              <w:rPr>
                <w:rFonts w:asciiTheme="majorBidi" w:hAnsiTheme="majorBidi" w:cstheme="majorBidi"/>
                <w:b/>
                <w:bCs/>
                <w:color w:val="000000" w:themeColor="text1"/>
                <w:sz w:val="20"/>
                <w:szCs w:val="20"/>
              </w:rPr>
            </w:pPr>
            <w:r w:rsidRPr="0086524B">
              <w:rPr>
                <w:rFonts w:asciiTheme="majorBidi" w:hAnsiTheme="majorBidi" w:cstheme="majorBidi"/>
                <w:b/>
                <w:bCs/>
                <w:color w:val="000000"/>
                <w:sz w:val="20"/>
                <w:szCs w:val="20"/>
              </w:rPr>
              <w:t>Assiri G, 2019 (43)</w:t>
            </w:r>
          </w:p>
        </w:tc>
        <w:tc>
          <w:tcPr>
            <w:tcW w:w="8763" w:type="dxa"/>
            <w:tcBorders>
              <w:top w:val="single" w:sz="4" w:space="0" w:color="auto"/>
              <w:left w:val="single" w:sz="4" w:space="0" w:color="auto"/>
              <w:bottom w:val="single" w:sz="4" w:space="0" w:color="auto"/>
              <w:right w:val="single" w:sz="4" w:space="0" w:color="auto"/>
            </w:tcBorders>
            <w:hideMark/>
          </w:tcPr>
          <w:p w14:paraId="0DF010AF"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In-depth electronic record screening was conducted. Clinically important errors as defined by the PINCER trial were identified. A second trained reviewer undertook the independent assessment of a random 10% of the sample of records. Any discrepancy was discussed and resolved through double-checking of records or arbitration if a decision could not be reached</w:t>
            </w:r>
          </w:p>
        </w:tc>
        <w:tc>
          <w:tcPr>
            <w:tcW w:w="1381" w:type="dxa"/>
            <w:tcBorders>
              <w:top w:val="single" w:sz="4" w:space="0" w:color="auto"/>
              <w:left w:val="single" w:sz="4" w:space="0" w:color="auto"/>
              <w:bottom w:val="single" w:sz="4" w:space="0" w:color="auto"/>
              <w:right w:val="single" w:sz="4" w:space="0" w:color="auto"/>
            </w:tcBorders>
            <w:hideMark/>
          </w:tcPr>
          <w:p w14:paraId="4DBCC48B"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 xml:space="preserve">15 months </w:t>
            </w:r>
          </w:p>
        </w:tc>
        <w:tc>
          <w:tcPr>
            <w:tcW w:w="1805" w:type="dxa"/>
            <w:tcBorders>
              <w:top w:val="single" w:sz="4" w:space="0" w:color="auto"/>
              <w:left w:val="single" w:sz="4" w:space="0" w:color="auto"/>
              <w:bottom w:val="single" w:sz="4" w:space="0" w:color="auto"/>
              <w:right w:val="single" w:sz="4" w:space="0" w:color="auto"/>
            </w:tcBorders>
          </w:tcPr>
          <w:p w14:paraId="5DCCE076"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 xml:space="preserve">2,000 patients </w:t>
            </w:r>
          </w:p>
          <w:p w14:paraId="17CBF226" w14:textId="77777777" w:rsidR="00735E13" w:rsidRPr="0086524B" w:rsidRDefault="00735E13" w:rsidP="008F7436">
            <w:pPr>
              <w:spacing w:line="240" w:lineRule="auto"/>
              <w:rPr>
                <w:rFonts w:asciiTheme="majorBidi" w:hAnsiTheme="majorBidi" w:cstheme="majorBidi"/>
                <w:color w:val="000000" w:themeColor="text1"/>
                <w:sz w:val="20"/>
                <w:szCs w:val="20"/>
              </w:rPr>
            </w:pPr>
          </w:p>
        </w:tc>
        <w:tc>
          <w:tcPr>
            <w:tcW w:w="1615" w:type="dxa"/>
            <w:tcBorders>
              <w:top w:val="single" w:sz="4" w:space="0" w:color="auto"/>
              <w:left w:val="single" w:sz="4" w:space="0" w:color="auto"/>
              <w:bottom w:val="single" w:sz="4" w:space="0" w:color="auto"/>
              <w:right w:val="single" w:sz="4" w:space="0" w:color="auto"/>
            </w:tcBorders>
            <w:hideMark/>
          </w:tcPr>
          <w:p w14:paraId="06156922"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162 patients with clinically important errors</w:t>
            </w:r>
          </w:p>
        </w:tc>
      </w:tr>
      <w:tr w:rsidR="00735E13" w:rsidRPr="0086524B" w14:paraId="6A5C96C4" w14:textId="77777777" w:rsidTr="008F7436">
        <w:trPr>
          <w:trHeight w:val="542"/>
        </w:trPr>
        <w:tc>
          <w:tcPr>
            <w:tcW w:w="1281" w:type="dxa"/>
            <w:tcBorders>
              <w:top w:val="single" w:sz="4" w:space="0" w:color="auto"/>
              <w:left w:val="single" w:sz="4" w:space="0" w:color="auto"/>
              <w:bottom w:val="single" w:sz="4" w:space="0" w:color="auto"/>
              <w:right w:val="single" w:sz="4" w:space="0" w:color="auto"/>
            </w:tcBorders>
            <w:hideMark/>
          </w:tcPr>
          <w:p w14:paraId="03B4A8B0" w14:textId="77777777" w:rsidR="00735E13" w:rsidRPr="0086524B" w:rsidRDefault="00735E13" w:rsidP="008F7436">
            <w:pPr>
              <w:spacing w:line="240" w:lineRule="auto"/>
              <w:rPr>
                <w:rFonts w:asciiTheme="majorBidi" w:hAnsiTheme="majorBidi" w:cstheme="majorBidi"/>
                <w:b/>
                <w:bCs/>
                <w:color w:val="000000" w:themeColor="text1"/>
                <w:sz w:val="20"/>
                <w:szCs w:val="20"/>
              </w:rPr>
            </w:pPr>
            <w:r w:rsidRPr="0086524B">
              <w:rPr>
                <w:rFonts w:asciiTheme="majorBidi" w:hAnsiTheme="majorBidi" w:cstheme="majorBidi"/>
                <w:b/>
                <w:bCs/>
                <w:color w:val="000000"/>
                <w:sz w:val="20"/>
                <w:szCs w:val="20"/>
              </w:rPr>
              <w:t>Belaiche S, 2012 (47)</w:t>
            </w:r>
          </w:p>
        </w:tc>
        <w:tc>
          <w:tcPr>
            <w:tcW w:w="8763" w:type="dxa"/>
            <w:tcBorders>
              <w:top w:val="single" w:sz="4" w:space="0" w:color="auto"/>
              <w:left w:val="single" w:sz="4" w:space="0" w:color="auto"/>
              <w:bottom w:val="single" w:sz="4" w:space="0" w:color="auto"/>
              <w:right w:val="single" w:sz="4" w:space="0" w:color="auto"/>
            </w:tcBorders>
            <w:hideMark/>
          </w:tcPr>
          <w:p w14:paraId="44B81E1C"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 xml:space="preserve">Pharmaceutical consultations by the pharmaceutical team (1 senior clinical pharmacist and 1 clinical pharmacy resident) </w:t>
            </w:r>
          </w:p>
        </w:tc>
        <w:tc>
          <w:tcPr>
            <w:tcW w:w="1381" w:type="dxa"/>
            <w:tcBorders>
              <w:top w:val="single" w:sz="4" w:space="0" w:color="auto"/>
              <w:left w:val="single" w:sz="4" w:space="0" w:color="auto"/>
              <w:bottom w:val="single" w:sz="4" w:space="0" w:color="auto"/>
              <w:right w:val="single" w:sz="4" w:space="0" w:color="auto"/>
            </w:tcBorders>
            <w:hideMark/>
          </w:tcPr>
          <w:p w14:paraId="6667FE86"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 xml:space="preserve">15 months </w:t>
            </w:r>
          </w:p>
        </w:tc>
        <w:tc>
          <w:tcPr>
            <w:tcW w:w="1805" w:type="dxa"/>
            <w:tcBorders>
              <w:top w:val="single" w:sz="4" w:space="0" w:color="auto"/>
              <w:left w:val="single" w:sz="4" w:space="0" w:color="auto"/>
              <w:bottom w:val="single" w:sz="4" w:space="0" w:color="auto"/>
              <w:right w:val="single" w:sz="4" w:space="0" w:color="auto"/>
            </w:tcBorders>
          </w:tcPr>
          <w:p w14:paraId="3E9C392A"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42 patients (350 pharmaceutical consultations, 287 drugs)</w:t>
            </w:r>
          </w:p>
        </w:tc>
        <w:tc>
          <w:tcPr>
            <w:tcW w:w="1615" w:type="dxa"/>
            <w:tcBorders>
              <w:top w:val="single" w:sz="4" w:space="0" w:color="auto"/>
              <w:left w:val="single" w:sz="4" w:space="0" w:color="auto"/>
              <w:bottom w:val="single" w:sz="4" w:space="0" w:color="auto"/>
              <w:right w:val="single" w:sz="4" w:space="0" w:color="auto"/>
            </w:tcBorders>
          </w:tcPr>
          <w:p w14:paraId="0A49DBF9"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263 ME</w:t>
            </w:r>
          </w:p>
          <w:p w14:paraId="4E889F85" w14:textId="77777777" w:rsidR="00735E13" w:rsidRPr="0086524B" w:rsidRDefault="00735E13" w:rsidP="008F7436">
            <w:pPr>
              <w:spacing w:line="240" w:lineRule="auto"/>
              <w:rPr>
                <w:rFonts w:asciiTheme="majorBidi" w:hAnsiTheme="majorBidi" w:cstheme="majorBidi"/>
                <w:color w:val="000000" w:themeColor="text1"/>
                <w:sz w:val="20"/>
                <w:szCs w:val="20"/>
              </w:rPr>
            </w:pPr>
          </w:p>
        </w:tc>
      </w:tr>
      <w:tr w:rsidR="00735E13" w:rsidRPr="0086524B" w14:paraId="4F159522" w14:textId="77777777" w:rsidTr="008F7436">
        <w:trPr>
          <w:trHeight w:val="676"/>
        </w:trPr>
        <w:tc>
          <w:tcPr>
            <w:tcW w:w="1281" w:type="dxa"/>
            <w:tcBorders>
              <w:top w:val="single" w:sz="4" w:space="0" w:color="auto"/>
              <w:left w:val="single" w:sz="4" w:space="0" w:color="auto"/>
              <w:bottom w:val="single" w:sz="4" w:space="0" w:color="auto"/>
              <w:right w:val="single" w:sz="4" w:space="0" w:color="auto"/>
            </w:tcBorders>
          </w:tcPr>
          <w:p w14:paraId="7D10DB27"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Bell S, 2020 (34)</w:t>
            </w:r>
          </w:p>
          <w:p w14:paraId="0AB47456" w14:textId="77777777" w:rsidR="00735E13" w:rsidRPr="0086524B" w:rsidRDefault="00735E13" w:rsidP="008F7436">
            <w:pPr>
              <w:spacing w:line="240" w:lineRule="auto"/>
              <w:rPr>
                <w:rFonts w:asciiTheme="majorBidi" w:hAnsiTheme="majorBidi" w:cstheme="majorBidi"/>
                <w:b/>
                <w:bCs/>
                <w:color w:val="000000" w:themeColor="text1"/>
                <w:sz w:val="20"/>
                <w:szCs w:val="20"/>
              </w:rPr>
            </w:pPr>
          </w:p>
        </w:tc>
        <w:tc>
          <w:tcPr>
            <w:tcW w:w="8763" w:type="dxa"/>
            <w:tcBorders>
              <w:top w:val="single" w:sz="4" w:space="0" w:color="auto"/>
              <w:left w:val="single" w:sz="4" w:space="0" w:color="auto"/>
              <w:bottom w:val="single" w:sz="4" w:space="0" w:color="auto"/>
              <w:right w:val="single" w:sz="4" w:space="0" w:color="auto"/>
            </w:tcBorders>
            <w:hideMark/>
          </w:tcPr>
          <w:p w14:paraId="47DFC2CF"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To help focus patients on their notes, the adapted survey included a screenshot of the location of notes on patient portal. The survey included 4 questions about mistakes. Included Likert scale, yes/no, multiple choice questions, and open-ended questions</w:t>
            </w:r>
          </w:p>
        </w:tc>
        <w:tc>
          <w:tcPr>
            <w:tcW w:w="1381" w:type="dxa"/>
            <w:tcBorders>
              <w:top w:val="single" w:sz="4" w:space="0" w:color="auto"/>
              <w:left w:val="single" w:sz="4" w:space="0" w:color="auto"/>
              <w:bottom w:val="single" w:sz="4" w:space="0" w:color="auto"/>
              <w:right w:val="single" w:sz="4" w:space="0" w:color="auto"/>
            </w:tcBorders>
            <w:hideMark/>
          </w:tcPr>
          <w:p w14:paraId="6E41688C"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 xml:space="preserve">5 months </w:t>
            </w:r>
          </w:p>
        </w:tc>
        <w:tc>
          <w:tcPr>
            <w:tcW w:w="1805" w:type="dxa"/>
            <w:tcBorders>
              <w:top w:val="single" w:sz="4" w:space="0" w:color="auto"/>
              <w:left w:val="single" w:sz="4" w:space="0" w:color="auto"/>
              <w:bottom w:val="single" w:sz="4" w:space="0" w:color="auto"/>
              <w:right w:val="single" w:sz="4" w:space="0" w:color="auto"/>
            </w:tcBorders>
          </w:tcPr>
          <w:p w14:paraId="5E54AB88"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 xml:space="preserve">22,889 patients </w:t>
            </w:r>
          </w:p>
          <w:p w14:paraId="7145772A" w14:textId="77777777" w:rsidR="00735E13" w:rsidRPr="0086524B" w:rsidRDefault="00735E13" w:rsidP="008F7436">
            <w:pPr>
              <w:spacing w:line="240" w:lineRule="auto"/>
              <w:rPr>
                <w:rFonts w:asciiTheme="majorBidi" w:hAnsiTheme="majorBidi" w:cstheme="majorBidi"/>
                <w:color w:val="000000" w:themeColor="text1"/>
                <w:sz w:val="20"/>
                <w:szCs w:val="20"/>
              </w:rPr>
            </w:pPr>
          </w:p>
        </w:tc>
        <w:tc>
          <w:tcPr>
            <w:tcW w:w="1615" w:type="dxa"/>
            <w:tcBorders>
              <w:top w:val="single" w:sz="4" w:space="0" w:color="auto"/>
              <w:left w:val="single" w:sz="4" w:space="0" w:color="auto"/>
              <w:bottom w:val="single" w:sz="4" w:space="0" w:color="auto"/>
              <w:right w:val="single" w:sz="4" w:space="0" w:color="auto"/>
            </w:tcBorders>
            <w:hideMark/>
          </w:tcPr>
          <w:p w14:paraId="10F982A4"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 xml:space="preserve">50 serious ME </w:t>
            </w:r>
          </w:p>
        </w:tc>
      </w:tr>
      <w:tr w:rsidR="00735E13" w:rsidRPr="0086524B" w14:paraId="60962FFE" w14:textId="77777777" w:rsidTr="008F7436">
        <w:trPr>
          <w:trHeight w:val="838"/>
        </w:trPr>
        <w:tc>
          <w:tcPr>
            <w:tcW w:w="1281" w:type="dxa"/>
            <w:tcBorders>
              <w:top w:val="single" w:sz="4" w:space="0" w:color="auto"/>
              <w:left w:val="single" w:sz="4" w:space="0" w:color="auto"/>
              <w:bottom w:val="single" w:sz="4" w:space="0" w:color="auto"/>
              <w:right w:val="single" w:sz="4" w:space="0" w:color="auto"/>
            </w:tcBorders>
          </w:tcPr>
          <w:p w14:paraId="0A07251A"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Bicket M, 2018 (35)</w:t>
            </w:r>
          </w:p>
        </w:tc>
        <w:tc>
          <w:tcPr>
            <w:tcW w:w="8763" w:type="dxa"/>
            <w:tcBorders>
              <w:top w:val="single" w:sz="4" w:space="0" w:color="auto"/>
              <w:left w:val="single" w:sz="4" w:space="0" w:color="auto"/>
              <w:bottom w:val="single" w:sz="4" w:space="0" w:color="auto"/>
              <w:right w:val="single" w:sz="4" w:space="0" w:color="auto"/>
            </w:tcBorders>
            <w:hideMark/>
          </w:tcPr>
          <w:p w14:paraId="4F271190"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One investigator examined prescriptions for errors according to three standards: 1) PE based on “best practice” guidelines; 2) The Joint Commission recommendation for two patient identifiers; and 3) the DEA Practitioner’s Manual Valid Prescription Requirements. A second investigator independently examined a subset of handwritten prescriptions and prescriptions noted to contain at least one error for confirmation. Any discrepancies were resolved by consensus</w:t>
            </w:r>
          </w:p>
        </w:tc>
        <w:tc>
          <w:tcPr>
            <w:tcW w:w="1381" w:type="dxa"/>
            <w:tcBorders>
              <w:top w:val="single" w:sz="4" w:space="0" w:color="auto"/>
              <w:left w:val="single" w:sz="4" w:space="0" w:color="auto"/>
              <w:bottom w:val="single" w:sz="4" w:space="0" w:color="auto"/>
              <w:right w:val="single" w:sz="4" w:space="0" w:color="auto"/>
            </w:tcBorders>
            <w:hideMark/>
          </w:tcPr>
          <w:p w14:paraId="28D9A737"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 xml:space="preserve">15 days </w:t>
            </w:r>
          </w:p>
        </w:tc>
        <w:tc>
          <w:tcPr>
            <w:tcW w:w="1805" w:type="dxa"/>
            <w:tcBorders>
              <w:top w:val="single" w:sz="4" w:space="0" w:color="auto"/>
              <w:left w:val="single" w:sz="4" w:space="0" w:color="auto"/>
              <w:bottom w:val="single" w:sz="4" w:space="0" w:color="auto"/>
              <w:right w:val="single" w:sz="4" w:space="0" w:color="auto"/>
            </w:tcBorders>
          </w:tcPr>
          <w:p w14:paraId="40F0C405"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451 patients (510 prescriptions)</w:t>
            </w:r>
          </w:p>
          <w:p w14:paraId="6F9CC1E4" w14:textId="77777777" w:rsidR="00735E13" w:rsidRPr="0086524B" w:rsidRDefault="00735E13" w:rsidP="008F7436">
            <w:pPr>
              <w:spacing w:line="240" w:lineRule="auto"/>
              <w:rPr>
                <w:rFonts w:asciiTheme="majorBidi" w:hAnsiTheme="majorBidi" w:cstheme="majorBidi"/>
                <w:color w:val="000000" w:themeColor="text1"/>
                <w:sz w:val="20"/>
                <w:szCs w:val="20"/>
              </w:rPr>
            </w:pPr>
          </w:p>
        </w:tc>
        <w:tc>
          <w:tcPr>
            <w:tcW w:w="1615" w:type="dxa"/>
            <w:tcBorders>
              <w:top w:val="single" w:sz="4" w:space="0" w:color="auto"/>
              <w:left w:val="single" w:sz="4" w:space="0" w:color="auto"/>
              <w:bottom w:val="single" w:sz="4" w:space="0" w:color="auto"/>
              <w:right w:val="single" w:sz="4" w:space="0" w:color="auto"/>
            </w:tcBorders>
          </w:tcPr>
          <w:p w14:paraId="6BC72C01"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 xml:space="preserve">214 prescriptions contained at least one error </w:t>
            </w:r>
          </w:p>
          <w:p w14:paraId="52F01D05" w14:textId="77777777" w:rsidR="00735E13" w:rsidRPr="0086524B" w:rsidRDefault="00735E13" w:rsidP="008F7436">
            <w:pPr>
              <w:spacing w:line="240" w:lineRule="auto"/>
              <w:rPr>
                <w:rFonts w:asciiTheme="majorBidi" w:hAnsiTheme="majorBidi" w:cstheme="majorBidi"/>
                <w:color w:val="000000" w:themeColor="text1"/>
                <w:sz w:val="20"/>
                <w:szCs w:val="20"/>
              </w:rPr>
            </w:pPr>
          </w:p>
        </w:tc>
      </w:tr>
      <w:tr w:rsidR="00735E13" w:rsidRPr="0086524B" w14:paraId="771A5AFF" w14:textId="77777777" w:rsidTr="008F7436">
        <w:trPr>
          <w:trHeight w:val="461"/>
        </w:trPr>
        <w:tc>
          <w:tcPr>
            <w:tcW w:w="1281" w:type="dxa"/>
            <w:tcBorders>
              <w:top w:val="single" w:sz="4" w:space="0" w:color="auto"/>
              <w:left w:val="single" w:sz="4" w:space="0" w:color="auto"/>
              <w:bottom w:val="single" w:sz="4" w:space="0" w:color="auto"/>
              <w:right w:val="single" w:sz="4" w:space="0" w:color="auto"/>
            </w:tcBorders>
            <w:hideMark/>
          </w:tcPr>
          <w:p w14:paraId="7CBC01AE"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Carollo J, 2017 (44)</w:t>
            </w:r>
          </w:p>
          <w:p w14:paraId="53996B51" w14:textId="77777777" w:rsidR="00735E13" w:rsidRPr="0086524B" w:rsidRDefault="00735E13" w:rsidP="008F7436">
            <w:pPr>
              <w:spacing w:line="240" w:lineRule="auto"/>
              <w:rPr>
                <w:rFonts w:asciiTheme="majorBidi" w:hAnsiTheme="majorBidi" w:cstheme="majorBidi"/>
                <w:b/>
                <w:bCs/>
                <w:color w:val="000000"/>
                <w:sz w:val="20"/>
                <w:szCs w:val="20"/>
              </w:rPr>
            </w:pPr>
          </w:p>
        </w:tc>
        <w:tc>
          <w:tcPr>
            <w:tcW w:w="8763" w:type="dxa"/>
            <w:tcBorders>
              <w:top w:val="single" w:sz="4" w:space="0" w:color="auto"/>
              <w:left w:val="single" w:sz="4" w:space="0" w:color="auto"/>
              <w:bottom w:val="single" w:sz="4" w:space="0" w:color="auto"/>
              <w:right w:val="single" w:sz="4" w:space="0" w:color="auto"/>
            </w:tcBorders>
            <w:hideMark/>
          </w:tcPr>
          <w:p w14:paraId="3FB6ED0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Data was collected using an instrument divided into four sections by evaluating patients’ medical records who received care, technical complaints forms and incident notifications</w:t>
            </w:r>
          </w:p>
        </w:tc>
        <w:tc>
          <w:tcPr>
            <w:tcW w:w="1381" w:type="dxa"/>
            <w:tcBorders>
              <w:top w:val="single" w:sz="4" w:space="0" w:color="auto"/>
              <w:left w:val="single" w:sz="4" w:space="0" w:color="auto"/>
              <w:bottom w:val="single" w:sz="4" w:space="0" w:color="auto"/>
              <w:right w:val="single" w:sz="4" w:space="0" w:color="auto"/>
            </w:tcBorders>
            <w:hideMark/>
          </w:tcPr>
          <w:p w14:paraId="67B0D167"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3 months </w:t>
            </w:r>
          </w:p>
        </w:tc>
        <w:tc>
          <w:tcPr>
            <w:tcW w:w="1805" w:type="dxa"/>
            <w:tcBorders>
              <w:top w:val="single" w:sz="4" w:space="0" w:color="auto"/>
              <w:left w:val="single" w:sz="4" w:space="0" w:color="auto"/>
              <w:bottom w:val="single" w:sz="4" w:space="0" w:color="auto"/>
              <w:right w:val="single" w:sz="4" w:space="0" w:color="auto"/>
            </w:tcBorders>
            <w:hideMark/>
          </w:tcPr>
          <w:p w14:paraId="055E59C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1,403 patients (1,403 healthcare procedures) </w:t>
            </w:r>
          </w:p>
        </w:tc>
        <w:tc>
          <w:tcPr>
            <w:tcW w:w="1615" w:type="dxa"/>
            <w:tcBorders>
              <w:top w:val="single" w:sz="4" w:space="0" w:color="auto"/>
              <w:left w:val="single" w:sz="4" w:space="0" w:color="auto"/>
              <w:bottom w:val="single" w:sz="4" w:space="0" w:color="auto"/>
              <w:right w:val="single" w:sz="4" w:space="0" w:color="auto"/>
            </w:tcBorders>
          </w:tcPr>
          <w:p w14:paraId="0FA6D65A"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4867 ME</w:t>
            </w:r>
          </w:p>
          <w:p w14:paraId="0E79F0DF" w14:textId="77777777" w:rsidR="00735E13" w:rsidRPr="0086524B" w:rsidRDefault="00735E13" w:rsidP="008F7436">
            <w:pPr>
              <w:spacing w:line="240" w:lineRule="auto"/>
              <w:rPr>
                <w:rFonts w:asciiTheme="majorBidi" w:hAnsiTheme="majorBidi" w:cstheme="majorBidi"/>
                <w:color w:val="000000"/>
                <w:sz w:val="20"/>
                <w:szCs w:val="20"/>
              </w:rPr>
            </w:pPr>
          </w:p>
        </w:tc>
      </w:tr>
      <w:tr w:rsidR="00735E13" w:rsidRPr="0086524B" w14:paraId="400F179A" w14:textId="77777777" w:rsidTr="008F7436">
        <w:trPr>
          <w:trHeight w:val="838"/>
        </w:trPr>
        <w:tc>
          <w:tcPr>
            <w:tcW w:w="1281" w:type="dxa"/>
            <w:tcBorders>
              <w:top w:val="single" w:sz="4" w:space="0" w:color="auto"/>
              <w:left w:val="single" w:sz="4" w:space="0" w:color="auto"/>
              <w:bottom w:val="single" w:sz="4" w:space="0" w:color="auto"/>
              <w:right w:val="single" w:sz="4" w:space="0" w:color="auto"/>
            </w:tcBorders>
          </w:tcPr>
          <w:p w14:paraId="4921ED7C"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Hernández S, 2018 (48)</w:t>
            </w:r>
          </w:p>
          <w:p w14:paraId="35A089D6" w14:textId="77777777" w:rsidR="00735E13" w:rsidRPr="0086524B" w:rsidRDefault="00735E13" w:rsidP="008F7436">
            <w:pPr>
              <w:spacing w:line="240" w:lineRule="auto"/>
              <w:rPr>
                <w:rFonts w:asciiTheme="majorBidi" w:hAnsiTheme="majorBidi" w:cstheme="majorBidi"/>
                <w:color w:val="000000" w:themeColor="text1"/>
                <w:sz w:val="20"/>
                <w:szCs w:val="20"/>
              </w:rPr>
            </w:pPr>
          </w:p>
        </w:tc>
        <w:tc>
          <w:tcPr>
            <w:tcW w:w="8763" w:type="dxa"/>
            <w:tcBorders>
              <w:top w:val="single" w:sz="4" w:space="0" w:color="auto"/>
              <w:left w:val="single" w:sz="4" w:space="0" w:color="auto"/>
              <w:bottom w:val="single" w:sz="4" w:space="0" w:color="auto"/>
              <w:right w:val="single" w:sz="4" w:space="0" w:color="auto"/>
            </w:tcBorders>
            <w:hideMark/>
          </w:tcPr>
          <w:p w14:paraId="6AD49DC6"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The necessary data to evaluate the incidence of ME were obtained from reports, medical records review, and pharmacy dispensing medication profiles. A pharmacy student performed the data collection and records review under supervision of a clinical pharmacy preceptor and the pharmacy department director, both Doctors of Pharmacy</w:t>
            </w:r>
          </w:p>
        </w:tc>
        <w:tc>
          <w:tcPr>
            <w:tcW w:w="1381" w:type="dxa"/>
            <w:tcBorders>
              <w:top w:val="single" w:sz="4" w:space="0" w:color="auto"/>
              <w:left w:val="single" w:sz="4" w:space="0" w:color="auto"/>
              <w:bottom w:val="single" w:sz="4" w:space="0" w:color="auto"/>
              <w:right w:val="single" w:sz="4" w:space="0" w:color="auto"/>
            </w:tcBorders>
            <w:hideMark/>
          </w:tcPr>
          <w:p w14:paraId="79B59642"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 xml:space="preserve">4 years </w:t>
            </w:r>
          </w:p>
        </w:tc>
        <w:tc>
          <w:tcPr>
            <w:tcW w:w="1805" w:type="dxa"/>
            <w:tcBorders>
              <w:top w:val="single" w:sz="4" w:space="0" w:color="auto"/>
              <w:left w:val="single" w:sz="4" w:space="0" w:color="auto"/>
              <w:bottom w:val="single" w:sz="4" w:space="0" w:color="auto"/>
              <w:right w:val="single" w:sz="4" w:space="0" w:color="auto"/>
            </w:tcBorders>
          </w:tcPr>
          <w:p w14:paraId="46526061"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 xml:space="preserve">2,218 patients </w:t>
            </w:r>
          </w:p>
          <w:p w14:paraId="6148538F" w14:textId="77777777" w:rsidR="00735E13" w:rsidRPr="0086524B" w:rsidRDefault="00735E13" w:rsidP="008F7436">
            <w:pPr>
              <w:spacing w:line="240" w:lineRule="auto"/>
              <w:rPr>
                <w:rFonts w:asciiTheme="majorBidi" w:hAnsiTheme="majorBidi" w:cstheme="majorBidi"/>
                <w:color w:val="000000" w:themeColor="text1"/>
                <w:sz w:val="20"/>
                <w:szCs w:val="20"/>
              </w:rPr>
            </w:pPr>
          </w:p>
        </w:tc>
        <w:tc>
          <w:tcPr>
            <w:tcW w:w="1615" w:type="dxa"/>
            <w:tcBorders>
              <w:top w:val="single" w:sz="4" w:space="0" w:color="auto"/>
              <w:left w:val="single" w:sz="4" w:space="0" w:color="auto"/>
              <w:bottom w:val="single" w:sz="4" w:space="0" w:color="auto"/>
              <w:right w:val="single" w:sz="4" w:space="0" w:color="auto"/>
            </w:tcBorders>
          </w:tcPr>
          <w:p w14:paraId="2EBA8B7D" w14:textId="77777777" w:rsidR="00735E13" w:rsidRPr="0086524B" w:rsidRDefault="00735E13" w:rsidP="008F7436">
            <w:pPr>
              <w:spacing w:line="240" w:lineRule="auto"/>
              <w:rPr>
                <w:rFonts w:asciiTheme="majorBidi" w:hAnsiTheme="majorBidi" w:cstheme="majorBidi"/>
                <w:color w:val="000000" w:themeColor="text1"/>
                <w:sz w:val="20"/>
                <w:szCs w:val="20"/>
              </w:rPr>
            </w:pPr>
            <w:r w:rsidRPr="0086524B">
              <w:rPr>
                <w:rFonts w:asciiTheme="majorBidi" w:hAnsiTheme="majorBidi" w:cstheme="majorBidi"/>
                <w:color w:val="000000" w:themeColor="text1"/>
                <w:sz w:val="20"/>
                <w:szCs w:val="20"/>
              </w:rPr>
              <w:t>93 ME</w:t>
            </w:r>
          </w:p>
          <w:p w14:paraId="4585FB86" w14:textId="77777777" w:rsidR="00735E13" w:rsidRPr="0086524B" w:rsidRDefault="00735E13" w:rsidP="008F7436">
            <w:pPr>
              <w:spacing w:line="240" w:lineRule="auto"/>
              <w:rPr>
                <w:rFonts w:asciiTheme="majorBidi" w:hAnsiTheme="majorBidi" w:cstheme="majorBidi"/>
                <w:color w:val="000000" w:themeColor="text1"/>
                <w:sz w:val="20"/>
                <w:szCs w:val="20"/>
              </w:rPr>
            </w:pPr>
          </w:p>
        </w:tc>
      </w:tr>
      <w:tr w:rsidR="00735E13" w:rsidRPr="0086524B" w14:paraId="5206A30A" w14:textId="77777777" w:rsidTr="008F7436">
        <w:trPr>
          <w:trHeight w:val="488"/>
        </w:trPr>
        <w:tc>
          <w:tcPr>
            <w:tcW w:w="1281" w:type="dxa"/>
            <w:tcBorders>
              <w:top w:val="single" w:sz="4" w:space="0" w:color="auto"/>
              <w:left w:val="single" w:sz="4" w:space="0" w:color="auto"/>
              <w:bottom w:val="single" w:sz="4" w:space="0" w:color="auto"/>
              <w:right w:val="single" w:sz="4" w:space="0" w:color="auto"/>
            </w:tcBorders>
            <w:hideMark/>
          </w:tcPr>
          <w:p w14:paraId="1E093335"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Prasad D, 2020 (38)</w:t>
            </w:r>
          </w:p>
          <w:p w14:paraId="61FE3DEF" w14:textId="77777777" w:rsidR="00735E13" w:rsidRPr="0086524B" w:rsidRDefault="00735E13" w:rsidP="008F7436">
            <w:pPr>
              <w:spacing w:line="240" w:lineRule="auto"/>
              <w:rPr>
                <w:rFonts w:asciiTheme="majorBidi" w:hAnsiTheme="majorBidi" w:cstheme="majorBidi"/>
                <w:b/>
                <w:bCs/>
                <w:color w:val="000000"/>
                <w:sz w:val="20"/>
                <w:szCs w:val="20"/>
              </w:rPr>
            </w:pPr>
          </w:p>
        </w:tc>
        <w:tc>
          <w:tcPr>
            <w:tcW w:w="8763" w:type="dxa"/>
            <w:tcBorders>
              <w:top w:val="single" w:sz="4" w:space="0" w:color="auto"/>
              <w:left w:val="single" w:sz="4" w:space="0" w:color="auto"/>
              <w:bottom w:val="single" w:sz="4" w:space="0" w:color="auto"/>
              <w:right w:val="single" w:sz="4" w:space="0" w:color="auto"/>
            </w:tcBorders>
            <w:hideMark/>
          </w:tcPr>
          <w:p w14:paraId="719AF72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NR </w:t>
            </w:r>
          </w:p>
        </w:tc>
        <w:tc>
          <w:tcPr>
            <w:tcW w:w="1381" w:type="dxa"/>
            <w:tcBorders>
              <w:top w:val="single" w:sz="4" w:space="0" w:color="auto"/>
              <w:left w:val="single" w:sz="4" w:space="0" w:color="auto"/>
              <w:bottom w:val="single" w:sz="4" w:space="0" w:color="auto"/>
              <w:right w:val="single" w:sz="4" w:space="0" w:color="auto"/>
            </w:tcBorders>
            <w:hideMark/>
          </w:tcPr>
          <w:p w14:paraId="61097521"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6 months </w:t>
            </w:r>
          </w:p>
        </w:tc>
        <w:tc>
          <w:tcPr>
            <w:tcW w:w="1805" w:type="dxa"/>
            <w:tcBorders>
              <w:top w:val="single" w:sz="4" w:space="0" w:color="auto"/>
              <w:left w:val="single" w:sz="4" w:space="0" w:color="auto"/>
              <w:bottom w:val="single" w:sz="4" w:space="0" w:color="auto"/>
              <w:right w:val="single" w:sz="4" w:space="0" w:color="auto"/>
            </w:tcBorders>
            <w:hideMark/>
          </w:tcPr>
          <w:p w14:paraId="42DF4F8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544 patients (544 prescriptions, </w:t>
            </w:r>
          </w:p>
          <w:p w14:paraId="0BFAAE0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1768 drugs)</w:t>
            </w:r>
          </w:p>
        </w:tc>
        <w:tc>
          <w:tcPr>
            <w:tcW w:w="1615" w:type="dxa"/>
            <w:tcBorders>
              <w:top w:val="single" w:sz="4" w:space="0" w:color="auto"/>
              <w:left w:val="single" w:sz="4" w:space="0" w:color="auto"/>
              <w:bottom w:val="single" w:sz="4" w:space="0" w:color="auto"/>
              <w:right w:val="single" w:sz="4" w:space="0" w:color="auto"/>
            </w:tcBorders>
            <w:hideMark/>
          </w:tcPr>
          <w:p w14:paraId="2AF34764"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834 ME</w:t>
            </w:r>
          </w:p>
        </w:tc>
      </w:tr>
      <w:tr w:rsidR="00735E13" w:rsidRPr="0086524B" w14:paraId="708BDE36" w14:textId="77777777" w:rsidTr="008F7436">
        <w:trPr>
          <w:trHeight w:val="838"/>
        </w:trPr>
        <w:tc>
          <w:tcPr>
            <w:tcW w:w="1281" w:type="dxa"/>
            <w:tcBorders>
              <w:top w:val="single" w:sz="4" w:space="0" w:color="auto"/>
              <w:left w:val="single" w:sz="4" w:space="0" w:color="auto"/>
              <w:bottom w:val="single" w:sz="4" w:space="0" w:color="auto"/>
              <w:right w:val="single" w:sz="4" w:space="0" w:color="auto"/>
            </w:tcBorders>
            <w:hideMark/>
          </w:tcPr>
          <w:p w14:paraId="63A99D0F"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Rouhani M, 2018 (53)</w:t>
            </w:r>
          </w:p>
        </w:tc>
        <w:tc>
          <w:tcPr>
            <w:tcW w:w="8763" w:type="dxa"/>
            <w:tcBorders>
              <w:top w:val="single" w:sz="4" w:space="0" w:color="auto"/>
              <w:left w:val="single" w:sz="4" w:space="0" w:color="auto"/>
              <w:bottom w:val="single" w:sz="4" w:space="0" w:color="auto"/>
              <w:right w:val="single" w:sz="4" w:space="0" w:color="auto"/>
            </w:tcBorders>
            <w:hideMark/>
          </w:tcPr>
          <w:p w14:paraId="7CFB2DE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NR </w:t>
            </w:r>
          </w:p>
        </w:tc>
        <w:tc>
          <w:tcPr>
            <w:tcW w:w="1381" w:type="dxa"/>
            <w:tcBorders>
              <w:top w:val="single" w:sz="4" w:space="0" w:color="auto"/>
              <w:left w:val="single" w:sz="4" w:space="0" w:color="auto"/>
              <w:bottom w:val="single" w:sz="4" w:space="0" w:color="auto"/>
              <w:right w:val="single" w:sz="4" w:space="0" w:color="auto"/>
            </w:tcBorders>
            <w:hideMark/>
          </w:tcPr>
          <w:p w14:paraId="4B1CCE82"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6 months </w:t>
            </w:r>
          </w:p>
        </w:tc>
        <w:tc>
          <w:tcPr>
            <w:tcW w:w="1805" w:type="dxa"/>
            <w:tcBorders>
              <w:top w:val="single" w:sz="4" w:space="0" w:color="auto"/>
              <w:left w:val="single" w:sz="4" w:space="0" w:color="auto"/>
              <w:bottom w:val="single" w:sz="4" w:space="0" w:color="auto"/>
              <w:right w:val="single" w:sz="4" w:space="0" w:color="auto"/>
            </w:tcBorders>
            <w:hideMark/>
          </w:tcPr>
          <w:p w14:paraId="2B2B381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84 patients (217 cycles, 385 drugs)</w:t>
            </w:r>
          </w:p>
        </w:tc>
        <w:tc>
          <w:tcPr>
            <w:tcW w:w="1615" w:type="dxa"/>
            <w:tcBorders>
              <w:top w:val="single" w:sz="4" w:space="0" w:color="auto"/>
              <w:left w:val="single" w:sz="4" w:space="0" w:color="auto"/>
              <w:bottom w:val="single" w:sz="4" w:space="0" w:color="auto"/>
              <w:right w:val="single" w:sz="4" w:space="0" w:color="auto"/>
            </w:tcBorders>
          </w:tcPr>
          <w:p w14:paraId="3414265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89 ME</w:t>
            </w:r>
          </w:p>
          <w:p w14:paraId="040FE333" w14:textId="77777777" w:rsidR="00735E13" w:rsidRPr="0086524B" w:rsidRDefault="00735E13" w:rsidP="008F7436">
            <w:pPr>
              <w:spacing w:line="240" w:lineRule="auto"/>
              <w:rPr>
                <w:rFonts w:asciiTheme="majorBidi" w:hAnsiTheme="majorBidi" w:cstheme="majorBidi"/>
                <w:color w:val="000000"/>
                <w:sz w:val="20"/>
                <w:szCs w:val="20"/>
              </w:rPr>
            </w:pPr>
          </w:p>
        </w:tc>
      </w:tr>
      <w:tr w:rsidR="00735E13" w:rsidRPr="0086524B" w14:paraId="39454638" w14:textId="77777777" w:rsidTr="008F7436">
        <w:trPr>
          <w:trHeight w:val="548"/>
        </w:trPr>
        <w:tc>
          <w:tcPr>
            <w:tcW w:w="1281" w:type="dxa"/>
            <w:tcBorders>
              <w:top w:val="single" w:sz="4" w:space="0" w:color="auto"/>
              <w:left w:val="single" w:sz="4" w:space="0" w:color="auto"/>
              <w:bottom w:val="single" w:sz="4" w:space="0" w:color="auto"/>
              <w:right w:val="single" w:sz="4" w:space="0" w:color="auto"/>
            </w:tcBorders>
            <w:hideMark/>
          </w:tcPr>
          <w:p w14:paraId="40D8B0C8"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Thakur H, 2013 (41)</w:t>
            </w:r>
          </w:p>
        </w:tc>
        <w:tc>
          <w:tcPr>
            <w:tcW w:w="8763" w:type="dxa"/>
            <w:tcBorders>
              <w:top w:val="single" w:sz="4" w:space="0" w:color="auto"/>
              <w:left w:val="single" w:sz="4" w:space="0" w:color="auto"/>
              <w:bottom w:val="single" w:sz="4" w:space="0" w:color="auto"/>
              <w:right w:val="single" w:sz="4" w:space="0" w:color="auto"/>
            </w:tcBorders>
            <w:hideMark/>
          </w:tcPr>
          <w:p w14:paraId="5402C98A"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NR </w:t>
            </w:r>
          </w:p>
        </w:tc>
        <w:tc>
          <w:tcPr>
            <w:tcW w:w="1381" w:type="dxa"/>
            <w:tcBorders>
              <w:top w:val="single" w:sz="4" w:space="0" w:color="auto"/>
              <w:left w:val="single" w:sz="4" w:space="0" w:color="auto"/>
              <w:bottom w:val="single" w:sz="4" w:space="0" w:color="auto"/>
              <w:right w:val="single" w:sz="4" w:space="0" w:color="auto"/>
            </w:tcBorders>
            <w:hideMark/>
          </w:tcPr>
          <w:p w14:paraId="09FA87A8"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5 months </w:t>
            </w:r>
          </w:p>
        </w:tc>
        <w:tc>
          <w:tcPr>
            <w:tcW w:w="1805" w:type="dxa"/>
            <w:tcBorders>
              <w:top w:val="single" w:sz="4" w:space="0" w:color="auto"/>
              <w:left w:val="single" w:sz="4" w:space="0" w:color="auto"/>
              <w:bottom w:val="single" w:sz="4" w:space="0" w:color="auto"/>
              <w:right w:val="single" w:sz="4" w:space="0" w:color="auto"/>
            </w:tcBorders>
            <w:hideMark/>
          </w:tcPr>
          <w:p w14:paraId="6B32E74F"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100 patients</w:t>
            </w:r>
          </w:p>
        </w:tc>
        <w:tc>
          <w:tcPr>
            <w:tcW w:w="1615" w:type="dxa"/>
            <w:tcBorders>
              <w:top w:val="single" w:sz="4" w:space="0" w:color="auto"/>
              <w:left w:val="single" w:sz="4" w:space="0" w:color="auto"/>
              <w:bottom w:val="single" w:sz="4" w:space="0" w:color="auto"/>
              <w:right w:val="single" w:sz="4" w:space="0" w:color="auto"/>
            </w:tcBorders>
            <w:hideMark/>
          </w:tcPr>
          <w:p w14:paraId="1AE0B325"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171 ME</w:t>
            </w:r>
          </w:p>
        </w:tc>
      </w:tr>
      <w:tr w:rsidR="00735E13" w:rsidRPr="0086524B" w14:paraId="6C4598F2" w14:textId="77777777" w:rsidTr="008F7436">
        <w:trPr>
          <w:trHeight w:val="323"/>
        </w:trPr>
        <w:tc>
          <w:tcPr>
            <w:tcW w:w="14845" w:type="dxa"/>
            <w:gridSpan w:val="5"/>
            <w:tcBorders>
              <w:top w:val="single" w:sz="4" w:space="0" w:color="auto"/>
              <w:left w:val="single" w:sz="4" w:space="0" w:color="auto"/>
              <w:bottom w:val="single" w:sz="4" w:space="0" w:color="auto"/>
              <w:right w:val="single" w:sz="4" w:space="0" w:color="auto"/>
            </w:tcBorders>
            <w:hideMark/>
          </w:tcPr>
          <w:p w14:paraId="31A39987" w14:textId="77777777"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sz w:val="20"/>
                <w:szCs w:val="20"/>
              </w:rPr>
              <w:t>ME: medication errors; NR: not reported</w:t>
            </w:r>
          </w:p>
        </w:tc>
      </w:tr>
    </w:tbl>
    <w:p w14:paraId="5375EA88" w14:textId="6DB34F13" w:rsidR="00D71A9E" w:rsidRPr="0086524B" w:rsidRDefault="00D71A9E" w:rsidP="00D71A9E">
      <w:pPr>
        <w:tabs>
          <w:tab w:val="left" w:pos="1250"/>
        </w:tabs>
        <w:rPr>
          <w:rFonts w:asciiTheme="majorBidi" w:hAnsiTheme="majorBidi" w:cstheme="majorBidi"/>
          <w:sz w:val="20"/>
          <w:szCs w:val="20"/>
        </w:rPr>
      </w:pPr>
    </w:p>
    <w:tbl>
      <w:tblPr>
        <w:tblStyle w:val="TableGrid"/>
        <w:tblW w:w="15120" w:type="dxa"/>
        <w:tblInd w:w="-1175" w:type="dxa"/>
        <w:tblLayout w:type="fixed"/>
        <w:tblLook w:val="04A0" w:firstRow="1" w:lastRow="0" w:firstColumn="1" w:lastColumn="0" w:noHBand="0" w:noVBand="1"/>
      </w:tblPr>
      <w:tblGrid>
        <w:gridCol w:w="1350"/>
        <w:gridCol w:w="4230"/>
        <w:gridCol w:w="2340"/>
        <w:gridCol w:w="1260"/>
        <w:gridCol w:w="1530"/>
        <w:gridCol w:w="1710"/>
        <w:gridCol w:w="2700"/>
      </w:tblGrid>
      <w:tr w:rsidR="00735E13" w:rsidRPr="0086524B" w14:paraId="25D63FD1" w14:textId="77777777" w:rsidTr="00735E13">
        <w:trPr>
          <w:trHeight w:val="440"/>
        </w:trPr>
        <w:tc>
          <w:tcPr>
            <w:tcW w:w="15120" w:type="dxa"/>
            <w:gridSpan w:val="7"/>
            <w:tcBorders>
              <w:top w:val="single" w:sz="4" w:space="0" w:color="auto"/>
              <w:left w:val="single" w:sz="4" w:space="0" w:color="auto"/>
              <w:bottom w:val="single" w:sz="4" w:space="0" w:color="auto"/>
              <w:right w:val="single" w:sz="4" w:space="0" w:color="auto"/>
            </w:tcBorders>
            <w:hideMark/>
          </w:tcPr>
          <w:p w14:paraId="424D2D79" w14:textId="0C7E71AB"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sz w:val="20"/>
                <w:szCs w:val="20"/>
              </w:rPr>
              <w:lastRenderedPageBreak/>
              <w:t xml:space="preserve">Table </w:t>
            </w:r>
            <w:r w:rsidR="008139B3">
              <w:rPr>
                <w:rFonts w:asciiTheme="majorBidi" w:hAnsiTheme="majorBidi" w:cstheme="majorBidi"/>
                <w:b/>
                <w:bCs/>
                <w:sz w:val="20"/>
                <w:szCs w:val="20"/>
              </w:rPr>
              <w:t>4</w:t>
            </w:r>
            <w:r w:rsidRPr="0086524B">
              <w:rPr>
                <w:rFonts w:asciiTheme="majorBidi" w:hAnsiTheme="majorBidi" w:cstheme="majorBidi"/>
                <w:b/>
                <w:bCs/>
                <w:sz w:val="20"/>
                <w:szCs w:val="20"/>
              </w:rPr>
              <w:t xml:space="preserve">. Outcomes of studies reporting prevalence data according to the </w:t>
            </w:r>
            <w:r w:rsidR="00736E0A">
              <w:rPr>
                <w:rFonts w:asciiTheme="majorBidi" w:hAnsiTheme="majorBidi" w:cstheme="majorBidi"/>
                <w:b/>
                <w:bCs/>
                <w:sz w:val="20"/>
                <w:szCs w:val="20"/>
              </w:rPr>
              <w:t xml:space="preserve">medication </w:t>
            </w:r>
            <w:r w:rsidRPr="0086524B">
              <w:rPr>
                <w:rFonts w:asciiTheme="majorBidi" w:hAnsiTheme="majorBidi" w:cstheme="majorBidi"/>
                <w:b/>
                <w:bCs/>
                <w:sz w:val="20"/>
                <w:szCs w:val="20"/>
              </w:rPr>
              <w:t xml:space="preserve">use process and type of prescribing errors </w:t>
            </w:r>
          </w:p>
        </w:tc>
      </w:tr>
      <w:tr w:rsidR="00735E13" w:rsidRPr="0086524B" w14:paraId="1AB2E156"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hideMark/>
          </w:tcPr>
          <w:p w14:paraId="275B0BFF"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b/>
                <w:bCs/>
                <w:sz w:val="20"/>
                <w:szCs w:val="20"/>
              </w:rPr>
              <w:t>Author, year of publication</w:t>
            </w:r>
          </w:p>
        </w:tc>
        <w:tc>
          <w:tcPr>
            <w:tcW w:w="4230" w:type="dxa"/>
            <w:tcBorders>
              <w:top w:val="single" w:sz="4" w:space="0" w:color="auto"/>
              <w:left w:val="single" w:sz="4" w:space="0" w:color="auto"/>
              <w:bottom w:val="single" w:sz="4" w:space="0" w:color="auto"/>
              <w:right w:val="single" w:sz="4" w:space="0" w:color="auto"/>
            </w:tcBorders>
            <w:hideMark/>
          </w:tcPr>
          <w:p w14:paraId="6AE7EBA8" w14:textId="77777777"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sz w:val="20"/>
                <w:szCs w:val="20"/>
              </w:rPr>
              <w:t>Methods specific to prevalence data reported according to the use process</w:t>
            </w:r>
          </w:p>
        </w:tc>
        <w:tc>
          <w:tcPr>
            <w:tcW w:w="2340" w:type="dxa"/>
            <w:tcBorders>
              <w:top w:val="single" w:sz="4" w:space="0" w:color="auto"/>
              <w:left w:val="single" w:sz="4" w:space="0" w:color="auto"/>
              <w:bottom w:val="single" w:sz="4" w:space="0" w:color="auto"/>
              <w:right w:val="single" w:sz="4" w:space="0" w:color="auto"/>
            </w:tcBorders>
            <w:hideMark/>
          </w:tcPr>
          <w:p w14:paraId="5E488ACF" w14:textId="77777777"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sz w:val="20"/>
                <w:szCs w:val="20"/>
              </w:rPr>
              <w:t xml:space="preserve">Methods specific to classifying ME according to the type of prescribing error  </w:t>
            </w:r>
          </w:p>
        </w:tc>
        <w:tc>
          <w:tcPr>
            <w:tcW w:w="1260" w:type="dxa"/>
            <w:tcBorders>
              <w:top w:val="single" w:sz="4" w:space="0" w:color="auto"/>
              <w:left w:val="single" w:sz="4" w:space="0" w:color="auto"/>
              <w:bottom w:val="single" w:sz="4" w:space="0" w:color="auto"/>
              <w:right w:val="single" w:sz="4" w:space="0" w:color="auto"/>
            </w:tcBorders>
            <w:hideMark/>
          </w:tcPr>
          <w:p w14:paraId="20020DEE" w14:textId="77777777"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sz w:val="20"/>
                <w:szCs w:val="20"/>
              </w:rPr>
              <w:t xml:space="preserve">Duration of prevalence data collection  </w:t>
            </w:r>
          </w:p>
        </w:tc>
        <w:tc>
          <w:tcPr>
            <w:tcW w:w="1530" w:type="dxa"/>
            <w:tcBorders>
              <w:top w:val="single" w:sz="4" w:space="0" w:color="auto"/>
              <w:left w:val="single" w:sz="4" w:space="0" w:color="auto"/>
              <w:bottom w:val="single" w:sz="4" w:space="0" w:color="auto"/>
              <w:right w:val="single" w:sz="4" w:space="0" w:color="auto"/>
            </w:tcBorders>
            <w:hideMark/>
          </w:tcPr>
          <w:p w14:paraId="09DD1810" w14:textId="77777777"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color w:val="000000" w:themeColor="text1"/>
                <w:sz w:val="20"/>
                <w:szCs w:val="20"/>
              </w:rPr>
              <w:t>Total number of observations (denominator)</w:t>
            </w:r>
          </w:p>
        </w:tc>
        <w:tc>
          <w:tcPr>
            <w:tcW w:w="1710" w:type="dxa"/>
            <w:tcBorders>
              <w:top w:val="single" w:sz="4" w:space="0" w:color="auto"/>
              <w:left w:val="single" w:sz="4" w:space="0" w:color="auto"/>
              <w:bottom w:val="single" w:sz="4" w:space="0" w:color="auto"/>
              <w:right w:val="single" w:sz="4" w:space="0" w:color="auto"/>
            </w:tcBorders>
            <w:hideMark/>
          </w:tcPr>
          <w:p w14:paraId="01F0E4EC" w14:textId="77777777"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sz w:val="20"/>
                <w:szCs w:val="20"/>
              </w:rPr>
              <w:t xml:space="preserve">Number of errors according to the medication use process </w:t>
            </w:r>
          </w:p>
        </w:tc>
        <w:tc>
          <w:tcPr>
            <w:tcW w:w="2700" w:type="dxa"/>
            <w:tcBorders>
              <w:top w:val="single" w:sz="4" w:space="0" w:color="auto"/>
              <w:left w:val="single" w:sz="4" w:space="0" w:color="auto"/>
              <w:bottom w:val="single" w:sz="4" w:space="0" w:color="auto"/>
              <w:right w:val="single" w:sz="4" w:space="0" w:color="auto"/>
            </w:tcBorders>
            <w:hideMark/>
          </w:tcPr>
          <w:p w14:paraId="118AF3AD" w14:textId="77777777"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sz w:val="20"/>
                <w:szCs w:val="20"/>
              </w:rPr>
              <w:t xml:space="preserve">Number of errors according to the type of prescribing errors  </w:t>
            </w:r>
          </w:p>
        </w:tc>
      </w:tr>
      <w:tr w:rsidR="00735E13" w:rsidRPr="0086524B" w14:paraId="3523A4FC"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tcPr>
          <w:p w14:paraId="5B7B4E2C"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Abramson E, 2011 (32)</w:t>
            </w:r>
          </w:p>
        </w:tc>
        <w:tc>
          <w:tcPr>
            <w:tcW w:w="4230" w:type="dxa"/>
            <w:tcBorders>
              <w:top w:val="single" w:sz="4" w:space="0" w:color="auto"/>
              <w:left w:val="single" w:sz="4" w:space="0" w:color="auto"/>
              <w:bottom w:val="single" w:sz="4" w:space="0" w:color="auto"/>
              <w:right w:val="single" w:sz="4" w:space="0" w:color="auto"/>
            </w:tcBorders>
            <w:hideMark/>
          </w:tcPr>
          <w:p w14:paraId="2472D51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A physician trained a nurse and pharmacist in an identical manner using well-used, standardized methodology. Interrater reliability was determined by having the pharmacist and nurse evaluate the same random sample of 2% of the data and calculating the k score </w:t>
            </w:r>
          </w:p>
        </w:tc>
        <w:tc>
          <w:tcPr>
            <w:tcW w:w="2340" w:type="dxa"/>
            <w:tcBorders>
              <w:top w:val="single" w:sz="4" w:space="0" w:color="auto"/>
              <w:left w:val="single" w:sz="4" w:space="0" w:color="auto"/>
              <w:bottom w:val="single" w:sz="4" w:space="0" w:color="auto"/>
              <w:right w:val="single" w:sz="4" w:space="0" w:color="auto"/>
            </w:tcBorders>
            <w:hideMark/>
          </w:tcPr>
          <w:p w14:paraId="6465846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Errors classified in accordance with definitions from the Institute of Medicine</w:t>
            </w:r>
          </w:p>
        </w:tc>
        <w:tc>
          <w:tcPr>
            <w:tcW w:w="1260" w:type="dxa"/>
            <w:tcBorders>
              <w:top w:val="single" w:sz="4" w:space="0" w:color="auto"/>
              <w:left w:val="single" w:sz="4" w:space="0" w:color="auto"/>
              <w:bottom w:val="single" w:sz="4" w:space="0" w:color="auto"/>
              <w:right w:val="single" w:sz="4" w:space="0" w:color="auto"/>
            </w:tcBorders>
            <w:hideMark/>
          </w:tcPr>
          <w:p w14:paraId="25966F31"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2 weeks </w:t>
            </w:r>
          </w:p>
        </w:tc>
        <w:tc>
          <w:tcPr>
            <w:tcW w:w="1530" w:type="dxa"/>
            <w:tcBorders>
              <w:top w:val="single" w:sz="4" w:space="0" w:color="auto"/>
              <w:left w:val="single" w:sz="4" w:space="0" w:color="auto"/>
              <w:bottom w:val="single" w:sz="4" w:space="0" w:color="auto"/>
              <w:right w:val="single" w:sz="4" w:space="0" w:color="auto"/>
            </w:tcBorders>
          </w:tcPr>
          <w:p w14:paraId="17346E9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5955 patients (9385 prescriptions) </w:t>
            </w:r>
          </w:p>
          <w:p w14:paraId="51843F45"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597C29C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19,956</w:t>
            </w:r>
          </w:p>
          <w:p w14:paraId="0B5BD732" w14:textId="77777777" w:rsidR="00735E13" w:rsidRPr="0086524B" w:rsidRDefault="00735E13" w:rsidP="008F7436">
            <w:pPr>
              <w:spacing w:line="240" w:lineRule="auto"/>
              <w:rPr>
                <w:rFonts w:asciiTheme="majorBidi" w:hAnsiTheme="majorBidi" w:cstheme="majorBidi"/>
                <w:color w:val="000000"/>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5D5B3E1A"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736</w:t>
            </w:r>
          </w:p>
          <w:p w14:paraId="106A5A58"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frequency: 192</w:t>
            </w:r>
          </w:p>
          <w:p w14:paraId="5B188ED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duration: 333</w:t>
            </w:r>
          </w:p>
          <w:p w14:paraId="582D137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-Wrong/omitted patient direction: 394</w:t>
            </w:r>
          </w:p>
          <w:p w14:paraId="5450A701"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-Others: 18,301</w:t>
            </w:r>
          </w:p>
        </w:tc>
      </w:tr>
      <w:tr w:rsidR="00735E13" w:rsidRPr="0086524B" w14:paraId="04D1B69E"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tcPr>
          <w:p w14:paraId="337D264C"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b/>
                <w:bCs/>
                <w:color w:val="000000"/>
                <w:sz w:val="20"/>
                <w:szCs w:val="20"/>
              </w:rPr>
              <w:t>Abramson E, 2013 (33)</w:t>
            </w:r>
          </w:p>
        </w:tc>
        <w:tc>
          <w:tcPr>
            <w:tcW w:w="4230" w:type="dxa"/>
            <w:tcBorders>
              <w:top w:val="single" w:sz="4" w:space="0" w:color="auto"/>
              <w:left w:val="single" w:sz="4" w:space="0" w:color="auto"/>
              <w:bottom w:val="single" w:sz="4" w:space="0" w:color="auto"/>
              <w:right w:val="single" w:sz="4" w:space="0" w:color="auto"/>
            </w:tcBorders>
            <w:hideMark/>
          </w:tcPr>
          <w:p w14:paraId="633307C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An experienced nurse reviewer evaluated all prescriptions. This nurse had previously been trained to apply extensively used and standardized methodology that includes error classification and identification </w:t>
            </w:r>
          </w:p>
        </w:tc>
        <w:tc>
          <w:tcPr>
            <w:tcW w:w="2340" w:type="dxa"/>
            <w:tcBorders>
              <w:top w:val="single" w:sz="4" w:space="0" w:color="auto"/>
              <w:left w:val="single" w:sz="4" w:space="0" w:color="auto"/>
              <w:bottom w:val="single" w:sz="4" w:space="0" w:color="auto"/>
              <w:right w:val="single" w:sz="4" w:space="0" w:color="auto"/>
            </w:tcBorders>
            <w:hideMark/>
          </w:tcPr>
          <w:p w14:paraId="37BE32C9"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color w:val="000000"/>
                <w:sz w:val="20"/>
                <w:szCs w:val="20"/>
              </w:rPr>
              <w:t>Errors classified in accordance with definitions from the Institute of Medicine</w:t>
            </w:r>
            <w:r w:rsidRPr="0086524B">
              <w:rPr>
                <w:rFonts w:asciiTheme="majorBidi" w:hAnsiTheme="majorBidi" w:cstheme="majorBidi"/>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hideMark/>
          </w:tcPr>
          <w:p w14:paraId="16AF2C87"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2 weeks </w:t>
            </w:r>
          </w:p>
        </w:tc>
        <w:tc>
          <w:tcPr>
            <w:tcW w:w="1530" w:type="dxa"/>
            <w:tcBorders>
              <w:top w:val="single" w:sz="4" w:space="0" w:color="auto"/>
              <w:left w:val="single" w:sz="4" w:space="0" w:color="auto"/>
              <w:bottom w:val="single" w:sz="4" w:space="0" w:color="auto"/>
              <w:right w:val="single" w:sz="4" w:space="0" w:color="auto"/>
            </w:tcBorders>
          </w:tcPr>
          <w:p w14:paraId="594BF2E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920 patients (1905 prescriptions) </w:t>
            </w:r>
          </w:p>
          <w:p w14:paraId="51B2B381"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4F9D340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-PE: 71 </w:t>
            </w:r>
          </w:p>
          <w:p w14:paraId="5CE2CEE8" w14:textId="77777777" w:rsidR="00735E13" w:rsidRPr="0086524B" w:rsidRDefault="00735E13" w:rsidP="008F7436">
            <w:pPr>
              <w:spacing w:line="240" w:lineRule="auto"/>
              <w:rPr>
                <w:rFonts w:asciiTheme="majorBidi" w:hAnsiTheme="majorBidi" w:cstheme="majorBidi"/>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0428819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8</w:t>
            </w:r>
          </w:p>
          <w:p w14:paraId="210103A8"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frequency: 17</w:t>
            </w:r>
          </w:p>
          <w:p w14:paraId="3EF6108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duration: 5</w:t>
            </w:r>
          </w:p>
          <w:p w14:paraId="00E51CB5"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-Wrong/omitted patient direction: 7</w:t>
            </w:r>
          </w:p>
          <w:p w14:paraId="708B036C"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route: 1</w:t>
            </w:r>
          </w:p>
          <w:p w14:paraId="200F44D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-Others: 32</w:t>
            </w:r>
          </w:p>
        </w:tc>
      </w:tr>
      <w:tr w:rsidR="00735E13" w:rsidRPr="0086524B" w14:paraId="17E7C6CC"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hideMark/>
          </w:tcPr>
          <w:p w14:paraId="7C578730"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Al Khawaldeh T, 2017 (46)</w:t>
            </w:r>
          </w:p>
        </w:tc>
        <w:tc>
          <w:tcPr>
            <w:tcW w:w="4230" w:type="dxa"/>
            <w:tcBorders>
              <w:top w:val="single" w:sz="4" w:space="0" w:color="auto"/>
              <w:left w:val="single" w:sz="4" w:space="0" w:color="auto"/>
              <w:bottom w:val="single" w:sz="4" w:space="0" w:color="auto"/>
              <w:right w:val="single" w:sz="4" w:space="0" w:color="auto"/>
            </w:tcBorders>
            <w:hideMark/>
          </w:tcPr>
          <w:p w14:paraId="44EA3AB1"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Clinical pharmacist undertook direct observation of 5 outpatient nurses who administered chemotherapy drugs</w:t>
            </w:r>
          </w:p>
        </w:tc>
        <w:tc>
          <w:tcPr>
            <w:tcW w:w="2340" w:type="dxa"/>
            <w:tcBorders>
              <w:top w:val="single" w:sz="4" w:space="0" w:color="auto"/>
              <w:left w:val="single" w:sz="4" w:space="0" w:color="auto"/>
              <w:bottom w:val="single" w:sz="4" w:space="0" w:color="auto"/>
              <w:right w:val="single" w:sz="4" w:space="0" w:color="auto"/>
            </w:tcBorders>
            <w:hideMark/>
          </w:tcPr>
          <w:p w14:paraId="68DA74AF"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Not studied</w:t>
            </w:r>
          </w:p>
        </w:tc>
        <w:tc>
          <w:tcPr>
            <w:tcW w:w="1260" w:type="dxa"/>
            <w:tcBorders>
              <w:top w:val="single" w:sz="4" w:space="0" w:color="auto"/>
              <w:left w:val="single" w:sz="4" w:space="0" w:color="auto"/>
              <w:bottom w:val="single" w:sz="4" w:space="0" w:color="auto"/>
              <w:right w:val="single" w:sz="4" w:space="0" w:color="auto"/>
            </w:tcBorders>
            <w:hideMark/>
          </w:tcPr>
          <w:p w14:paraId="1FBB5C5B"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6 weeks</w:t>
            </w:r>
          </w:p>
        </w:tc>
        <w:tc>
          <w:tcPr>
            <w:tcW w:w="1530" w:type="dxa"/>
            <w:tcBorders>
              <w:top w:val="single" w:sz="4" w:space="0" w:color="auto"/>
              <w:left w:val="single" w:sz="4" w:space="0" w:color="auto"/>
              <w:bottom w:val="single" w:sz="4" w:space="0" w:color="auto"/>
              <w:right w:val="single" w:sz="4" w:space="0" w:color="auto"/>
            </w:tcBorders>
            <w:hideMark/>
          </w:tcPr>
          <w:p w14:paraId="71D2CF6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334 drugs administered/ prescriptions</w:t>
            </w:r>
          </w:p>
        </w:tc>
        <w:tc>
          <w:tcPr>
            <w:tcW w:w="1710" w:type="dxa"/>
            <w:tcBorders>
              <w:top w:val="single" w:sz="4" w:space="0" w:color="auto"/>
              <w:left w:val="single" w:sz="4" w:space="0" w:color="auto"/>
              <w:bottom w:val="single" w:sz="4" w:space="0" w:color="auto"/>
              <w:right w:val="single" w:sz="4" w:space="0" w:color="auto"/>
            </w:tcBorders>
          </w:tcPr>
          <w:p w14:paraId="3F6C3D33"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-Administration errors: 965</w:t>
            </w:r>
          </w:p>
          <w:p w14:paraId="367494C9" w14:textId="77777777" w:rsidR="00735E13" w:rsidRPr="0086524B" w:rsidRDefault="00735E13" w:rsidP="008F7436">
            <w:pPr>
              <w:spacing w:line="240" w:lineRule="auto"/>
              <w:rPr>
                <w:rFonts w:asciiTheme="majorBidi" w:hAnsiTheme="majorBidi" w:cstheme="majorBidi"/>
                <w:color w:val="000000"/>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317CB2E5"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Not studied </w:t>
            </w:r>
          </w:p>
        </w:tc>
      </w:tr>
      <w:tr w:rsidR="00735E13" w:rsidRPr="0086524B" w14:paraId="2A0AC9FC"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tcPr>
          <w:p w14:paraId="31C23E27"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Al-Khani S, 2013 (42)</w:t>
            </w:r>
          </w:p>
        </w:tc>
        <w:tc>
          <w:tcPr>
            <w:tcW w:w="4230" w:type="dxa"/>
            <w:tcBorders>
              <w:top w:val="single" w:sz="4" w:space="0" w:color="auto"/>
              <w:left w:val="single" w:sz="4" w:space="0" w:color="auto"/>
              <w:bottom w:val="single" w:sz="4" w:space="0" w:color="auto"/>
              <w:right w:val="single" w:sz="4" w:space="0" w:color="auto"/>
            </w:tcBorders>
            <w:hideMark/>
          </w:tcPr>
          <w:p w14:paraId="03D720EF"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All PE reported to the electronic reporting system (voluntary) by the pharmacist and reviewed by the quality control department and medication safety officer. Reports were thoroughly reviewed and evaluated by two researchers</w:t>
            </w:r>
          </w:p>
        </w:tc>
        <w:tc>
          <w:tcPr>
            <w:tcW w:w="2340" w:type="dxa"/>
            <w:tcBorders>
              <w:top w:val="single" w:sz="4" w:space="0" w:color="auto"/>
              <w:left w:val="single" w:sz="4" w:space="0" w:color="auto"/>
              <w:bottom w:val="single" w:sz="4" w:space="0" w:color="auto"/>
              <w:right w:val="single" w:sz="4" w:space="0" w:color="auto"/>
            </w:tcBorders>
            <w:hideMark/>
          </w:tcPr>
          <w:p w14:paraId="6F171E3A"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Errors classified in accordance with the classification of the electronic reporting system </w:t>
            </w:r>
          </w:p>
        </w:tc>
        <w:tc>
          <w:tcPr>
            <w:tcW w:w="1260" w:type="dxa"/>
            <w:tcBorders>
              <w:top w:val="single" w:sz="4" w:space="0" w:color="auto"/>
              <w:left w:val="single" w:sz="4" w:space="0" w:color="auto"/>
              <w:bottom w:val="single" w:sz="4" w:space="0" w:color="auto"/>
              <w:right w:val="single" w:sz="4" w:space="0" w:color="auto"/>
            </w:tcBorders>
            <w:hideMark/>
          </w:tcPr>
          <w:p w14:paraId="64EF9A1E"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21 months</w:t>
            </w:r>
          </w:p>
        </w:tc>
        <w:tc>
          <w:tcPr>
            <w:tcW w:w="1530" w:type="dxa"/>
            <w:tcBorders>
              <w:top w:val="single" w:sz="4" w:space="0" w:color="auto"/>
              <w:left w:val="single" w:sz="4" w:space="0" w:color="auto"/>
              <w:bottom w:val="single" w:sz="4" w:space="0" w:color="auto"/>
              <w:right w:val="single" w:sz="4" w:space="0" w:color="auto"/>
            </w:tcBorders>
          </w:tcPr>
          <w:p w14:paraId="56F86543"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NR</w:t>
            </w:r>
          </w:p>
          <w:p w14:paraId="1251988E" w14:textId="77777777" w:rsidR="00735E13" w:rsidRPr="0086524B" w:rsidRDefault="00735E13" w:rsidP="008F7436">
            <w:pPr>
              <w:spacing w:line="240" w:lineRule="auto"/>
              <w:rPr>
                <w:rFonts w:asciiTheme="majorBidi" w:hAnsiTheme="majorBidi" w:cstheme="majorBidi"/>
                <w:color w:val="000000"/>
                <w:sz w:val="20"/>
                <w:szCs w:val="20"/>
              </w:rPr>
            </w:pPr>
          </w:p>
          <w:p w14:paraId="5F563190"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08B84113"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2073</w:t>
            </w:r>
          </w:p>
          <w:p w14:paraId="1FA52EA0" w14:textId="77777777" w:rsidR="00735E13" w:rsidRPr="0086524B" w:rsidRDefault="00735E13" w:rsidP="008F7436">
            <w:pPr>
              <w:spacing w:line="240" w:lineRule="auto"/>
              <w:rPr>
                <w:rFonts w:asciiTheme="majorBidi" w:hAnsiTheme="majorBidi" w:cstheme="majorBidi"/>
                <w:color w:val="000000"/>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1EFA76DC"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1099</w:t>
            </w:r>
          </w:p>
          <w:p w14:paraId="09AE9B6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-Wrong/suboptimal drug: 242</w:t>
            </w:r>
          </w:p>
          <w:p w14:paraId="0A8BC0B1"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frequency: 180</w:t>
            </w:r>
          </w:p>
          <w:p w14:paraId="2E6C01B8"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duration: 49</w:t>
            </w:r>
          </w:p>
          <w:p w14:paraId="008ACB43"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route: 30</w:t>
            </w:r>
          </w:p>
          <w:p w14:paraId="67A46D8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 473</w:t>
            </w:r>
          </w:p>
        </w:tc>
      </w:tr>
      <w:tr w:rsidR="00735E13" w:rsidRPr="0086524B" w14:paraId="7A49A0EF"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hideMark/>
          </w:tcPr>
          <w:p w14:paraId="7AF383BD"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Assiri G, 2019 (43)</w:t>
            </w:r>
          </w:p>
        </w:tc>
        <w:tc>
          <w:tcPr>
            <w:tcW w:w="4230" w:type="dxa"/>
            <w:tcBorders>
              <w:top w:val="single" w:sz="4" w:space="0" w:color="auto"/>
              <w:left w:val="single" w:sz="4" w:space="0" w:color="auto"/>
              <w:bottom w:val="single" w:sz="4" w:space="0" w:color="auto"/>
              <w:right w:val="single" w:sz="4" w:space="0" w:color="auto"/>
            </w:tcBorders>
            <w:hideMark/>
          </w:tcPr>
          <w:p w14:paraId="6B11D68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In-depth electronic record screening was conducted. Clinically important errors as defined by the PINCER trial were identified. A second trained reviewer undertook the independent assessment of a random 10% of the sample of records. Any discrepancy was discussed and resolved through double-checking of records or arbitration if a decision could not be reached</w:t>
            </w:r>
          </w:p>
        </w:tc>
        <w:tc>
          <w:tcPr>
            <w:tcW w:w="2340" w:type="dxa"/>
            <w:tcBorders>
              <w:top w:val="single" w:sz="4" w:space="0" w:color="auto"/>
              <w:left w:val="single" w:sz="4" w:space="0" w:color="auto"/>
              <w:bottom w:val="single" w:sz="4" w:space="0" w:color="auto"/>
              <w:right w:val="single" w:sz="4" w:space="0" w:color="auto"/>
            </w:tcBorders>
            <w:hideMark/>
          </w:tcPr>
          <w:p w14:paraId="265FF66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NR  </w:t>
            </w:r>
          </w:p>
        </w:tc>
        <w:tc>
          <w:tcPr>
            <w:tcW w:w="1260" w:type="dxa"/>
            <w:tcBorders>
              <w:top w:val="single" w:sz="4" w:space="0" w:color="auto"/>
              <w:left w:val="single" w:sz="4" w:space="0" w:color="auto"/>
              <w:bottom w:val="single" w:sz="4" w:space="0" w:color="auto"/>
              <w:right w:val="single" w:sz="4" w:space="0" w:color="auto"/>
            </w:tcBorders>
            <w:hideMark/>
          </w:tcPr>
          <w:p w14:paraId="4A7C7C8C"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15 months </w:t>
            </w:r>
          </w:p>
        </w:tc>
        <w:tc>
          <w:tcPr>
            <w:tcW w:w="1530" w:type="dxa"/>
            <w:tcBorders>
              <w:top w:val="single" w:sz="4" w:space="0" w:color="auto"/>
              <w:left w:val="single" w:sz="4" w:space="0" w:color="auto"/>
              <w:bottom w:val="single" w:sz="4" w:space="0" w:color="auto"/>
              <w:right w:val="single" w:sz="4" w:space="0" w:color="auto"/>
            </w:tcBorders>
          </w:tcPr>
          <w:p w14:paraId="24C2EA5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2,000 patients </w:t>
            </w:r>
          </w:p>
          <w:p w14:paraId="64A5D404"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48C37C50"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-Clinically important PE: 156</w:t>
            </w:r>
          </w:p>
          <w:p w14:paraId="0E84E14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-Clinically important monitoring errors: 6 </w:t>
            </w:r>
          </w:p>
          <w:p w14:paraId="1AC24C70" w14:textId="77777777" w:rsidR="00735E13" w:rsidRPr="0086524B" w:rsidRDefault="00735E13" w:rsidP="008F7436">
            <w:pPr>
              <w:spacing w:line="240" w:lineRule="auto"/>
              <w:rPr>
                <w:rFonts w:asciiTheme="majorBidi" w:hAnsiTheme="majorBidi" w:cstheme="majorBidi"/>
                <w:color w:val="000000"/>
                <w:sz w:val="20"/>
                <w:szCs w:val="20"/>
              </w:rPr>
            </w:pPr>
          </w:p>
        </w:tc>
        <w:tc>
          <w:tcPr>
            <w:tcW w:w="2700" w:type="dxa"/>
            <w:tcBorders>
              <w:top w:val="single" w:sz="4" w:space="0" w:color="auto"/>
              <w:left w:val="single" w:sz="4" w:space="0" w:color="auto"/>
              <w:bottom w:val="single" w:sz="4" w:space="0" w:color="auto"/>
              <w:right w:val="single" w:sz="4" w:space="0" w:color="auto"/>
            </w:tcBorders>
          </w:tcPr>
          <w:p w14:paraId="2AFB25A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-Wrong/suboptimal drug: 33</w:t>
            </w:r>
          </w:p>
          <w:p w14:paraId="7FE03DA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-DDI: 2</w:t>
            </w:r>
          </w:p>
          <w:p w14:paraId="58A9FC2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-Combination of errors: 34</w:t>
            </w:r>
          </w:p>
          <w:p w14:paraId="0C3BE8FF"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 87</w:t>
            </w:r>
          </w:p>
          <w:p w14:paraId="71663D46" w14:textId="77777777" w:rsidR="00735E13" w:rsidRPr="0086524B" w:rsidRDefault="00735E13" w:rsidP="008F7436">
            <w:pPr>
              <w:spacing w:line="240" w:lineRule="auto"/>
              <w:rPr>
                <w:rFonts w:asciiTheme="majorBidi" w:hAnsiTheme="majorBidi" w:cstheme="majorBidi"/>
                <w:color w:val="000000"/>
                <w:sz w:val="20"/>
                <w:szCs w:val="20"/>
              </w:rPr>
            </w:pPr>
          </w:p>
        </w:tc>
      </w:tr>
      <w:tr w:rsidR="00735E13" w:rsidRPr="0086524B" w14:paraId="0E6C62DC"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hideMark/>
          </w:tcPr>
          <w:p w14:paraId="75AFF06D"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Belaiche S, 2012 (47)</w:t>
            </w:r>
          </w:p>
        </w:tc>
        <w:tc>
          <w:tcPr>
            <w:tcW w:w="4230" w:type="dxa"/>
            <w:tcBorders>
              <w:top w:val="single" w:sz="4" w:space="0" w:color="auto"/>
              <w:left w:val="single" w:sz="4" w:space="0" w:color="auto"/>
              <w:bottom w:val="single" w:sz="4" w:space="0" w:color="auto"/>
              <w:right w:val="single" w:sz="4" w:space="0" w:color="auto"/>
            </w:tcBorders>
            <w:hideMark/>
          </w:tcPr>
          <w:p w14:paraId="79A76C5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Pharmaceutical consultations by the pharmaceutical team (1 senior clinical pharmacist and 1 clinical pharmacy resident) </w:t>
            </w:r>
          </w:p>
        </w:tc>
        <w:tc>
          <w:tcPr>
            <w:tcW w:w="2340" w:type="dxa"/>
            <w:tcBorders>
              <w:top w:val="single" w:sz="4" w:space="0" w:color="auto"/>
              <w:left w:val="single" w:sz="4" w:space="0" w:color="auto"/>
              <w:bottom w:val="single" w:sz="4" w:space="0" w:color="auto"/>
              <w:right w:val="single" w:sz="4" w:space="0" w:color="auto"/>
            </w:tcBorders>
            <w:hideMark/>
          </w:tcPr>
          <w:p w14:paraId="26F38731"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NR  </w:t>
            </w:r>
          </w:p>
        </w:tc>
        <w:tc>
          <w:tcPr>
            <w:tcW w:w="1260" w:type="dxa"/>
            <w:tcBorders>
              <w:top w:val="single" w:sz="4" w:space="0" w:color="auto"/>
              <w:left w:val="single" w:sz="4" w:space="0" w:color="auto"/>
              <w:bottom w:val="single" w:sz="4" w:space="0" w:color="auto"/>
              <w:right w:val="single" w:sz="4" w:space="0" w:color="auto"/>
            </w:tcBorders>
            <w:hideMark/>
          </w:tcPr>
          <w:p w14:paraId="679630F3"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15 months </w:t>
            </w:r>
          </w:p>
        </w:tc>
        <w:tc>
          <w:tcPr>
            <w:tcW w:w="1530" w:type="dxa"/>
            <w:tcBorders>
              <w:top w:val="single" w:sz="4" w:space="0" w:color="auto"/>
              <w:left w:val="single" w:sz="4" w:space="0" w:color="auto"/>
              <w:bottom w:val="single" w:sz="4" w:space="0" w:color="auto"/>
              <w:right w:val="single" w:sz="4" w:space="0" w:color="auto"/>
            </w:tcBorders>
            <w:hideMark/>
          </w:tcPr>
          <w:p w14:paraId="07E0C56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42 patients (350 pharmaceutical consultations, 287 drugs)</w:t>
            </w:r>
          </w:p>
        </w:tc>
        <w:tc>
          <w:tcPr>
            <w:tcW w:w="1710" w:type="dxa"/>
            <w:tcBorders>
              <w:top w:val="single" w:sz="4" w:space="0" w:color="auto"/>
              <w:left w:val="single" w:sz="4" w:space="0" w:color="auto"/>
              <w:bottom w:val="single" w:sz="4" w:space="0" w:color="auto"/>
              <w:right w:val="single" w:sz="4" w:space="0" w:color="auto"/>
            </w:tcBorders>
            <w:hideMark/>
          </w:tcPr>
          <w:p w14:paraId="5502B6B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261</w:t>
            </w:r>
          </w:p>
          <w:p w14:paraId="6427AB2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-Administration errors: 2</w:t>
            </w:r>
          </w:p>
        </w:tc>
        <w:tc>
          <w:tcPr>
            <w:tcW w:w="2700" w:type="dxa"/>
            <w:tcBorders>
              <w:top w:val="single" w:sz="4" w:space="0" w:color="auto"/>
              <w:left w:val="single" w:sz="4" w:space="0" w:color="auto"/>
              <w:bottom w:val="single" w:sz="4" w:space="0" w:color="auto"/>
              <w:right w:val="single" w:sz="4" w:space="0" w:color="auto"/>
            </w:tcBorders>
            <w:hideMark/>
          </w:tcPr>
          <w:p w14:paraId="60DE8F0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116</w:t>
            </w:r>
          </w:p>
          <w:p w14:paraId="5521C36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-Wrong/suboptimal drug: 19</w:t>
            </w:r>
          </w:p>
          <w:p w14:paraId="0B531C2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Others: 126</w:t>
            </w:r>
          </w:p>
        </w:tc>
      </w:tr>
      <w:tr w:rsidR="00735E13" w:rsidRPr="0086524B" w14:paraId="5A5516C2"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tcPr>
          <w:p w14:paraId="6F193F1A"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lastRenderedPageBreak/>
              <w:t>Carollo J, 2017 (44)</w:t>
            </w:r>
          </w:p>
        </w:tc>
        <w:tc>
          <w:tcPr>
            <w:tcW w:w="4230" w:type="dxa"/>
            <w:tcBorders>
              <w:top w:val="single" w:sz="4" w:space="0" w:color="auto"/>
              <w:left w:val="single" w:sz="4" w:space="0" w:color="auto"/>
              <w:bottom w:val="single" w:sz="4" w:space="0" w:color="auto"/>
              <w:right w:val="single" w:sz="4" w:space="0" w:color="auto"/>
            </w:tcBorders>
          </w:tcPr>
          <w:p w14:paraId="3696B69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Data was collected using an instrument divided into four sections by evaluating patients’ medical records who received care, technical complaints forms, and incident notifications</w:t>
            </w:r>
          </w:p>
          <w:p w14:paraId="4EE7994B" w14:textId="77777777" w:rsidR="00735E13" w:rsidRPr="0086524B" w:rsidRDefault="00735E13" w:rsidP="008F7436">
            <w:pPr>
              <w:spacing w:line="240" w:lineRule="auto"/>
              <w:rPr>
                <w:rFonts w:asciiTheme="majorBidi" w:hAnsiTheme="majorBidi" w:cstheme="majorBidi"/>
                <w:color w:val="000000"/>
                <w:sz w:val="20"/>
                <w:szCs w:val="20"/>
              </w:rPr>
            </w:pPr>
          </w:p>
        </w:tc>
        <w:tc>
          <w:tcPr>
            <w:tcW w:w="2340" w:type="dxa"/>
            <w:tcBorders>
              <w:top w:val="single" w:sz="4" w:space="0" w:color="auto"/>
              <w:left w:val="single" w:sz="4" w:space="0" w:color="auto"/>
              <w:bottom w:val="single" w:sz="4" w:space="0" w:color="auto"/>
              <w:right w:val="single" w:sz="4" w:space="0" w:color="auto"/>
            </w:tcBorders>
            <w:hideMark/>
          </w:tcPr>
          <w:p w14:paraId="25F0B54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NR </w:t>
            </w:r>
          </w:p>
        </w:tc>
        <w:tc>
          <w:tcPr>
            <w:tcW w:w="1260" w:type="dxa"/>
            <w:tcBorders>
              <w:top w:val="single" w:sz="4" w:space="0" w:color="auto"/>
              <w:left w:val="single" w:sz="4" w:space="0" w:color="auto"/>
              <w:bottom w:val="single" w:sz="4" w:space="0" w:color="auto"/>
              <w:right w:val="single" w:sz="4" w:space="0" w:color="auto"/>
            </w:tcBorders>
            <w:hideMark/>
          </w:tcPr>
          <w:p w14:paraId="1E6829C2"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3 months </w:t>
            </w:r>
          </w:p>
        </w:tc>
        <w:tc>
          <w:tcPr>
            <w:tcW w:w="1530" w:type="dxa"/>
            <w:tcBorders>
              <w:top w:val="single" w:sz="4" w:space="0" w:color="auto"/>
              <w:left w:val="single" w:sz="4" w:space="0" w:color="auto"/>
              <w:bottom w:val="single" w:sz="4" w:space="0" w:color="auto"/>
              <w:right w:val="single" w:sz="4" w:space="0" w:color="auto"/>
            </w:tcBorders>
            <w:hideMark/>
          </w:tcPr>
          <w:p w14:paraId="1D16C8B4"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1,403 patients (1,403 healthcare procedures)</w:t>
            </w:r>
          </w:p>
        </w:tc>
        <w:tc>
          <w:tcPr>
            <w:tcW w:w="1710" w:type="dxa"/>
            <w:tcBorders>
              <w:top w:val="single" w:sz="4" w:space="0" w:color="auto"/>
              <w:left w:val="single" w:sz="4" w:space="0" w:color="auto"/>
              <w:bottom w:val="single" w:sz="4" w:space="0" w:color="auto"/>
              <w:right w:val="single" w:sz="4" w:space="0" w:color="auto"/>
            </w:tcBorders>
            <w:hideMark/>
          </w:tcPr>
          <w:p w14:paraId="0E1E50F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4819</w:t>
            </w:r>
          </w:p>
          <w:p w14:paraId="3C15210C"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-Dispensing errors: 21</w:t>
            </w:r>
          </w:p>
          <w:p w14:paraId="11A192D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-Administration errors: 27</w:t>
            </w:r>
          </w:p>
        </w:tc>
        <w:tc>
          <w:tcPr>
            <w:tcW w:w="2700" w:type="dxa"/>
            <w:tcBorders>
              <w:top w:val="single" w:sz="4" w:space="0" w:color="auto"/>
              <w:left w:val="single" w:sz="4" w:space="0" w:color="auto"/>
              <w:bottom w:val="single" w:sz="4" w:space="0" w:color="auto"/>
              <w:right w:val="single" w:sz="4" w:space="0" w:color="auto"/>
            </w:tcBorders>
            <w:hideMark/>
          </w:tcPr>
          <w:p w14:paraId="7E8C0964"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457</w:t>
            </w:r>
          </w:p>
          <w:p w14:paraId="5D512AC0"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-Wrong/suboptimal drug: 480</w:t>
            </w:r>
          </w:p>
          <w:p w14:paraId="0DE1F77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-Wrong duration: 529 </w:t>
            </w:r>
          </w:p>
          <w:p w14:paraId="30DF89C4"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-Wrong rout: 21, </w:t>
            </w:r>
          </w:p>
          <w:p w14:paraId="0AB4EF8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-Others: 3,332</w:t>
            </w:r>
          </w:p>
        </w:tc>
      </w:tr>
      <w:tr w:rsidR="00735E13" w:rsidRPr="0086524B" w14:paraId="49122A22"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hideMark/>
          </w:tcPr>
          <w:p w14:paraId="0D56E3BA"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Dempsey J, 2017 (36)</w:t>
            </w:r>
          </w:p>
        </w:tc>
        <w:tc>
          <w:tcPr>
            <w:tcW w:w="4230" w:type="dxa"/>
            <w:tcBorders>
              <w:top w:val="single" w:sz="4" w:space="0" w:color="auto"/>
              <w:left w:val="single" w:sz="4" w:space="0" w:color="auto"/>
              <w:bottom w:val="single" w:sz="4" w:space="0" w:color="auto"/>
              <w:right w:val="single" w:sz="4" w:space="0" w:color="auto"/>
            </w:tcBorders>
            <w:hideMark/>
          </w:tcPr>
          <w:p w14:paraId="596B027A"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A pharmacist reviewed each patient’s medical profile and medication list to identify and categorize ME. Each documented ME was verified by a second pharmacist </w:t>
            </w:r>
          </w:p>
        </w:tc>
        <w:tc>
          <w:tcPr>
            <w:tcW w:w="2340" w:type="dxa"/>
            <w:tcBorders>
              <w:top w:val="single" w:sz="4" w:space="0" w:color="auto"/>
              <w:left w:val="single" w:sz="4" w:space="0" w:color="auto"/>
              <w:bottom w:val="single" w:sz="4" w:space="0" w:color="auto"/>
              <w:right w:val="single" w:sz="4" w:space="0" w:color="auto"/>
            </w:tcBorders>
          </w:tcPr>
          <w:p w14:paraId="794AED1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Errors classified in accordance with the drug-related problems described by Hepler and Strand</w:t>
            </w:r>
          </w:p>
        </w:tc>
        <w:tc>
          <w:tcPr>
            <w:tcW w:w="1260" w:type="dxa"/>
            <w:tcBorders>
              <w:top w:val="single" w:sz="4" w:space="0" w:color="auto"/>
              <w:left w:val="single" w:sz="4" w:space="0" w:color="auto"/>
              <w:bottom w:val="single" w:sz="4" w:space="0" w:color="auto"/>
              <w:right w:val="single" w:sz="4" w:space="0" w:color="auto"/>
            </w:tcBorders>
            <w:hideMark/>
          </w:tcPr>
          <w:p w14:paraId="4A768557"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5 months </w:t>
            </w:r>
          </w:p>
        </w:tc>
        <w:tc>
          <w:tcPr>
            <w:tcW w:w="1530" w:type="dxa"/>
            <w:tcBorders>
              <w:top w:val="single" w:sz="4" w:space="0" w:color="auto"/>
              <w:left w:val="single" w:sz="4" w:space="0" w:color="auto"/>
              <w:bottom w:val="single" w:sz="4" w:space="0" w:color="auto"/>
              <w:right w:val="single" w:sz="4" w:space="0" w:color="auto"/>
            </w:tcBorders>
          </w:tcPr>
          <w:p w14:paraId="3FE6295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60 patients </w:t>
            </w:r>
          </w:p>
          <w:p w14:paraId="7BCD5E39"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10A4AC91"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211</w:t>
            </w:r>
          </w:p>
          <w:p w14:paraId="187CF3E5" w14:textId="77777777" w:rsidR="00735E13" w:rsidRPr="0086524B" w:rsidRDefault="00735E13" w:rsidP="008F7436">
            <w:pPr>
              <w:spacing w:line="240" w:lineRule="auto"/>
              <w:rPr>
                <w:rFonts w:asciiTheme="majorBidi" w:hAnsiTheme="majorBidi" w:cstheme="majorBidi"/>
                <w:color w:val="000000"/>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0CA55B08"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26</w:t>
            </w:r>
          </w:p>
          <w:p w14:paraId="3EA1F648"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-Wrong/suboptimal drug: 46</w:t>
            </w:r>
          </w:p>
          <w:p w14:paraId="667200B8"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-DDI: 90</w:t>
            </w:r>
          </w:p>
          <w:p w14:paraId="3E92878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-Contraindication: 11</w:t>
            </w:r>
          </w:p>
          <w:p w14:paraId="166558F3"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-Others: 38</w:t>
            </w:r>
          </w:p>
        </w:tc>
      </w:tr>
      <w:tr w:rsidR="00735E13" w:rsidRPr="0086524B" w14:paraId="458819DA"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tcPr>
          <w:p w14:paraId="58E73B9B"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Duarte et al, 2018 (45)</w:t>
            </w:r>
          </w:p>
        </w:tc>
        <w:tc>
          <w:tcPr>
            <w:tcW w:w="4230" w:type="dxa"/>
            <w:tcBorders>
              <w:top w:val="single" w:sz="4" w:space="0" w:color="auto"/>
              <w:left w:val="single" w:sz="4" w:space="0" w:color="auto"/>
              <w:bottom w:val="single" w:sz="4" w:space="0" w:color="auto"/>
              <w:right w:val="single" w:sz="4" w:space="0" w:color="auto"/>
            </w:tcBorders>
          </w:tcPr>
          <w:p w14:paraId="39E6A0AC"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A pharmacist evaluated prescriptions according to a set criteria such as using treatment protocol and dosage calculations</w:t>
            </w:r>
          </w:p>
          <w:p w14:paraId="5FAEA785" w14:textId="77777777" w:rsidR="00735E13" w:rsidRPr="0086524B" w:rsidRDefault="00735E13" w:rsidP="008F7436">
            <w:pPr>
              <w:spacing w:line="240" w:lineRule="auto"/>
              <w:rPr>
                <w:rFonts w:asciiTheme="majorBidi" w:hAnsiTheme="majorBidi" w:cstheme="majorBidi"/>
                <w:color w:val="000000"/>
                <w:sz w:val="20"/>
                <w:szCs w:val="20"/>
              </w:rPr>
            </w:pPr>
          </w:p>
        </w:tc>
        <w:tc>
          <w:tcPr>
            <w:tcW w:w="2340" w:type="dxa"/>
            <w:tcBorders>
              <w:top w:val="single" w:sz="4" w:space="0" w:color="auto"/>
              <w:left w:val="single" w:sz="4" w:space="0" w:color="auto"/>
              <w:bottom w:val="single" w:sz="4" w:space="0" w:color="auto"/>
              <w:right w:val="single" w:sz="4" w:space="0" w:color="auto"/>
            </w:tcBorders>
          </w:tcPr>
          <w:p w14:paraId="4A5D8CA1"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NR</w:t>
            </w:r>
          </w:p>
          <w:p w14:paraId="01E8EB3D" w14:textId="77777777" w:rsidR="00735E13" w:rsidRPr="0086524B" w:rsidRDefault="00735E13" w:rsidP="008F7436">
            <w:pPr>
              <w:spacing w:line="240" w:lineRule="auto"/>
              <w:rPr>
                <w:rFonts w:asciiTheme="majorBidi" w:hAnsiTheme="majorBidi" w:cstheme="majorBidi"/>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14:paraId="5F95221B"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6 months </w:t>
            </w:r>
          </w:p>
        </w:tc>
        <w:tc>
          <w:tcPr>
            <w:tcW w:w="1530" w:type="dxa"/>
            <w:tcBorders>
              <w:top w:val="single" w:sz="4" w:space="0" w:color="auto"/>
              <w:left w:val="single" w:sz="4" w:space="0" w:color="auto"/>
              <w:bottom w:val="single" w:sz="4" w:space="0" w:color="auto"/>
              <w:right w:val="single" w:sz="4" w:space="0" w:color="auto"/>
            </w:tcBorders>
          </w:tcPr>
          <w:p w14:paraId="774A405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780 patients (3526 prescriptions)</w:t>
            </w:r>
          </w:p>
          <w:p w14:paraId="76928AD0"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6EE445AC"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220</w:t>
            </w:r>
          </w:p>
          <w:p w14:paraId="4651B7EB" w14:textId="77777777" w:rsidR="00735E13" w:rsidRPr="0086524B" w:rsidRDefault="00735E13" w:rsidP="008F7436">
            <w:pPr>
              <w:spacing w:line="240" w:lineRule="auto"/>
              <w:rPr>
                <w:rFonts w:asciiTheme="majorBidi" w:hAnsiTheme="majorBidi" w:cstheme="majorBidi"/>
                <w:color w:val="000000"/>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48098385"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79</w:t>
            </w:r>
          </w:p>
          <w:p w14:paraId="3007544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-Wrong/suboptimal drug: 58</w:t>
            </w:r>
          </w:p>
          <w:p w14:paraId="243985F5"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frequency: 4</w:t>
            </w:r>
          </w:p>
          <w:p w14:paraId="4DD4D12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duration: 2</w:t>
            </w:r>
          </w:p>
          <w:p w14:paraId="7867E9FA"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-Others: 77 </w:t>
            </w:r>
          </w:p>
        </w:tc>
      </w:tr>
      <w:tr w:rsidR="00735E13" w:rsidRPr="0086524B" w14:paraId="10EA3DA7" w14:textId="77777777" w:rsidTr="00735E13">
        <w:trPr>
          <w:trHeight w:val="1160"/>
        </w:trPr>
        <w:tc>
          <w:tcPr>
            <w:tcW w:w="1350" w:type="dxa"/>
            <w:tcBorders>
              <w:top w:val="single" w:sz="4" w:space="0" w:color="auto"/>
              <w:left w:val="single" w:sz="4" w:space="0" w:color="auto"/>
              <w:bottom w:val="single" w:sz="4" w:space="0" w:color="auto"/>
              <w:right w:val="single" w:sz="4" w:space="0" w:color="auto"/>
            </w:tcBorders>
            <w:hideMark/>
          </w:tcPr>
          <w:p w14:paraId="115487C1"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Hernández S, 2018 (48)</w:t>
            </w:r>
          </w:p>
        </w:tc>
        <w:tc>
          <w:tcPr>
            <w:tcW w:w="4230" w:type="dxa"/>
            <w:tcBorders>
              <w:top w:val="single" w:sz="4" w:space="0" w:color="auto"/>
              <w:left w:val="single" w:sz="4" w:space="0" w:color="auto"/>
              <w:bottom w:val="single" w:sz="4" w:space="0" w:color="auto"/>
              <w:right w:val="single" w:sz="4" w:space="0" w:color="auto"/>
            </w:tcBorders>
            <w:hideMark/>
          </w:tcPr>
          <w:p w14:paraId="72E8BC7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The necessary data to evaluate the incidence of ME were obtained from reports, medical records review, and pharmacy dispensing medication profiles</w:t>
            </w:r>
          </w:p>
        </w:tc>
        <w:tc>
          <w:tcPr>
            <w:tcW w:w="2340" w:type="dxa"/>
            <w:tcBorders>
              <w:top w:val="single" w:sz="4" w:space="0" w:color="auto"/>
              <w:left w:val="single" w:sz="4" w:space="0" w:color="auto"/>
              <w:bottom w:val="single" w:sz="4" w:space="0" w:color="auto"/>
              <w:right w:val="single" w:sz="4" w:space="0" w:color="auto"/>
            </w:tcBorders>
            <w:hideMark/>
          </w:tcPr>
          <w:p w14:paraId="6594359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Not studied </w:t>
            </w:r>
          </w:p>
        </w:tc>
        <w:tc>
          <w:tcPr>
            <w:tcW w:w="1260" w:type="dxa"/>
            <w:tcBorders>
              <w:top w:val="single" w:sz="4" w:space="0" w:color="auto"/>
              <w:left w:val="single" w:sz="4" w:space="0" w:color="auto"/>
              <w:bottom w:val="single" w:sz="4" w:space="0" w:color="auto"/>
              <w:right w:val="single" w:sz="4" w:space="0" w:color="auto"/>
            </w:tcBorders>
            <w:hideMark/>
          </w:tcPr>
          <w:p w14:paraId="01D9D461"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4 years </w:t>
            </w:r>
          </w:p>
        </w:tc>
        <w:tc>
          <w:tcPr>
            <w:tcW w:w="1530" w:type="dxa"/>
            <w:tcBorders>
              <w:top w:val="single" w:sz="4" w:space="0" w:color="auto"/>
              <w:left w:val="single" w:sz="4" w:space="0" w:color="auto"/>
              <w:bottom w:val="single" w:sz="4" w:space="0" w:color="auto"/>
              <w:right w:val="single" w:sz="4" w:space="0" w:color="auto"/>
            </w:tcBorders>
          </w:tcPr>
          <w:p w14:paraId="1CB548E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2,218 patients </w:t>
            </w:r>
          </w:p>
          <w:p w14:paraId="71B9D00E"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hideMark/>
          </w:tcPr>
          <w:p w14:paraId="006FA4A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7</w:t>
            </w:r>
          </w:p>
          <w:p w14:paraId="560C15A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Dispensing errors: 86</w:t>
            </w:r>
          </w:p>
          <w:p w14:paraId="28A754A1"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-Administration errors: 0</w:t>
            </w:r>
          </w:p>
        </w:tc>
        <w:tc>
          <w:tcPr>
            <w:tcW w:w="2700" w:type="dxa"/>
            <w:tcBorders>
              <w:top w:val="single" w:sz="4" w:space="0" w:color="auto"/>
              <w:left w:val="single" w:sz="4" w:space="0" w:color="auto"/>
              <w:bottom w:val="single" w:sz="4" w:space="0" w:color="auto"/>
              <w:right w:val="single" w:sz="4" w:space="0" w:color="auto"/>
            </w:tcBorders>
            <w:hideMark/>
          </w:tcPr>
          <w:p w14:paraId="366662D4"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Not studied</w:t>
            </w:r>
          </w:p>
        </w:tc>
      </w:tr>
      <w:tr w:rsidR="00735E13" w:rsidRPr="0086524B" w14:paraId="3C8ABE0E"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hideMark/>
          </w:tcPr>
          <w:p w14:paraId="054BF2F5"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Howard M, 2016 (37)</w:t>
            </w:r>
          </w:p>
        </w:tc>
        <w:tc>
          <w:tcPr>
            <w:tcW w:w="4230" w:type="dxa"/>
            <w:tcBorders>
              <w:top w:val="single" w:sz="4" w:space="0" w:color="auto"/>
              <w:left w:val="single" w:sz="4" w:space="0" w:color="auto"/>
              <w:bottom w:val="single" w:sz="4" w:space="0" w:color="auto"/>
              <w:right w:val="single" w:sz="4" w:space="0" w:color="auto"/>
            </w:tcBorders>
            <w:hideMark/>
          </w:tcPr>
          <w:p w14:paraId="4DB458D3"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Not studied </w:t>
            </w:r>
          </w:p>
        </w:tc>
        <w:tc>
          <w:tcPr>
            <w:tcW w:w="2340" w:type="dxa"/>
            <w:tcBorders>
              <w:top w:val="single" w:sz="4" w:space="0" w:color="auto"/>
              <w:left w:val="single" w:sz="4" w:space="0" w:color="auto"/>
              <w:bottom w:val="single" w:sz="4" w:space="0" w:color="auto"/>
              <w:right w:val="single" w:sz="4" w:space="0" w:color="auto"/>
            </w:tcBorders>
            <w:hideMark/>
          </w:tcPr>
          <w:p w14:paraId="1AC07CD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Appropriateness of dose (FDA approved doses) was determined at the time of data collection </w:t>
            </w:r>
          </w:p>
        </w:tc>
        <w:tc>
          <w:tcPr>
            <w:tcW w:w="1260" w:type="dxa"/>
            <w:tcBorders>
              <w:top w:val="single" w:sz="4" w:space="0" w:color="auto"/>
              <w:left w:val="single" w:sz="4" w:space="0" w:color="auto"/>
              <w:bottom w:val="single" w:sz="4" w:space="0" w:color="auto"/>
              <w:right w:val="single" w:sz="4" w:space="0" w:color="auto"/>
            </w:tcBorders>
            <w:hideMark/>
          </w:tcPr>
          <w:p w14:paraId="6582AE1B"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6 months </w:t>
            </w:r>
          </w:p>
        </w:tc>
        <w:tc>
          <w:tcPr>
            <w:tcW w:w="1530" w:type="dxa"/>
            <w:tcBorders>
              <w:top w:val="single" w:sz="4" w:space="0" w:color="auto"/>
              <w:left w:val="single" w:sz="4" w:space="0" w:color="auto"/>
              <w:bottom w:val="single" w:sz="4" w:space="0" w:color="auto"/>
              <w:right w:val="single" w:sz="4" w:space="0" w:color="auto"/>
            </w:tcBorders>
          </w:tcPr>
          <w:p w14:paraId="615E25C3"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167 patients (167 drugs/ prescriptions)</w:t>
            </w:r>
          </w:p>
          <w:p w14:paraId="73DB8F84"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hideMark/>
          </w:tcPr>
          <w:p w14:paraId="491DA773"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Not studied </w:t>
            </w:r>
          </w:p>
        </w:tc>
        <w:tc>
          <w:tcPr>
            <w:tcW w:w="2700" w:type="dxa"/>
            <w:tcBorders>
              <w:top w:val="single" w:sz="4" w:space="0" w:color="auto"/>
              <w:left w:val="single" w:sz="4" w:space="0" w:color="auto"/>
              <w:bottom w:val="single" w:sz="4" w:space="0" w:color="auto"/>
              <w:right w:val="single" w:sz="4" w:space="0" w:color="auto"/>
            </w:tcBorders>
          </w:tcPr>
          <w:p w14:paraId="11ADC138"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24</w:t>
            </w:r>
          </w:p>
          <w:p w14:paraId="51DA3E09" w14:textId="77777777" w:rsidR="00735E13" w:rsidRPr="0086524B" w:rsidRDefault="00735E13" w:rsidP="008F7436">
            <w:pPr>
              <w:spacing w:line="240" w:lineRule="auto"/>
              <w:rPr>
                <w:rFonts w:asciiTheme="majorBidi" w:hAnsiTheme="majorBidi" w:cstheme="majorBidi"/>
                <w:color w:val="000000"/>
                <w:sz w:val="20"/>
                <w:szCs w:val="20"/>
              </w:rPr>
            </w:pPr>
          </w:p>
        </w:tc>
      </w:tr>
      <w:tr w:rsidR="00735E13" w:rsidRPr="0086524B" w14:paraId="14280DB2" w14:textId="77777777" w:rsidTr="00735E13">
        <w:trPr>
          <w:trHeight w:val="676"/>
        </w:trPr>
        <w:tc>
          <w:tcPr>
            <w:tcW w:w="1350" w:type="dxa"/>
            <w:tcBorders>
              <w:top w:val="single" w:sz="4" w:space="0" w:color="auto"/>
              <w:left w:val="single" w:sz="4" w:space="0" w:color="auto"/>
              <w:bottom w:val="single" w:sz="4" w:space="0" w:color="auto"/>
              <w:right w:val="single" w:sz="4" w:space="0" w:color="auto"/>
            </w:tcBorders>
          </w:tcPr>
          <w:p w14:paraId="31A9F04F"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b/>
                <w:bCs/>
                <w:color w:val="000000"/>
                <w:sz w:val="20"/>
                <w:szCs w:val="20"/>
              </w:rPr>
              <w:t>Kim G, 2016 (49)</w:t>
            </w:r>
          </w:p>
        </w:tc>
        <w:tc>
          <w:tcPr>
            <w:tcW w:w="4230" w:type="dxa"/>
            <w:tcBorders>
              <w:top w:val="single" w:sz="4" w:space="0" w:color="auto"/>
              <w:left w:val="single" w:sz="4" w:space="0" w:color="auto"/>
              <w:bottom w:val="single" w:sz="4" w:space="0" w:color="auto"/>
              <w:right w:val="single" w:sz="4" w:space="0" w:color="auto"/>
            </w:tcBorders>
            <w:hideMark/>
          </w:tcPr>
          <w:p w14:paraId="5F74DCA4"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Not studied </w:t>
            </w:r>
          </w:p>
        </w:tc>
        <w:tc>
          <w:tcPr>
            <w:tcW w:w="2340" w:type="dxa"/>
            <w:tcBorders>
              <w:top w:val="single" w:sz="4" w:space="0" w:color="auto"/>
              <w:left w:val="single" w:sz="4" w:space="0" w:color="auto"/>
              <w:bottom w:val="single" w:sz="4" w:space="0" w:color="auto"/>
              <w:right w:val="single" w:sz="4" w:space="0" w:color="auto"/>
            </w:tcBorders>
            <w:hideMark/>
          </w:tcPr>
          <w:p w14:paraId="21416688"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Clinical pharmacists reviewed prescriptions and evaluated the adherence to renal dosing according to Micromedex/Lexicomp</w:t>
            </w:r>
          </w:p>
        </w:tc>
        <w:tc>
          <w:tcPr>
            <w:tcW w:w="1260" w:type="dxa"/>
            <w:tcBorders>
              <w:top w:val="single" w:sz="4" w:space="0" w:color="auto"/>
              <w:left w:val="single" w:sz="4" w:space="0" w:color="auto"/>
              <w:bottom w:val="single" w:sz="4" w:space="0" w:color="auto"/>
              <w:right w:val="single" w:sz="4" w:space="0" w:color="auto"/>
            </w:tcBorders>
            <w:hideMark/>
          </w:tcPr>
          <w:p w14:paraId="650738E9"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40 days </w:t>
            </w:r>
          </w:p>
        </w:tc>
        <w:tc>
          <w:tcPr>
            <w:tcW w:w="1530" w:type="dxa"/>
            <w:tcBorders>
              <w:top w:val="single" w:sz="4" w:space="0" w:color="auto"/>
              <w:left w:val="single" w:sz="4" w:space="0" w:color="auto"/>
              <w:bottom w:val="single" w:sz="4" w:space="0" w:color="auto"/>
              <w:right w:val="single" w:sz="4" w:space="0" w:color="auto"/>
            </w:tcBorders>
            <w:hideMark/>
          </w:tcPr>
          <w:p w14:paraId="611F23C0"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828 patients (1097 drugs)  </w:t>
            </w:r>
          </w:p>
        </w:tc>
        <w:tc>
          <w:tcPr>
            <w:tcW w:w="1710" w:type="dxa"/>
            <w:tcBorders>
              <w:top w:val="single" w:sz="4" w:space="0" w:color="auto"/>
              <w:left w:val="single" w:sz="4" w:space="0" w:color="auto"/>
              <w:bottom w:val="single" w:sz="4" w:space="0" w:color="auto"/>
              <w:right w:val="single" w:sz="4" w:space="0" w:color="auto"/>
            </w:tcBorders>
            <w:hideMark/>
          </w:tcPr>
          <w:p w14:paraId="02AB662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Not studied </w:t>
            </w:r>
          </w:p>
        </w:tc>
        <w:tc>
          <w:tcPr>
            <w:tcW w:w="2700" w:type="dxa"/>
            <w:tcBorders>
              <w:top w:val="single" w:sz="4" w:space="0" w:color="auto"/>
              <w:left w:val="single" w:sz="4" w:space="0" w:color="auto"/>
              <w:bottom w:val="single" w:sz="4" w:space="0" w:color="auto"/>
              <w:right w:val="single" w:sz="4" w:space="0" w:color="auto"/>
            </w:tcBorders>
            <w:hideMark/>
          </w:tcPr>
          <w:p w14:paraId="047B95A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452</w:t>
            </w:r>
          </w:p>
        </w:tc>
      </w:tr>
      <w:tr w:rsidR="00735E13" w:rsidRPr="0086524B" w14:paraId="7B87AB67" w14:textId="77777777" w:rsidTr="00735E13">
        <w:trPr>
          <w:trHeight w:val="440"/>
        </w:trPr>
        <w:tc>
          <w:tcPr>
            <w:tcW w:w="1350" w:type="dxa"/>
            <w:tcBorders>
              <w:top w:val="single" w:sz="4" w:space="0" w:color="auto"/>
              <w:left w:val="single" w:sz="4" w:space="0" w:color="auto"/>
              <w:bottom w:val="single" w:sz="4" w:space="0" w:color="auto"/>
              <w:right w:val="single" w:sz="4" w:space="0" w:color="auto"/>
            </w:tcBorders>
          </w:tcPr>
          <w:p w14:paraId="5FA225B7"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b/>
                <w:bCs/>
                <w:color w:val="000000"/>
                <w:sz w:val="20"/>
                <w:szCs w:val="20"/>
              </w:rPr>
              <w:t>Lee P, 2016 (50)</w:t>
            </w:r>
          </w:p>
        </w:tc>
        <w:tc>
          <w:tcPr>
            <w:tcW w:w="4230" w:type="dxa"/>
            <w:tcBorders>
              <w:top w:val="single" w:sz="4" w:space="0" w:color="auto"/>
              <w:left w:val="single" w:sz="4" w:space="0" w:color="auto"/>
              <w:bottom w:val="single" w:sz="4" w:space="0" w:color="auto"/>
              <w:right w:val="single" w:sz="4" w:space="0" w:color="auto"/>
            </w:tcBorders>
            <w:hideMark/>
          </w:tcPr>
          <w:p w14:paraId="6A8DDA0C"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At each visit, the patient was seen by the transplant pharmacist after consultation with the physician. The pharmacist reviewed and optimized the medication regimens. Any ME or discrepancies identified during the consultation were discussed with the physicians-in-charge </w:t>
            </w:r>
          </w:p>
        </w:tc>
        <w:tc>
          <w:tcPr>
            <w:tcW w:w="2340" w:type="dxa"/>
            <w:tcBorders>
              <w:top w:val="single" w:sz="4" w:space="0" w:color="auto"/>
              <w:left w:val="single" w:sz="4" w:space="0" w:color="auto"/>
              <w:bottom w:val="single" w:sz="4" w:space="0" w:color="auto"/>
              <w:right w:val="single" w:sz="4" w:space="0" w:color="auto"/>
            </w:tcBorders>
          </w:tcPr>
          <w:p w14:paraId="5EF2EA8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Errors classified according to Strand criteria and American College of Clinical Pharmacy guidelines for therapeutic interchange </w:t>
            </w:r>
          </w:p>
        </w:tc>
        <w:tc>
          <w:tcPr>
            <w:tcW w:w="1260" w:type="dxa"/>
            <w:tcBorders>
              <w:top w:val="single" w:sz="4" w:space="0" w:color="auto"/>
              <w:left w:val="single" w:sz="4" w:space="0" w:color="auto"/>
              <w:bottom w:val="single" w:sz="4" w:space="0" w:color="auto"/>
              <w:right w:val="single" w:sz="4" w:space="0" w:color="auto"/>
            </w:tcBorders>
            <w:hideMark/>
          </w:tcPr>
          <w:p w14:paraId="281D2E84"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19 months</w:t>
            </w:r>
          </w:p>
        </w:tc>
        <w:tc>
          <w:tcPr>
            <w:tcW w:w="1530" w:type="dxa"/>
            <w:tcBorders>
              <w:top w:val="single" w:sz="4" w:space="0" w:color="auto"/>
              <w:left w:val="single" w:sz="4" w:space="0" w:color="auto"/>
              <w:bottom w:val="single" w:sz="4" w:space="0" w:color="auto"/>
              <w:right w:val="single" w:sz="4" w:space="0" w:color="auto"/>
            </w:tcBorders>
          </w:tcPr>
          <w:p w14:paraId="028E4B2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1271 patients (3581 prescriptions)</w:t>
            </w:r>
          </w:p>
          <w:p w14:paraId="27E50E47"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196172B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errors: 843</w:t>
            </w:r>
          </w:p>
          <w:p w14:paraId="4A7BAF4D" w14:textId="77777777" w:rsidR="00735E13" w:rsidRPr="0086524B" w:rsidRDefault="00735E13" w:rsidP="008F7436">
            <w:pPr>
              <w:spacing w:line="240" w:lineRule="auto"/>
              <w:rPr>
                <w:rFonts w:asciiTheme="majorBidi" w:hAnsiTheme="majorBidi" w:cstheme="majorBidi"/>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0600F35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254</w:t>
            </w:r>
          </w:p>
          <w:p w14:paraId="6D85212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-Wrong/suboptimal drug: 75</w:t>
            </w:r>
          </w:p>
          <w:p w14:paraId="2756DF38"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-DDI: 3</w:t>
            </w:r>
          </w:p>
          <w:p w14:paraId="4ABE246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-Others: 511</w:t>
            </w:r>
          </w:p>
        </w:tc>
      </w:tr>
      <w:tr w:rsidR="00735E13" w:rsidRPr="0086524B" w14:paraId="458315A8"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tcPr>
          <w:p w14:paraId="1EC797C4"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Niriayo Y, 2018 (51)</w:t>
            </w:r>
          </w:p>
        </w:tc>
        <w:tc>
          <w:tcPr>
            <w:tcW w:w="4230" w:type="dxa"/>
            <w:tcBorders>
              <w:top w:val="single" w:sz="4" w:space="0" w:color="auto"/>
              <w:left w:val="single" w:sz="4" w:space="0" w:color="auto"/>
              <w:bottom w:val="single" w:sz="4" w:space="0" w:color="auto"/>
              <w:right w:val="single" w:sz="4" w:space="0" w:color="auto"/>
            </w:tcBorders>
            <w:hideMark/>
          </w:tcPr>
          <w:p w14:paraId="6A15EBBA"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Patients were interviewed consecutively using the interview questionnaire and their respective medical chart was retrieved using the retrieval checklist. Clinical pharmacists, nurses and </w:t>
            </w:r>
            <w:r w:rsidRPr="0086524B">
              <w:rPr>
                <w:rFonts w:asciiTheme="majorBidi" w:hAnsiTheme="majorBidi" w:cstheme="majorBidi"/>
                <w:color w:val="000000"/>
                <w:sz w:val="20"/>
                <w:szCs w:val="20"/>
              </w:rPr>
              <w:lastRenderedPageBreak/>
              <w:t>physician were involved in data collection. Training and orientation were given. ME were identified using the Cipolle’s method followed by a consensus meeting with a panel of experts. The experts further refined ME identification method setting based on treatment and literature reviews</w:t>
            </w:r>
          </w:p>
        </w:tc>
        <w:tc>
          <w:tcPr>
            <w:tcW w:w="2340" w:type="dxa"/>
            <w:tcBorders>
              <w:top w:val="single" w:sz="4" w:space="0" w:color="auto"/>
              <w:left w:val="single" w:sz="4" w:space="0" w:color="auto"/>
              <w:bottom w:val="single" w:sz="4" w:space="0" w:color="auto"/>
              <w:right w:val="single" w:sz="4" w:space="0" w:color="auto"/>
            </w:tcBorders>
            <w:hideMark/>
          </w:tcPr>
          <w:p w14:paraId="6601413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lastRenderedPageBreak/>
              <w:t xml:space="preserve">Errors classified in accordance with the Cipolle’s method followed by a consensus </w:t>
            </w:r>
            <w:r w:rsidRPr="0086524B">
              <w:rPr>
                <w:rFonts w:asciiTheme="majorBidi" w:hAnsiTheme="majorBidi" w:cstheme="majorBidi"/>
                <w:color w:val="000000"/>
                <w:sz w:val="20"/>
                <w:szCs w:val="20"/>
              </w:rPr>
              <w:lastRenderedPageBreak/>
              <w:t>meeting with a panel of experts. The experts further refined ME classification method based on guidelines and literature reviews</w:t>
            </w:r>
          </w:p>
        </w:tc>
        <w:tc>
          <w:tcPr>
            <w:tcW w:w="1260" w:type="dxa"/>
            <w:tcBorders>
              <w:top w:val="single" w:sz="4" w:space="0" w:color="auto"/>
              <w:left w:val="single" w:sz="4" w:space="0" w:color="auto"/>
              <w:bottom w:val="single" w:sz="4" w:space="0" w:color="auto"/>
              <w:right w:val="single" w:sz="4" w:space="0" w:color="auto"/>
            </w:tcBorders>
            <w:hideMark/>
          </w:tcPr>
          <w:p w14:paraId="5930DF55"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lastRenderedPageBreak/>
              <w:t xml:space="preserve">12 months </w:t>
            </w:r>
          </w:p>
        </w:tc>
        <w:tc>
          <w:tcPr>
            <w:tcW w:w="1530" w:type="dxa"/>
            <w:tcBorders>
              <w:top w:val="single" w:sz="4" w:space="0" w:color="auto"/>
              <w:left w:val="single" w:sz="4" w:space="0" w:color="auto"/>
              <w:bottom w:val="single" w:sz="4" w:space="0" w:color="auto"/>
              <w:right w:val="single" w:sz="4" w:space="0" w:color="auto"/>
            </w:tcBorders>
          </w:tcPr>
          <w:p w14:paraId="42F4AABA"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340 patients (1389 drugs) </w:t>
            </w:r>
          </w:p>
          <w:p w14:paraId="3F467C29"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0E15FB8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800</w:t>
            </w:r>
          </w:p>
          <w:p w14:paraId="7C5F1A38" w14:textId="77777777" w:rsidR="00735E13" w:rsidRPr="0086524B" w:rsidRDefault="00735E13" w:rsidP="008F7436">
            <w:pPr>
              <w:spacing w:line="240" w:lineRule="auto"/>
              <w:rPr>
                <w:rFonts w:asciiTheme="majorBidi" w:hAnsiTheme="majorBidi" w:cstheme="majorBidi"/>
                <w:color w:val="000000"/>
                <w:sz w:val="20"/>
                <w:szCs w:val="20"/>
              </w:rPr>
            </w:pPr>
          </w:p>
        </w:tc>
        <w:tc>
          <w:tcPr>
            <w:tcW w:w="2700" w:type="dxa"/>
            <w:tcBorders>
              <w:top w:val="single" w:sz="4" w:space="0" w:color="auto"/>
              <w:left w:val="single" w:sz="4" w:space="0" w:color="auto"/>
              <w:bottom w:val="single" w:sz="4" w:space="0" w:color="auto"/>
              <w:right w:val="single" w:sz="4" w:space="0" w:color="auto"/>
            </w:tcBorders>
          </w:tcPr>
          <w:p w14:paraId="677DCEA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259</w:t>
            </w:r>
          </w:p>
          <w:p w14:paraId="606EB84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-Wrong/suboptimal drug: 267</w:t>
            </w:r>
          </w:p>
          <w:p w14:paraId="129FAE05"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-Others: 274</w:t>
            </w:r>
          </w:p>
          <w:p w14:paraId="12E3BAD4" w14:textId="77777777" w:rsidR="00735E13" w:rsidRPr="0086524B" w:rsidRDefault="00735E13" w:rsidP="008F7436">
            <w:pPr>
              <w:spacing w:line="240" w:lineRule="auto"/>
              <w:rPr>
                <w:rFonts w:asciiTheme="majorBidi" w:hAnsiTheme="majorBidi" w:cstheme="majorBidi"/>
                <w:color w:val="000000"/>
                <w:sz w:val="20"/>
                <w:szCs w:val="20"/>
              </w:rPr>
            </w:pPr>
          </w:p>
        </w:tc>
      </w:tr>
      <w:tr w:rsidR="00735E13" w:rsidRPr="0086524B" w14:paraId="3C9F8BF3"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hideMark/>
          </w:tcPr>
          <w:p w14:paraId="50E2A22D"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Ojeh V, 2015 (52)</w:t>
            </w:r>
          </w:p>
        </w:tc>
        <w:tc>
          <w:tcPr>
            <w:tcW w:w="4230" w:type="dxa"/>
            <w:tcBorders>
              <w:top w:val="single" w:sz="4" w:space="0" w:color="auto"/>
              <w:left w:val="single" w:sz="4" w:space="0" w:color="auto"/>
              <w:bottom w:val="single" w:sz="4" w:space="0" w:color="auto"/>
              <w:right w:val="single" w:sz="4" w:space="0" w:color="auto"/>
            </w:tcBorders>
            <w:hideMark/>
          </w:tcPr>
          <w:p w14:paraId="21747184"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At every fill/refill visit, pharmacists engaged in face-to-face interaction with the patient to verify the accuracy of prescriptions with consideration to clinical and laboratory parameters</w:t>
            </w:r>
          </w:p>
        </w:tc>
        <w:tc>
          <w:tcPr>
            <w:tcW w:w="2340" w:type="dxa"/>
            <w:tcBorders>
              <w:top w:val="single" w:sz="4" w:space="0" w:color="auto"/>
              <w:left w:val="single" w:sz="4" w:space="0" w:color="auto"/>
              <w:bottom w:val="single" w:sz="4" w:space="0" w:color="auto"/>
              <w:right w:val="single" w:sz="4" w:space="0" w:color="auto"/>
            </w:tcBorders>
          </w:tcPr>
          <w:p w14:paraId="0B338E4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NR</w:t>
            </w:r>
          </w:p>
          <w:p w14:paraId="53E5EB8B" w14:textId="77777777" w:rsidR="00735E13" w:rsidRPr="0086524B" w:rsidRDefault="00735E13" w:rsidP="008F7436">
            <w:pPr>
              <w:spacing w:line="240" w:lineRule="auto"/>
              <w:rPr>
                <w:rFonts w:asciiTheme="majorBidi" w:hAnsiTheme="majorBidi" w:cstheme="majorBidi"/>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14:paraId="368A24B7"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8 months </w:t>
            </w:r>
          </w:p>
        </w:tc>
        <w:tc>
          <w:tcPr>
            <w:tcW w:w="1530" w:type="dxa"/>
            <w:tcBorders>
              <w:top w:val="single" w:sz="4" w:space="0" w:color="auto"/>
              <w:left w:val="single" w:sz="4" w:space="0" w:color="auto"/>
              <w:bottom w:val="single" w:sz="4" w:space="0" w:color="auto"/>
              <w:right w:val="single" w:sz="4" w:space="0" w:color="auto"/>
            </w:tcBorders>
          </w:tcPr>
          <w:p w14:paraId="6CAF4590"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9,339 patients (42,416 prescriptions) </w:t>
            </w:r>
          </w:p>
          <w:p w14:paraId="1B0C9149"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4C2E6D9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345</w:t>
            </w:r>
          </w:p>
          <w:p w14:paraId="2C3026E8" w14:textId="77777777" w:rsidR="00735E13" w:rsidRPr="0086524B" w:rsidRDefault="00735E13" w:rsidP="008F7436">
            <w:pPr>
              <w:spacing w:line="240" w:lineRule="auto"/>
              <w:rPr>
                <w:rFonts w:asciiTheme="majorBidi" w:hAnsiTheme="majorBidi" w:cstheme="majorBidi"/>
                <w:color w:val="000000"/>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4E516A5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16</w:t>
            </w:r>
          </w:p>
          <w:p w14:paraId="2468B60A"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-Wrong/suboptimal drug: 110</w:t>
            </w:r>
          </w:p>
          <w:p w14:paraId="601C66D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-DDI: 6</w:t>
            </w:r>
          </w:p>
          <w:p w14:paraId="3CA20B5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-Contraindication: 2</w:t>
            </w:r>
          </w:p>
          <w:p w14:paraId="2F99DC2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-Others: 211</w:t>
            </w:r>
          </w:p>
        </w:tc>
      </w:tr>
      <w:tr w:rsidR="00735E13" w:rsidRPr="0086524B" w14:paraId="15F32C71"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tcPr>
          <w:p w14:paraId="4FC8C391"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Prasad D, 2020 (38)</w:t>
            </w:r>
          </w:p>
        </w:tc>
        <w:tc>
          <w:tcPr>
            <w:tcW w:w="4230" w:type="dxa"/>
            <w:tcBorders>
              <w:top w:val="single" w:sz="4" w:space="0" w:color="auto"/>
              <w:left w:val="single" w:sz="4" w:space="0" w:color="auto"/>
              <w:bottom w:val="single" w:sz="4" w:space="0" w:color="auto"/>
              <w:right w:val="single" w:sz="4" w:space="0" w:color="auto"/>
            </w:tcBorders>
            <w:hideMark/>
          </w:tcPr>
          <w:p w14:paraId="640366C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NR </w:t>
            </w:r>
          </w:p>
        </w:tc>
        <w:tc>
          <w:tcPr>
            <w:tcW w:w="2340" w:type="dxa"/>
            <w:tcBorders>
              <w:top w:val="single" w:sz="4" w:space="0" w:color="auto"/>
              <w:left w:val="single" w:sz="4" w:space="0" w:color="auto"/>
              <w:bottom w:val="single" w:sz="4" w:space="0" w:color="auto"/>
              <w:right w:val="single" w:sz="4" w:space="0" w:color="auto"/>
            </w:tcBorders>
            <w:hideMark/>
          </w:tcPr>
          <w:p w14:paraId="718B60C5"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NR</w:t>
            </w:r>
          </w:p>
        </w:tc>
        <w:tc>
          <w:tcPr>
            <w:tcW w:w="1260" w:type="dxa"/>
            <w:tcBorders>
              <w:top w:val="single" w:sz="4" w:space="0" w:color="auto"/>
              <w:left w:val="single" w:sz="4" w:space="0" w:color="auto"/>
              <w:bottom w:val="single" w:sz="4" w:space="0" w:color="auto"/>
              <w:right w:val="single" w:sz="4" w:space="0" w:color="auto"/>
            </w:tcBorders>
            <w:hideMark/>
          </w:tcPr>
          <w:p w14:paraId="0B0C5C68"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6 months </w:t>
            </w:r>
          </w:p>
        </w:tc>
        <w:tc>
          <w:tcPr>
            <w:tcW w:w="1530" w:type="dxa"/>
            <w:tcBorders>
              <w:top w:val="single" w:sz="4" w:space="0" w:color="auto"/>
              <w:left w:val="single" w:sz="4" w:space="0" w:color="auto"/>
              <w:bottom w:val="single" w:sz="4" w:space="0" w:color="auto"/>
              <w:right w:val="single" w:sz="4" w:space="0" w:color="auto"/>
            </w:tcBorders>
            <w:hideMark/>
          </w:tcPr>
          <w:p w14:paraId="7441B88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544 patients (544 prescriptions, </w:t>
            </w:r>
          </w:p>
          <w:p w14:paraId="1851F0F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1768 drugs)</w:t>
            </w:r>
          </w:p>
        </w:tc>
        <w:tc>
          <w:tcPr>
            <w:tcW w:w="1710" w:type="dxa"/>
            <w:tcBorders>
              <w:top w:val="single" w:sz="4" w:space="0" w:color="auto"/>
              <w:left w:val="single" w:sz="4" w:space="0" w:color="auto"/>
              <w:bottom w:val="single" w:sz="4" w:space="0" w:color="auto"/>
              <w:right w:val="single" w:sz="4" w:space="0" w:color="auto"/>
            </w:tcBorders>
          </w:tcPr>
          <w:p w14:paraId="1A95CB0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712</w:t>
            </w:r>
          </w:p>
          <w:p w14:paraId="7F9ADE8C"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-Dispensing error: 122</w:t>
            </w:r>
          </w:p>
          <w:p w14:paraId="7358AF98" w14:textId="77777777" w:rsidR="00735E13" w:rsidRPr="0086524B" w:rsidRDefault="00735E13" w:rsidP="008F7436">
            <w:pPr>
              <w:spacing w:line="240" w:lineRule="auto"/>
              <w:rPr>
                <w:rFonts w:asciiTheme="majorBidi" w:hAnsiTheme="majorBidi" w:cstheme="majorBidi"/>
                <w:color w:val="000000"/>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2C555B7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19</w:t>
            </w:r>
          </w:p>
          <w:p w14:paraId="61A2F12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-Wrong/suboptimal drug: 75</w:t>
            </w:r>
          </w:p>
          <w:p w14:paraId="430AF203"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-Others: 618 </w:t>
            </w:r>
          </w:p>
        </w:tc>
      </w:tr>
      <w:tr w:rsidR="00735E13" w:rsidRPr="0086524B" w14:paraId="1AA9F624" w14:textId="77777777" w:rsidTr="00735E13">
        <w:trPr>
          <w:trHeight w:val="440"/>
        </w:trPr>
        <w:tc>
          <w:tcPr>
            <w:tcW w:w="1350" w:type="dxa"/>
            <w:tcBorders>
              <w:top w:val="single" w:sz="4" w:space="0" w:color="auto"/>
              <w:left w:val="single" w:sz="4" w:space="0" w:color="auto"/>
              <w:bottom w:val="single" w:sz="4" w:space="0" w:color="auto"/>
              <w:right w:val="single" w:sz="4" w:space="0" w:color="auto"/>
            </w:tcBorders>
            <w:hideMark/>
          </w:tcPr>
          <w:p w14:paraId="2CFCAC3D"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Priya K, 2017 (39)</w:t>
            </w:r>
          </w:p>
        </w:tc>
        <w:tc>
          <w:tcPr>
            <w:tcW w:w="4230" w:type="dxa"/>
            <w:tcBorders>
              <w:top w:val="single" w:sz="4" w:space="0" w:color="auto"/>
              <w:left w:val="single" w:sz="4" w:space="0" w:color="auto"/>
              <w:bottom w:val="single" w:sz="4" w:space="0" w:color="auto"/>
              <w:right w:val="single" w:sz="4" w:space="0" w:color="auto"/>
            </w:tcBorders>
          </w:tcPr>
          <w:p w14:paraId="74687B0C"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Pharmacists auditing e-prescriptions</w:t>
            </w:r>
          </w:p>
          <w:p w14:paraId="674561DC" w14:textId="77777777" w:rsidR="00735E13" w:rsidRPr="0086524B" w:rsidRDefault="00735E13" w:rsidP="008F7436">
            <w:pPr>
              <w:spacing w:line="240" w:lineRule="auto"/>
              <w:rPr>
                <w:rFonts w:asciiTheme="majorBidi" w:hAnsiTheme="majorBidi" w:cstheme="majorBidi"/>
                <w:color w:val="000000"/>
                <w:sz w:val="20"/>
                <w:szCs w:val="20"/>
              </w:rPr>
            </w:pPr>
          </w:p>
        </w:tc>
        <w:tc>
          <w:tcPr>
            <w:tcW w:w="2340" w:type="dxa"/>
            <w:tcBorders>
              <w:top w:val="single" w:sz="4" w:space="0" w:color="auto"/>
              <w:left w:val="single" w:sz="4" w:space="0" w:color="auto"/>
              <w:bottom w:val="single" w:sz="4" w:space="0" w:color="auto"/>
              <w:right w:val="single" w:sz="4" w:space="0" w:color="auto"/>
            </w:tcBorders>
            <w:hideMark/>
          </w:tcPr>
          <w:p w14:paraId="6BC8215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PE classified according to NCCMERP. In addition to pharmacist professional knowledge, other clinical guidelines </w:t>
            </w:r>
          </w:p>
        </w:tc>
        <w:tc>
          <w:tcPr>
            <w:tcW w:w="1260" w:type="dxa"/>
            <w:tcBorders>
              <w:top w:val="single" w:sz="4" w:space="0" w:color="auto"/>
              <w:left w:val="single" w:sz="4" w:space="0" w:color="auto"/>
              <w:bottom w:val="single" w:sz="4" w:space="0" w:color="auto"/>
              <w:right w:val="single" w:sz="4" w:space="0" w:color="auto"/>
            </w:tcBorders>
            <w:hideMark/>
          </w:tcPr>
          <w:p w14:paraId="77B40070"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12 months </w:t>
            </w:r>
          </w:p>
        </w:tc>
        <w:tc>
          <w:tcPr>
            <w:tcW w:w="1530" w:type="dxa"/>
            <w:tcBorders>
              <w:top w:val="single" w:sz="4" w:space="0" w:color="auto"/>
              <w:left w:val="single" w:sz="4" w:space="0" w:color="auto"/>
              <w:bottom w:val="single" w:sz="4" w:space="0" w:color="auto"/>
              <w:right w:val="single" w:sz="4" w:space="0" w:color="auto"/>
            </w:tcBorders>
            <w:hideMark/>
          </w:tcPr>
          <w:p w14:paraId="4F81B003"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23,750 drugs</w:t>
            </w:r>
          </w:p>
        </w:tc>
        <w:tc>
          <w:tcPr>
            <w:tcW w:w="1710" w:type="dxa"/>
            <w:tcBorders>
              <w:top w:val="single" w:sz="4" w:space="0" w:color="auto"/>
              <w:left w:val="single" w:sz="4" w:space="0" w:color="auto"/>
              <w:bottom w:val="single" w:sz="4" w:space="0" w:color="auto"/>
              <w:right w:val="single" w:sz="4" w:space="0" w:color="auto"/>
            </w:tcBorders>
            <w:hideMark/>
          </w:tcPr>
          <w:p w14:paraId="3D4A4F83"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-PE: 226 </w:t>
            </w:r>
          </w:p>
        </w:tc>
        <w:tc>
          <w:tcPr>
            <w:tcW w:w="2700" w:type="dxa"/>
            <w:tcBorders>
              <w:top w:val="single" w:sz="4" w:space="0" w:color="auto"/>
              <w:left w:val="single" w:sz="4" w:space="0" w:color="auto"/>
              <w:bottom w:val="single" w:sz="4" w:space="0" w:color="auto"/>
              <w:right w:val="single" w:sz="4" w:space="0" w:color="auto"/>
            </w:tcBorders>
          </w:tcPr>
          <w:p w14:paraId="66D9280F"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frequency: 78</w:t>
            </w:r>
          </w:p>
          <w:p w14:paraId="33E2AEA0"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-DDI: 56</w:t>
            </w:r>
          </w:p>
          <w:p w14:paraId="1A520E8A"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-Other: 6 </w:t>
            </w:r>
          </w:p>
          <w:p w14:paraId="59047283" w14:textId="77777777" w:rsidR="00735E13" w:rsidRPr="0086524B" w:rsidRDefault="00735E13" w:rsidP="008F7436">
            <w:pPr>
              <w:spacing w:line="240" w:lineRule="auto"/>
              <w:rPr>
                <w:rFonts w:asciiTheme="majorBidi" w:hAnsiTheme="majorBidi" w:cstheme="majorBidi"/>
                <w:color w:val="000000"/>
                <w:sz w:val="20"/>
                <w:szCs w:val="20"/>
              </w:rPr>
            </w:pPr>
          </w:p>
        </w:tc>
      </w:tr>
      <w:tr w:rsidR="00735E13" w:rsidRPr="0086524B" w14:paraId="12245754"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tcPr>
          <w:p w14:paraId="055481CC"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Rouhani M, 2018 (53)</w:t>
            </w:r>
          </w:p>
        </w:tc>
        <w:tc>
          <w:tcPr>
            <w:tcW w:w="4230" w:type="dxa"/>
            <w:tcBorders>
              <w:top w:val="single" w:sz="4" w:space="0" w:color="auto"/>
              <w:left w:val="single" w:sz="4" w:space="0" w:color="auto"/>
              <w:bottom w:val="single" w:sz="4" w:space="0" w:color="auto"/>
              <w:right w:val="single" w:sz="4" w:space="0" w:color="auto"/>
            </w:tcBorders>
            <w:hideMark/>
          </w:tcPr>
          <w:p w14:paraId="160423D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 xml:space="preserve">NR </w:t>
            </w:r>
          </w:p>
        </w:tc>
        <w:tc>
          <w:tcPr>
            <w:tcW w:w="2340" w:type="dxa"/>
            <w:tcBorders>
              <w:top w:val="single" w:sz="4" w:space="0" w:color="auto"/>
              <w:left w:val="single" w:sz="4" w:space="0" w:color="auto"/>
              <w:bottom w:val="single" w:sz="4" w:space="0" w:color="auto"/>
              <w:right w:val="single" w:sz="4" w:space="0" w:color="auto"/>
            </w:tcBorders>
            <w:hideMark/>
          </w:tcPr>
          <w:p w14:paraId="37E083F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NR</w:t>
            </w:r>
          </w:p>
        </w:tc>
        <w:tc>
          <w:tcPr>
            <w:tcW w:w="1260" w:type="dxa"/>
            <w:tcBorders>
              <w:top w:val="single" w:sz="4" w:space="0" w:color="auto"/>
              <w:left w:val="single" w:sz="4" w:space="0" w:color="auto"/>
              <w:bottom w:val="single" w:sz="4" w:space="0" w:color="auto"/>
              <w:right w:val="single" w:sz="4" w:space="0" w:color="auto"/>
            </w:tcBorders>
            <w:hideMark/>
          </w:tcPr>
          <w:p w14:paraId="3B337ACA"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6 months</w:t>
            </w:r>
          </w:p>
        </w:tc>
        <w:tc>
          <w:tcPr>
            <w:tcW w:w="1530" w:type="dxa"/>
            <w:tcBorders>
              <w:top w:val="single" w:sz="4" w:space="0" w:color="auto"/>
              <w:left w:val="single" w:sz="4" w:space="0" w:color="auto"/>
              <w:bottom w:val="single" w:sz="4" w:space="0" w:color="auto"/>
              <w:right w:val="single" w:sz="4" w:space="0" w:color="auto"/>
            </w:tcBorders>
            <w:hideMark/>
          </w:tcPr>
          <w:p w14:paraId="40FA6BFA"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84 patients (217 cycles, 385 drugs)</w:t>
            </w:r>
          </w:p>
        </w:tc>
        <w:tc>
          <w:tcPr>
            <w:tcW w:w="1710" w:type="dxa"/>
            <w:tcBorders>
              <w:top w:val="single" w:sz="4" w:space="0" w:color="auto"/>
              <w:left w:val="single" w:sz="4" w:space="0" w:color="auto"/>
              <w:bottom w:val="single" w:sz="4" w:space="0" w:color="auto"/>
              <w:right w:val="single" w:sz="4" w:space="0" w:color="auto"/>
            </w:tcBorders>
            <w:hideMark/>
          </w:tcPr>
          <w:p w14:paraId="620D326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56</w:t>
            </w:r>
          </w:p>
          <w:p w14:paraId="2F549348"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-Administration errors: 33</w:t>
            </w:r>
          </w:p>
        </w:tc>
        <w:tc>
          <w:tcPr>
            <w:tcW w:w="2700" w:type="dxa"/>
            <w:tcBorders>
              <w:top w:val="single" w:sz="4" w:space="0" w:color="auto"/>
              <w:left w:val="single" w:sz="4" w:space="0" w:color="auto"/>
              <w:bottom w:val="single" w:sz="4" w:space="0" w:color="auto"/>
              <w:right w:val="single" w:sz="4" w:space="0" w:color="auto"/>
            </w:tcBorders>
            <w:hideMark/>
          </w:tcPr>
          <w:p w14:paraId="5AA30B85"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34</w:t>
            </w:r>
          </w:p>
          <w:p w14:paraId="3BFDC96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-Others: 22</w:t>
            </w:r>
          </w:p>
        </w:tc>
      </w:tr>
      <w:tr w:rsidR="00735E13" w:rsidRPr="0086524B" w14:paraId="74BADE2A"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tcPr>
          <w:p w14:paraId="1736DC01"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Shaikh A, 2017 (54)</w:t>
            </w:r>
          </w:p>
        </w:tc>
        <w:tc>
          <w:tcPr>
            <w:tcW w:w="4230" w:type="dxa"/>
            <w:tcBorders>
              <w:top w:val="single" w:sz="4" w:space="0" w:color="auto"/>
              <w:left w:val="single" w:sz="4" w:space="0" w:color="auto"/>
              <w:bottom w:val="single" w:sz="4" w:space="0" w:color="auto"/>
              <w:right w:val="single" w:sz="4" w:space="0" w:color="auto"/>
            </w:tcBorders>
            <w:hideMark/>
          </w:tcPr>
          <w:p w14:paraId="2EA2C577"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Identifying errors as per the WHO prescription writing guidelines, authenticated drug references drug information book and the British National Formulary (BNF)</w:t>
            </w:r>
          </w:p>
        </w:tc>
        <w:tc>
          <w:tcPr>
            <w:tcW w:w="2340" w:type="dxa"/>
            <w:tcBorders>
              <w:top w:val="single" w:sz="4" w:space="0" w:color="auto"/>
              <w:left w:val="single" w:sz="4" w:space="0" w:color="auto"/>
              <w:bottom w:val="single" w:sz="4" w:space="0" w:color="auto"/>
              <w:right w:val="single" w:sz="4" w:space="0" w:color="auto"/>
            </w:tcBorders>
          </w:tcPr>
          <w:p w14:paraId="357E3B6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NR</w:t>
            </w:r>
          </w:p>
          <w:p w14:paraId="46BA8C3B" w14:textId="77777777" w:rsidR="00735E13" w:rsidRPr="0086524B" w:rsidRDefault="00735E13" w:rsidP="008F7436">
            <w:pPr>
              <w:spacing w:line="240" w:lineRule="auto"/>
              <w:rPr>
                <w:rFonts w:asciiTheme="majorBidi" w:hAnsiTheme="majorBidi" w:cstheme="majorBidi"/>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hideMark/>
          </w:tcPr>
          <w:p w14:paraId="7DA27FC8"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NR</w:t>
            </w:r>
          </w:p>
        </w:tc>
        <w:tc>
          <w:tcPr>
            <w:tcW w:w="1530" w:type="dxa"/>
            <w:tcBorders>
              <w:top w:val="single" w:sz="4" w:space="0" w:color="auto"/>
              <w:left w:val="single" w:sz="4" w:space="0" w:color="auto"/>
              <w:bottom w:val="single" w:sz="4" w:space="0" w:color="auto"/>
              <w:right w:val="single" w:sz="4" w:space="0" w:color="auto"/>
            </w:tcBorders>
            <w:hideMark/>
          </w:tcPr>
          <w:p w14:paraId="5E0D1F61"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479 prescriptions</w:t>
            </w:r>
          </w:p>
        </w:tc>
        <w:tc>
          <w:tcPr>
            <w:tcW w:w="1710" w:type="dxa"/>
            <w:tcBorders>
              <w:top w:val="single" w:sz="4" w:space="0" w:color="auto"/>
              <w:left w:val="single" w:sz="4" w:space="0" w:color="auto"/>
              <w:bottom w:val="single" w:sz="4" w:space="0" w:color="auto"/>
              <w:right w:val="single" w:sz="4" w:space="0" w:color="auto"/>
            </w:tcBorders>
            <w:hideMark/>
          </w:tcPr>
          <w:p w14:paraId="3879B2A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458</w:t>
            </w:r>
          </w:p>
        </w:tc>
        <w:tc>
          <w:tcPr>
            <w:tcW w:w="2700" w:type="dxa"/>
            <w:tcBorders>
              <w:top w:val="single" w:sz="4" w:space="0" w:color="auto"/>
              <w:left w:val="single" w:sz="4" w:space="0" w:color="auto"/>
              <w:bottom w:val="single" w:sz="4" w:space="0" w:color="auto"/>
              <w:right w:val="single" w:sz="4" w:space="0" w:color="auto"/>
            </w:tcBorders>
            <w:hideMark/>
          </w:tcPr>
          <w:p w14:paraId="2FC8093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112</w:t>
            </w:r>
          </w:p>
          <w:p w14:paraId="2816343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frequency: 9</w:t>
            </w:r>
          </w:p>
          <w:p w14:paraId="76DDBC0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duration: 44</w:t>
            </w:r>
          </w:p>
          <w:p w14:paraId="33844705"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route: 89</w:t>
            </w:r>
          </w:p>
          <w:p w14:paraId="74A54DE0"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-DDI: 92</w:t>
            </w:r>
          </w:p>
          <w:p w14:paraId="04A97A0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-Others: 112</w:t>
            </w:r>
          </w:p>
        </w:tc>
      </w:tr>
      <w:tr w:rsidR="00735E13" w:rsidRPr="0086524B" w14:paraId="17C3E424"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tcPr>
          <w:p w14:paraId="3FE9F4FB"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Shakuntala B, 2019 (40)</w:t>
            </w:r>
          </w:p>
        </w:tc>
        <w:tc>
          <w:tcPr>
            <w:tcW w:w="4230" w:type="dxa"/>
            <w:tcBorders>
              <w:top w:val="single" w:sz="4" w:space="0" w:color="auto"/>
              <w:left w:val="single" w:sz="4" w:space="0" w:color="auto"/>
              <w:bottom w:val="single" w:sz="4" w:space="0" w:color="auto"/>
              <w:right w:val="single" w:sz="4" w:space="0" w:color="auto"/>
            </w:tcBorders>
            <w:hideMark/>
          </w:tcPr>
          <w:p w14:paraId="0D68279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The required information recorded prospectively in a specially designed form (case record) from the outpatient department prescription letter of every patient in the study</w:t>
            </w:r>
          </w:p>
        </w:tc>
        <w:tc>
          <w:tcPr>
            <w:tcW w:w="2340" w:type="dxa"/>
            <w:tcBorders>
              <w:top w:val="single" w:sz="4" w:space="0" w:color="auto"/>
              <w:left w:val="single" w:sz="4" w:space="0" w:color="auto"/>
              <w:bottom w:val="single" w:sz="4" w:space="0" w:color="auto"/>
              <w:right w:val="single" w:sz="4" w:space="0" w:color="auto"/>
            </w:tcBorders>
            <w:hideMark/>
          </w:tcPr>
          <w:p w14:paraId="6FC4711F"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NR</w:t>
            </w:r>
          </w:p>
        </w:tc>
        <w:tc>
          <w:tcPr>
            <w:tcW w:w="1260" w:type="dxa"/>
            <w:tcBorders>
              <w:top w:val="single" w:sz="4" w:space="0" w:color="auto"/>
              <w:left w:val="single" w:sz="4" w:space="0" w:color="auto"/>
              <w:bottom w:val="single" w:sz="4" w:space="0" w:color="auto"/>
              <w:right w:val="single" w:sz="4" w:space="0" w:color="auto"/>
            </w:tcBorders>
            <w:hideMark/>
          </w:tcPr>
          <w:p w14:paraId="5E34B037"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4 months </w:t>
            </w:r>
          </w:p>
        </w:tc>
        <w:tc>
          <w:tcPr>
            <w:tcW w:w="1530" w:type="dxa"/>
            <w:tcBorders>
              <w:top w:val="single" w:sz="4" w:space="0" w:color="auto"/>
              <w:left w:val="single" w:sz="4" w:space="0" w:color="auto"/>
              <w:bottom w:val="single" w:sz="4" w:space="0" w:color="auto"/>
              <w:right w:val="single" w:sz="4" w:space="0" w:color="auto"/>
            </w:tcBorders>
          </w:tcPr>
          <w:p w14:paraId="265914DC"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900 patients (900 prescriptions, 1400 antibiotic)</w:t>
            </w:r>
          </w:p>
        </w:tc>
        <w:tc>
          <w:tcPr>
            <w:tcW w:w="1710" w:type="dxa"/>
            <w:tcBorders>
              <w:top w:val="single" w:sz="4" w:space="0" w:color="auto"/>
              <w:left w:val="single" w:sz="4" w:space="0" w:color="auto"/>
              <w:bottom w:val="single" w:sz="4" w:space="0" w:color="auto"/>
              <w:right w:val="single" w:sz="4" w:space="0" w:color="auto"/>
            </w:tcBorders>
            <w:hideMark/>
          </w:tcPr>
          <w:p w14:paraId="4281FE75"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277</w:t>
            </w:r>
          </w:p>
        </w:tc>
        <w:tc>
          <w:tcPr>
            <w:tcW w:w="2700" w:type="dxa"/>
            <w:tcBorders>
              <w:top w:val="single" w:sz="4" w:space="0" w:color="auto"/>
              <w:left w:val="single" w:sz="4" w:space="0" w:color="auto"/>
              <w:bottom w:val="single" w:sz="4" w:space="0" w:color="auto"/>
              <w:right w:val="single" w:sz="4" w:space="0" w:color="auto"/>
            </w:tcBorders>
            <w:hideMark/>
          </w:tcPr>
          <w:p w14:paraId="100BB3BC"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frequency: 70</w:t>
            </w:r>
          </w:p>
          <w:p w14:paraId="2BFAF5FC"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duration: 196</w:t>
            </w:r>
          </w:p>
          <w:p w14:paraId="55BB915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route: 11</w:t>
            </w:r>
          </w:p>
        </w:tc>
      </w:tr>
      <w:tr w:rsidR="00735E13" w:rsidRPr="0086524B" w14:paraId="6B8CBC70" w14:textId="77777777" w:rsidTr="00735E13">
        <w:trPr>
          <w:trHeight w:val="645"/>
        </w:trPr>
        <w:tc>
          <w:tcPr>
            <w:tcW w:w="1350" w:type="dxa"/>
            <w:tcBorders>
              <w:top w:val="single" w:sz="4" w:space="0" w:color="auto"/>
              <w:left w:val="single" w:sz="4" w:space="0" w:color="auto"/>
              <w:bottom w:val="single" w:sz="4" w:space="0" w:color="auto"/>
              <w:right w:val="single" w:sz="4" w:space="0" w:color="auto"/>
            </w:tcBorders>
          </w:tcPr>
          <w:p w14:paraId="511406A1" w14:textId="77777777" w:rsidR="00735E13" w:rsidRPr="0086524B" w:rsidRDefault="00735E13" w:rsidP="008F7436">
            <w:pPr>
              <w:spacing w:line="240" w:lineRule="auto"/>
              <w:rPr>
                <w:rFonts w:asciiTheme="majorBidi" w:hAnsiTheme="majorBidi" w:cstheme="majorBidi"/>
                <w:b/>
                <w:bCs/>
                <w:color w:val="000000"/>
                <w:sz w:val="20"/>
                <w:szCs w:val="20"/>
              </w:rPr>
            </w:pPr>
            <w:r w:rsidRPr="0086524B">
              <w:rPr>
                <w:rFonts w:asciiTheme="majorBidi" w:hAnsiTheme="majorBidi" w:cstheme="majorBidi"/>
                <w:b/>
                <w:bCs/>
                <w:color w:val="000000"/>
                <w:sz w:val="20"/>
                <w:szCs w:val="20"/>
              </w:rPr>
              <w:t>Shrestha R, 2019 (55)</w:t>
            </w:r>
          </w:p>
        </w:tc>
        <w:tc>
          <w:tcPr>
            <w:tcW w:w="4230" w:type="dxa"/>
            <w:tcBorders>
              <w:top w:val="single" w:sz="4" w:space="0" w:color="auto"/>
              <w:left w:val="single" w:sz="4" w:space="0" w:color="auto"/>
              <w:bottom w:val="single" w:sz="4" w:space="0" w:color="auto"/>
              <w:right w:val="single" w:sz="4" w:space="0" w:color="auto"/>
            </w:tcBorders>
            <w:hideMark/>
          </w:tcPr>
          <w:p w14:paraId="084F2842"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The trained pharmacy personnel collected data on the WHO prescribing indicators and PE (parameters were prepared by studying WHO practical manual and previous studies) retrospectively</w:t>
            </w:r>
          </w:p>
        </w:tc>
        <w:tc>
          <w:tcPr>
            <w:tcW w:w="2340" w:type="dxa"/>
            <w:tcBorders>
              <w:top w:val="single" w:sz="4" w:space="0" w:color="auto"/>
              <w:left w:val="single" w:sz="4" w:space="0" w:color="auto"/>
              <w:bottom w:val="single" w:sz="4" w:space="0" w:color="auto"/>
              <w:right w:val="single" w:sz="4" w:space="0" w:color="auto"/>
            </w:tcBorders>
            <w:hideMark/>
          </w:tcPr>
          <w:p w14:paraId="5FC81051"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NR</w:t>
            </w:r>
          </w:p>
        </w:tc>
        <w:tc>
          <w:tcPr>
            <w:tcW w:w="1260" w:type="dxa"/>
            <w:tcBorders>
              <w:top w:val="single" w:sz="4" w:space="0" w:color="auto"/>
              <w:left w:val="single" w:sz="4" w:space="0" w:color="auto"/>
              <w:bottom w:val="single" w:sz="4" w:space="0" w:color="auto"/>
              <w:right w:val="single" w:sz="4" w:space="0" w:color="auto"/>
            </w:tcBorders>
            <w:hideMark/>
          </w:tcPr>
          <w:p w14:paraId="1926D0F0" w14:textId="77777777" w:rsidR="00735E13" w:rsidRPr="0086524B" w:rsidRDefault="00735E13" w:rsidP="008F7436">
            <w:pPr>
              <w:spacing w:line="240" w:lineRule="auto"/>
              <w:rPr>
                <w:rFonts w:asciiTheme="majorBidi" w:hAnsiTheme="majorBidi" w:cstheme="majorBidi"/>
                <w:sz w:val="20"/>
                <w:szCs w:val="20"/>
              </w:rPr>
            </w:pPr>
            <w:r w:rsidRPr="0086524B">
              <w:rPr>
                <w:rFonts w:asciiTheme="majorBidi" w:hAnsiTheme="majorBidi" w:cstheme="majorBidi"/>
                <w:sz w:val="20"/>
                <w:szCs w:val="20"/>
              </w:rPr>
              <w:t xml:space="preserve">2 months </w:t>
            </w:r>
          </w:p>
        </w:tc>
        <w:tc>
          <w:tcPr>
            <w:tcW w:w="1530" w:type="dxa"/>
            <w:tcBorders>
              <w:top w:val="single" w:sz="4" w:space="0" w:color="auto"/>
              <w:left w:val="single" w:sz="4" w:space="0" w:color="auto"/>
              <w:bottom w:val="single" w:sz="4" w:space="0" w:color="auto"/>
              <w:right w:val="single" w:sz="4" w:space="0" w:color="auto"/>
            </w:tcBorders>
          </w:tcPr>
          <w:p w14:paraId="012A550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770 prescriptions, 2448 drugs</w:t>
            </w:r>
          </w:p>
          <w:p w14:paraId="500D2FE8" w14:textId="77777777" w:rsidR="00735E13" w:rsidRPr="0086524B" w:rsidRDefault="00735E13" w:rsidP="008F7436">
            <w:pPr>
              <w:spacing w:line="240" w:lineRule="auto"/>
              <w:rPr>
                <w:rFonts w:asciiTheme="majorBidi" w:hAnsiTheme="majorBidi" w:cstheme="majorBidi"/>
                <w:color w:val="000000"/>
                <w:sz w:val="20"/>
                <w:szCs w:val="20"/>
              </w:rPr>
            </w:pPr>
          </w:p>
        </w:tc>
        <w:tc>
          <w:tcPr>
            <w:tcW w:w="1710" w:type="dxa"/>
            <w:tcBorders>
              <w:top w:val="single" w:sz="4" w:space="0" w:color="auto"/>
              <w:left w:val="single" w:sz="4" w:space="0" w:color="auto"/>
              <w:bottom w:val="single" w:sz="4" w:space="0" w:color="auto"/>
              <w:right w:val="single" w:sz="4" w:space="0" w:color="auto"/>
            </w:tcBorders>
          </w:tcPr>
          <w:p w14:paraId="24F3B7DE"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-PE: 1458</w:t>
            </w:r>
          </w:p>
          <w:p w14:paraId="34E183C2" w14:textId="77777777" w:rsidR="00735E13" w:rsidRPr="0086524B" w:rsidRDefault="00735E13" w:rsidP="008F7436">
            <w:pPr>
              <w:spacing w:line="240" w:lineRule="auto"/>
              <w:rPr>
                <w:rFonts w:asciiTheme="majorBidi" w:hAnsiTheme="majorBidi" w:cstheme="majorBidi"/>
                <w:color w:val="000000"/>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4A888796"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dose/strength: 11</w:t>
            </w:r>
          </w:p>
          <w:p w14:paraId="72C664B9"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-Wrong/suboptimal drug: 4</w:t>
            </w:r>
          </w:p>
          <w:p w14:paraId="4013083D"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-Wrong route: 5</w:t>
            </w:r>
          </w:p>
          <w:p w14:paraId="352FEFE4"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-DDI: 249</w:t>
            </w:r>
          </w:p>
          <w:p w14:paraId="0B12CE9B" w14:textId="77777777" w:rsidR="00735E13" w:rsidRPr="0086524B" w:rsidRDefault="00735E13" w:rsidP="008F7436">
            <w:pPr>
              <w:spacing w:line="240" w:lineRule="auto"/>
              <w:rPr>
                <w:rFonts w:asciiTheme="majorBidi" w:hAnsiTheme="majorBidi" w:cstheme="majorBidi"/>
                <w:color w:val="000000"/>
                <w:sz w:val="20"/>
                <w:szCs w:val="20"/>
              </w:rPr>
            </w:pPr>
            <w:r w:rsidRPr="0086524B">
              <w:rPr>
                <w:rFonts w:asciiTheme="majorBidi" w:hAnsiTheme="majorBidi" w:cstheme="majorBidi"/>
                <w:color w:val="000000"/>
                <w:sz w:val="20"/>
                <w:szCs w:val="20"/>
              </w:rPr>
              <w:t>-Others: 1189</w:t>
            </w:r>
          </w:p>
        </w:tc>
      </w:tr>
      <w:tr w:rsidR="00735E13" w:rsidRPr="0086524B" w14:paraId="7CE82167" w14:textId="77777777" w:rsidTr="00735E13">
        <w:trPr>
          <w:trHeight w:val="341"/>
        </w:trPr>
        <w:tc>
          <w:tcPr>
            <w:tcW w:w="15120" w:type="dxa"/>
            <w:gridSpan w:val="7"/>
            <w:tcBorders>
              <w:top w:val="single" w:sz="4" w:space="0" w:color="auto"/>
              <w:left w:val="single" w:sz="4" w:space="0" w:color="auto"/>
              <w:bottom w:val="single" w:sz="4" w:space="0" w:color="auto"/>
              <w:right w:val="single" w:sz="4" w:space="0" w:color="auto"/>
            </w:tcBorders>
            <w:hideMark/>
          </w:tcPr>
          <w:p w14:paraId="1126145E" w14:textId="77777777" w:rsidR="00735E13" w:rsidRPr="0086524B" w:rsidRDefault="00735E13" w:rsidP="008F7436">
            <w:pPr>
              <w:spacing w:line="240" w:lineRule="auto"/>
              <w:rPr>
                <w:rFonts w:asciiTheme="majorBidi" w:hAnsiTheme="majorBidi" w:cstheme="majorBidi"/>
                <w:b/>
                <w:bCs/>
                <w:sz w:val="20"/>
                <w:szCs w:val="20"/>
              </w:rPr>
            </w:pPr>
            <w:r w:rsidRPr="0086524B">
              <w:rPr>
                <w:rFonts w:asciiTheme="majorBidi" w:hAnsiTheme="majorBidi" w:cstheme="majorBidi"/>
                <w:b/>
                <w:bCs/>
                <w:sz w:val="20"/>
                <w:szCs w:val="20"/>
              </w:rPr>
              <w:t xml:space="preserve">ME: medication errors; PE: prescribing errors; NR: not reported; </w:t>
            </w:r>
            <w:r w:rsidRPr="0086524B">
              <w:rPr>
                <w:rFonts w:asciiTheme="majorBidi" w:hAnsiTheme="majorBidi" w:cstheme="majorBidi"/>
                <w:b/>
                <w:bCs/>
                <w:color w:val="000000"/>
                <w:sz w:val="20"/>
                <w:szCs w:val="20"/>
              </w:rPr>
              <w:t>DDI: drug-drug interactions</w:t>
            </w:r>
            <w:r w:rsidRPr="0086524B">
              <w:rPr>
                <w:rFonts w:asciiTheme="majorBidi" w:hAnsiTheme="majorBidi" w:cstheme="majorBidi"/>
                <w:b/>
                <w:bCs/>
                <w:sz w:val="20"/>
                <w:szCs w:val="20"/>
              </w:rPr>
              <w:t xml:space="preserve"> </w:t>
            </w:r>
          </w:p>
        </w:tc>
      </w:tr>
    </w:tbl>
    <w:p w14:paraId="5FEE2A65" w14:textId="77777777" w:rsidR="00D71A9E" w:rsidRPr="0086524B" w:rsidRDefault="00D71A9E" w:rsidP="00D71A9E">
      <w:pPr>
        <w:tabs>
          <w:tab w:val="left" w:pos="1250"/>
        </w:tabs>
        <w:rPr>
          <w:rFonts w:asciiTheme="majorBidi" w:hAnsiTheme="majorBidi" w:cstheme="majorBidi"/>
          <w:sz w:val="20"/>
          <w:szCs w:val="20"/>
        </w:rPr>
        <w:sectPr w:rsidR="00D71A9E" w:rsidRPr="0086524B" w:rsidSect="008139B3">
          <w:pgSz w:w="15840" w:h="12240" w:orient="landscape"/>
          <w:pgMar w:top="1440" w:right="1440" w:bottom="1440" w:left="1440" w:header="720" w:footer="720" w:gutter="0"/>
          <w:cols w:space="720"/>
          <w:docGrid w:linePitch="360"/>
        </w:sectPr>
      </w:pPr>
    </w:p>
    <w:p w14:paraId="15D4E6A5" w14:textId="0E9B932A" w:rsidR="00D71A9E" w:rsidRPr="0086524B" w:rsidRDefault="00D71A9E" w:rsidP="00D71A9E">
      <w:pPr>
        <w:rPr>
          <w:rFonts w:asciiTheme="majorBidi" w:hAnsiTheme="majorBidi" w:cstheme="majorBidi"/>
          <w:b/>
          <w:bCs/>
          <w:sz w:val="20"/>
          <w:szCs w:val="20"/>
        </w:rPr>
      </w:pPr>
      <w:r w:rsidRPr="0086524B">
        <w:rPr>
          <w:rFonts w:asciiTheme="majorBidi" w:hAnsiTheme="majorBidi" w:cstheme="majorBidi"/>
          <w:b/>
          <w:bCs/>
          <w:sz w:val="20"/>
          <w:szCs w:val="20"/>
        </w:rPr>
        <w:lastRenderedPageBreak/>
        <w:t xml:space="preserve">Supplementary 2: Figures </w:t>
      </w:r>
    </w:p>
    <w:p w14:paraId="5E33118F" w14:textId="36C80964" w:rsidR="00D71A9E" w:rsidRPr="0086524B" w:rsidRDefault="00C41DB7" w:rsidP="00D71A9E">
      <w:pPr>
        <w:rPr>
          <w:rFonts w:asciiTheme="majorBidi" w:hAnsiTheme="majorBidi" w:cstheme="majorBidi"/>
          <w:b/>
          <w:bCs/>
          <w:sz w:val="20"/>
          <w:szCs w:val="20"/>
        </w:rPr>
      </w:pPr>
      <w:r>
        <w:rPr>
          <w:noProof/>
        </w:rPr>
        <w:drawing>
          <wp:inline distT="0" distB="0" distL="0" distR="0" wp14:anchorId="3A9EB0F3" wp14:editId="18797D0E">
            <wp:extent cx="5029200" cy="2374900"/>
            <wp:effectExtent l="0" t="0" r="0" b="6350"/>
            <wp:docPr id="14096173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8576" b="16493"/>
                    <a:stretch/>
                  </pic:blipFill>
                  <pic:spPr bwMode="auto">
                    <a:xfrm>
                      <a:off x="0" y="0"/>
                      <a:ext cx="5029200" cy="2374900"/>
                    </a:xfrm>
                    <a:prstGeom prst="rect">
                      <a:avLst/>
                    </a:prstGeom>
                    <a:noFill/>
                    <a:ln>
                      <a:noFill/>
                    </a:ln>
                    <a:extLst>
                      <a:ext uri="{53640926-AAD7-44D8-BBD7-CCE9431645EC}">
                        <a14:shadowObscured xmlns:a14="http://schemas.microsoft.com/office/drawing/2010/main"/>
                      </a:ext>
                    </a:extLst>
                  </pic:spPr>
                </pic:pic>
              </a:graphicData>
            </a:graphic>
          </wp:inline>
        </w:drawing>
      </w:r>
    </w:p>
    <w:p w14:paraId="68359275" w14:textId="65011E00" w:rsidR="00D71A9E" w:rsidRPr="0086524B" w:rsidRDefault="00D71A9E" w:rsidP="00D71A9E">
      <w:pPr>
        <w:spacing w:line="480" w:lineRule="auto"/>
        <w:jc w:val="both"/>
        <w:rPr>
          <w:rFonts w:asciiTheme="majorBidi" w:hAnsiTheme="majorBidi" w:cstheme="majorBidi"/>
          <w:b/>
          <w:bCs/>
          <w:sz w:val="20"/>
          <w:szCs w:val="20"/>
        </w:rPr>
      </w:pPr>
      <w:r w:rsidRPr="0086524B">
        <w:rPr>
          <w:rFonts w:asciiTheme="majorBidi" w:hAnsiTheme="majorBidi" w:cstheme="majorBidi"/>
          <w:b/>
          <w:bCs/>
          <w:sz w:val="20"/>
          <w:szCs w:val="20"/>
        </w:rPr>
        <w:t>Fig 1.</w:t>
      </w:r>
      <w:r w:rsidRPr="0086524B">
        <w:rPr>
          <w:rFonts w:asciiTheme="majorBidi" w:hAnsiTheme="majorBidi" w:cstheme="majorBidi"/>
          <w:sz w:val="20"/>
          <w:szCs w:val="20"/>
        </w:rPr>
        <w:t xml:space="preserve"> Forest plot of the rate of overall medication errors per patient </w:t>
      </w:r>
    </w:p>
    <w:p w14:paraId="300E9594" w14:textId="3A8D19D8" w:rsidR="009B0A5B" w:rsidRPr="0086524B" w:rsidRDefault="009B0A5B" w:rsidP="00D71A9E">
      <w:pPr>
        <w:rPr>
          <w:rFonts w:asciiTheme="majorBidi" w:hAnsiTheme="majorBidi" w:cstheme="majorBidi"/>
          <w:b/>
          <w:bCs/>
          <w:sz w:val="20"/>
          <w:szCs w:val="20"/>
        </w:rPr>
      </w:pPr>
    </w:p>
    <w:p w14:paraId="52254D75" w14:textId="77777777" w:rsidR="009B0A5B" w:rsidRPr="0086524B" w:rsidRDefault="009B0A5B" w:rsidP="00D71A9E">
      <w:pPr>
        <w:rPr>
          <w:rFonts w:asciiTheme="majorBidi" w:hAnsiTheme="majorBidi" w:cstheme="majorBidi"/>
          <w:b/>
          <w:bCs/>
          <w:sz w:val="20"/>
          <w:szCs w:val="20"/>
        </w:rPr>
      </w:pPr>
    </w:p>
    <w:p w14:paraId="54639119" w14:textId="4288AF0C" w:rsidR="00D71A9E" w:rsidRPr="0086524B" w:rsidRDefault="00C41DB7" w:rsidP="00D71A9E">
      <w:pPr>
        <w:tabs>
          <w:tab w:val="left" w:pos="1702"/>
        </w:tabs>
        <w:rPr>
          <w:rFonts w:asciiTheme="majorBidi" w:hAnsiTheme="majorBidi" w:cstheme="majorBidi"/>
          <w:noProof/>
          <w:sz w:val="20"/>
          <w:szCs w:val="20"/>
        </w:rPr>
      </w:pPr>
      <w:r>
        <w:rPr>
          <w:noProof/>
        </w:rPr>
        <w:drawing>
          <wp:inline distT="0" distB="0" distL="0" distR="0" wp14:anchorId="51CFDA55" wp14:editId="6929DC3A">
            <wp:extent cx="5429250" cy="3657600"/>
            <wp:effectExtent l="0" t="0" r="0" b="0"/>
            <wp:docPr id="14490654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839" r="10480"/>
                    <a:stretch/>
                  </pic:blipFill>
                  <pic:spPr bwMode="auto">
                    <a:xfrm>
                      <a:off x="0" y="0"/>
                      <a:ext cx="5429250" cy="3657600"/>
                    </a:xfrm>
                    <a:prstGeom prst="rect">
                      <a:avLst/>
                    </a:prstGeom>
                    <a:noFill/>
                    <a:ln>
                      <a:noFill/>
                    </a:ln>
                    <a:extLst>
                      <a:ext uri="{53640926-AAD7-44D8-BBD7-CCE9431645EC}">
                        <a14:shadowObscured xmlns:a14="http://schemas.microsoft.com/office/drawing/2010/main"/>
                      </a:ext>
                    </a:extLst>
                  </pic:spPr>
                </pic:pic>
              </a:graphicData>
            </a:graphic>
          </wp:inline>
        </w:drawing>
      </w:r>
    </w:p>
    <w:p w14:paraId="74AF66AE" w14:textId="6E577DDD" w:rsidR="009B0A5B" w:rsidRPr="0086524B" w:rsidRDefault="00D71A9E" w:rsidP="00D71A9E">
      <w:pPr>
        <w:spacing w:after="0" w:line="480" w:lineRule="auto"/>
        <w:jc w:val="both"/>
        <w:rPr>
          <w:rFonts w:asciiTheme="majorBidi" w:hAnsiTheme="majorBidi" w:cstheme="majorBidi"/>
          <w:sz w:val="20"/>
          <w:szCs w:val="20"/>
        </w:rPr>
      </w:pPr>
      <w:r w:rsidRPr="0086524B">
        <w:rPr>
          <w:rFonts w:asciiTheme="majorBidi" w:hAnsiTheme="majorBidi" w:cstheme="majorBidi"/>
          <w:b/>
          <w:bCs/>
          <w:sz w:val="20"/>
          <w:szCs w:val="20"/>
        </w:rPr>
        <w:t>Fig 2.</w:t>
      </w:r>
      <w:r w:rsidRPr="0086524B">
        <w:rPr>
          <w:rFonts w:asciiTheme="majorBidi" w:hAnsiTheme="majorBidi" w:cstheme="majorBidi"/>
          <w:sz w:val="20"/>
          <w:szCs w:val="20"/>
        </w:rPr>
        <w:t xml:space="preserve"> Forest plot of the rate of prescribing errors per patient</w:t>
      </w:r>
    </w:p>
    <w:p w14:paraId="7987C3E0" w14:textId="77777777" w:rsidR="009B0A5B" w:rsidRPr="0086524B" w:rsidRDefault="009B0A5B" w:rsidP="00D71A9E">
      <w:pPr>
        <w:spacing w:after="0" w:line="480" w:lineRule="auto"/>
        <w:jc w:val="both"/>
        <w:rPr>
          <w:rFonts w:asciiTheme="majorBidi" w:hAnsiTheme="majorBidi" w:cstheme="majorBidi"/>
          <w:sz w:val="20"/>
          <w:szCs w:val="20"/>
        </w:rPr>
      </w:pPr>
    </w:p>
    <w:p w14:paraId="060EFF84" w14:textId="77777777" w:rsidR="009B0A5B" w:rsidRPr="0086524B" w:rsidRDefault="009B0A5B" w:rsidP="00D71A9E">
      <w:pPr>
        <w:spacing w:after="0" w:line="480" w:lineRule="auto"/>
        <w:jc w:val="both"/>
        <w:rPr>
          <w:rFonts w:asciiTheme="majorBidi" w:hAnsiTheme="majorBidi" w:cstheme="majorBidi"/>
          <w:sz w:val="20"/>
          <w:szCs w:val="20"/>
        </w:rPr>
      </w:pPr>
    </w:p>
    <w:p w14:paraId="0AC261F3" w14:textId="68725AB7" w:rsidR="00D71A9E" w:rsidRPr="0086524B" w:rsidRDefault="00D71A9E" w:rsidP="00D71A9E">
      <w:pPr>
        <w:spacing w:after="0" w:line="480" w:lineRule="auto"/>
        <w:jc w:val="both"/>
        <w:rPr>
          <w:rFonts w:asciiTheme="majorBidi" w:hAnsiTheme="majorBidi" w:cstheme="majorBidi"/>
          <w:sz w:val="20"/>
          <w:szCs w:val="20"/>
        </w:rPr>
      </w:pPr>
      <w:r w:rsidRPr="0086524B">
        <w:rPr>
          <w:rFonts w:asciiTheme="majorBidi" w:hAnsiTheme="majorBidi" w:cstheme="majorBidi"/>
          <w:sz w:val="20"/>
          <w:szCs w:val="20"/>
        </w:rPr>
        <w:lastRenderedPageBreak/>
        <w:t xml:space="preserve"> </w:t>
      </w:r>
    </w:p>
    <w:p w14:paraId="370D4FE6" w14:textId="77777777" w:rsidR="00C41DB7" w:rsidRDefault="00C41DB7" w:rsidP="00D71A9E">
      <w:pPr>
        <w:spacing w:line="480" w:lineRule="auto"/>
        <w:jc w:val="both"/>
        <w:rPr>
          <w:rFonts w:asciiTheme="majorBidi" w:hAnsiTheme="majorBidi" w:cstheme="majorBidi"/>
          <w:b/>
          <w:bCs/>
          <w:sz w:val="20"/>
          <w:szCs w:val="20"/>
        </w:rPr>
      </w:pPr>
      <w:r>
        <w:rPr>
          <w:noProof/>
        </w:rPr>
        <w:drawing>
          <wp:inline distT="0" distB="0" distL="0" distR="0" wp14:anchorId="2A51B743" wp14:editId="65B21922">
            <wp:extent cx="5727700" cy="3657600"/>
            <wp:effectExtent l="0" t="0" r="6350" b="0"/>
            <wp:docPr id="20948534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606" r="9975"/>
                    <a:stretch/>
                  </pic:blipFill>
                  <pic:spPr bwMode="auto">
                    <a:xfrm>
                      <a:off x="0" y="0"/>
                      <a:ext cx="5727700" cy="3657600"/>
                    </a:xfrm>
                    <a:prstGeom prst="rect">
                      <a:avLst/>
                    </a:prstGeom>
                    <a:noFill/>
                    <a:ln>
                      <a:noFill/>
                    </a:ln>
                    <a:extLst>
                      <a:ext uri="{53640926-AAD7-44D8-BBD7-CCE9431645EC}">
                        <a14:shadowObscured xmlns:a14="http://schemas.microsoft.com/office/drawing/2010/main"/>
                      </a:ext>
                    </a:extLst>
                  </pic:spPr>
                </pic:pic>
              </a:graphicData>
            </a:graphic>
          </wp:inline>
        </w:drawing>
      </w:r>
      <w:r w:rsidR="00D71A9E" w:rsidRPr="0086524B">
        <w:rPr>
          <w:rFonts w:asciiTheme="majorBidi" w:hAnsiTheme="majorBidi" w:cstheme="majorBidi"/>
          <w:b/>
          <w:bCs/>
          <w:sz w:val="20"/>
          <w:szCs w:val="20"/>
        </w:rPr>
        <w:t xml:space="preserve"> </w:t>
      </w:r>
    </w:p>
    <w:p w14:paraId="5E345009" w14:textId="72E78605" w:rsidR="00D71A9E" w:rsidRPr="0086524B" w:rsidRDefault="00D71A9E" w:rsidP="00D71A9E">
      <w:pPr>
        <w:spacing w:line="480" w:lineRule="auto"/>
        <w:jc w:val="both"/>
        <w:rPr>
          <w:rFonts w:asciiTheme="majorBidi" w:hAnsiTheme="majorBidi" w:cstheme="majorBidi"/>
          <w:sz w:val="20"/>
          <w:szCs w:val="20"/>
        </w:rPr>
      </w:pPr>
      <w:r w:rsidRPr="0086524B">
        <w:rPr>
          <w:rFonts w:asciiTheme="majorBidi" w:hAnsiTheme="majorBidi" w:cstheme="majorBidi"/>
          <w:b/>
          <w:bCs/>
          <w:sz w:val="20"/>
          <w:szCs w:val="20"/>
        </w:rPr>
        <w:t>Fig 3.</w:t>
      </w:r>
      <w:r w:rsidRPr="0086524B">
        <w:rPr>
          <w:rFonts w:asciiTheme="majorBidi" w:hAnsiTheme="majorBidi" w:cstheme="majorBidi"/>
          <w:sz w:val="20"/>
          <w:szCs w:val="20"/>
        </w:rPr>
        <w:t xml:space="preserve"> Forest plot of the rate of dosing errors per patient </w:t>
      </w:r>
    </w:p>
    <w:p w14:paraId="5E7FC4C2" w14:textId="77777777" w:rsidR="009B0A5B" w:rsidRPr="0086524B" w:rsidRDefault="009B0A5B" w:rsidP="00D71A9E">
      <w:pPr>
        <w:spacing w:line="480" w:lineRule="auto"/>
        <w:jc w:val="both"/>
        <w:rPr>
          <w:rFonts w:asciiTheme="majorBidi" w:hAnsiTheme="majorBidi" w:cstheme="majorBidi"/>
          <w:sz w:val="20"/>
          <w:szCs w:val="20"/>
        </w:rPr>
      </w:pPr>
    </w:p>
    <w:p w14:paraId="7806CB10" w14:textId="1E71216F" w:rsidR="009B0A5B" w:rsidRPr="0086524B" w:rsidRDefault="009B0A5B" w:rsidP="00D71A9E">
      <w:pPr>
        <w:spacing w:line="480" w:lineRule="auto"/>
        <w:jc w:val="both"/>
        <w:rPr>
          <w:rFonts w:asciiTheme="majorBidi" w:hAnsiTheme="majorBidi" w:cstheme="majorBidi"/>
          <w:sz w:val="20"/>
          <w:szCs w:val="20"/>
        </w:rPr>
      </w:pPr>
    </w:p>
    <w:p w14:paraId="751C7424" w14:textId="5FA07A98" w:rsidR="0086524B" w:rsidRPr="0086524B" w:rsidRDefault="0086524B" w:rsidP="00D71A9E">
      <w:pPr>
        <w:spacing w:line="480" w:lineRule="auto"/>
        <w:jc w:val="both"/>
        <w:rPr>
          <w:rFonts w:asciiTheme="majorBidi" w:hAnsiTheme="majorBidi" w:cstheme="majorBidi"/>
          <w:sz w:val="20"/>
          <w:szCs w:val="20"/>
        </w:rPr>
      </w:pPr>
    </w:p>
    <w:p w14:paraId="2A8BFA41" w14:textId="570C4BB4" w:rsidR="0086524B" w:rsidRPr="0086524B" w:rsidRDefault="0086524B" w:rsidP="00D71A9E">
      <w:pPr>
        <w:spacing w:line="480" w:lineRule="auto"/>
        <w:jc w:val="both"/>
        <w:rPr>
          <w:rFonts w:asciiTheme="majorBidi" w:hAnsiTheme="majorBidi" w:cstheme="majorBidi"/>
          <w:sz w:val="20"/>
          <w:szCs w:val="20"/>
        </w:rPr>
      </w:pPr>
    </w:p>
    <w:p w14:paraId="0DC12C29" w14:textId="46C7C65C" w:rsidR="0086524B" w:rsidRPr="0086524B" w:rsidRDefault="0086524B" w:rsidP="00D71A9E">
      <w:pPr>
        <w:spacing w:line="480" w:lineRule="auto"/>
        <w:jc w:val="both"/>
        <w:rPr>
          <w:rFonts w:asciiTheme="majorBidi" w:hAnsiTheme="majorBidi" w:cstheme="majorBidi"/>
          <w:sz w:val="20"/>
          <w:szCs w:val="20"/>
        </w:rPr>
      </w:pPr>
    </w:p>
    <w:p w14:paraId="79118A5D" w14:textId="30F614E9" w:rsidR="0086524B" w:rsidRPr="0086524B" w:rsidRDefault="0086524B" w:rsidP="00D71A9E">
      <w:pPr>
        <w:spacing w:line="480" w:lineRule="auto"/>
        <w:jc w:val="both"/>
        <w:rPr>
          <w:rFonts w:asciiTheme="majorBidi" w:hAnsiTheme="majorBidi" w:cstheme="majorBidi"/>
          <w:sz w:val="20"/>
          <w:szCs w:val="20"/>
        </w:rPr>
      </w:pPr>
    </w:p>
    <w:p w14:paraId="6B8D03B0" w14:textId="1BD35700" w:rsidR="0086524B" w:rsidRPr="0086524B" w:rsidRDefault="0086524B" w:rsidP="00D71A9E">
      <w:pPr>
        <w:spacing w:line="480" w:lineRule="auto"/>
        <w:jc w:val="both"/>
        <w:rPr>
          <w:rFonts w:asciiTheme="majorBidi" w:hAnsiTheme="majorBidi" w:cstheme="majorBidi"/>
          <w:sz w:val="20"/>
          <w:szCs w:val="20"/>
        </w:rPr>
      </w:pPr>
    </w:p>
    <w:p w14:paraId="15BD4962" w14:textId="19B4F8CA" w:rsidR="0086524B" w:rsidRPr="0086524B" w:rsidRDefault="0086524B" w:rsidP="00D71A9E">
      <w:pPr>
        <w:spacing w:line="480" w:lineRule="auto"/>
        <w:jc w:val="both"/>
        <w:rPr>
          <w:rFonts w:asciiTheme="majorBidi" w:hAnsiTheme="majorBidi" w:cstheme="majorBidi"/>
          <w:sz w:val="20"/>
          <w:szCs w:val="20"/>
        </w:rPr>
      </w:pPr>
    </w:p>
    <w:p w14:paraId="4EB91C19" w14:textId="2E77C632" w:rsidR="0086524B" w:rsidRPr="0086524B" w:rsidRDefault="0086524B" w:rsidP="00D71A9E">
      <w:pPr>
        <w:spacing w:line="480" w:lineRule="auto"/>
        <w:jc w:val="both"/>
        <w:rPr>
          <w:rFonts w:asciiTheme="majorBidi" w:hAnsiTheme="majorBidi" w:cstheme="majorBidi"/>
          <w:sz w:val="20"/>
          <w:szCs w:val="20"/>
        </w:rPr>
      </w:pPr>
    </w:p>
    <w:p w14:paraId="43FB4135" w14:textId="19016E51" w:rsidR="0086524B" w:rsidRPr="0086524B" w:rsidRDefault="0086524B" w:rsidP="00D71A9E">
      <w:pPr>
        <w:spacing w:line="480" w:lineRule="auto"/>
        <w:jc w:val="both"/>
        <w:rPr>
          <w:rFonts w:asciiTheme="majorBidi" w:hAnsiTheme="majorBidi" w:cstheme="majorBidi"/>
          <w:sz w:val="20"/>
          <w:szCs w:val="20"/>
        </w:rPr>
      </w:pPr>
    </w:p>
    <w:p w14:paraId="2FEBA01F" w14:textId="77777777" w:rsidR="00C41DB7" w:rsidRDefault="00C41DB7" w:rsidP="0086524B">
      <w:pPr>
        <w:spacing w:line="480" w:lineRule="auto"/>
        <w:jc w:val="both"/>
        <w:rPr>
          <w:rFonts w:asciiTheme="majorBidi" w:hAnsiTheme="majorBidi" w:cstheme="majorBidi"/>
          <w:b/>
          <w:bCs/>
          <w:sz w:val="20"/>
          <w:szCs w:val="20"/>
          <w:lang w:val="en-GB"/>
        </w:rPr>
      </w:pPr>
      <w:r>
        <w:rPr>
          <w:noProof/>
        </w:rPr>
        <w:drawing>
          <wp:inline distT="0" distB="0" distL="0" distR="0" wp14:anchorId="3B0C5046" wp14:editId="28EC37E7">
            <wp:extent cx="5029200" cy="3657600"/>
            <wp:effectExtent l="0" t="0" r="0" b="0"/>
            <wp:docPr id="15437463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r w:rsidR="0086524B" w:rsidRPr="0086524B">
        <w:rPr>
          <w:rFonts w:asciiTheme="majorBidi" w:hAnsiTheme="majorBidi" w:cstheme="majorBidi"/>
          <w:b/>
          <w:bCs/>
          <w:sz w:val="20"/>
          <w:szCs w:val="20"/>
          <w:lang w:val="en-GB"/>
        </w:rPr>
        <w:t xml:space="preserve"> </w:t>
      </w:r>
    </w:p>
    <w:p w14:paraId="5DBBFF68" w14:textId="1224FC31" w:rsidR="0086524B" w:rsidRPr="0086524B" w:rsidRDefault="0086524B" w:rsidP="0086524B">
      <w:pPr>
        <w:spacing w:line="480" w:lineRule="auto"/>
        <w:jc w:val="both"/>
        <w:rPr>
          <w:rFonts w:asciiTheme="majorBidi" w:hAnsiTheme="majorBidi" w:cstheme="majorBidi"/>
          <w:sz w:val="20"/>
          <w:szCs w:val="20"/>
        </w:rPr>
      </w:pPr>
      <w:r w:rsidRPr="0086524B">
        <w:rPr>
          <w:rFonts w:asciiTheme="majorBidi" w:hAnsiTheme="majorBidi" w:cstheme="majorBidi"/>
          <w:b/>
          <w:bCs/>
          <w:sz w:val="20"/>
          <w:szCs w:val="20"/>
        </w:rPr>
        <w:t>Fig 4.</w:t>
      </w:r>
      <w:r w:rsidRPr="0086524B">
        <w:rPr>
          <w:rFonts w:asciiTheme="majorBidi" w:hAnsiTheme="majorBidi" w:cstheme="majorBidi"/>
          <w:sz w:val="20"/>
          <w:szCs w:val="20"/>
        </w:rPr>
        <w:t xml:space="preserve"> Forest plot of medications with wrong/suboptimal drug errors as a proportion of total medications </w:t>
      </w:r>
    </w:p>
    <w:p w14:paraId="5D92A475" w14:textId="77777777" w:rsidR="0086524B" w:rsidRPr="0086524B" w:rsidRDefault="0086524B" w:rsidP="00D71A9E">
      <w:pPr>
        <w:spacing w:line="480" w:lineRule="auto"/>
        <w:jc w:val="both"/>
        <w:rPr>
          <w:rFonts w:asciiTheme="majorBidi" w:hAnsiTheme="majorBidi" w:cstheme="majorBidi"/>
          <w:sz w:val="20"/>
          <w:szCs w:val="20"/>
        </w:rPr>
      </w:pPr>
    </w:p>
    <w:p w14:paraId="53DC6987" w14:textId="77777777" w:rsidR="0086524B" w:rsidRPr="0086524B" w:rsidRDefault="0086524B" w:rsidP="00D71A9E">
      <w:pPr>
        <w:spacing w:line="480" w:lineRule="auto"/>
        <w:jc w:val="both"/>
        <w:rPr>
          <w:rFonts w:asciiTheme="majorBidi" w:hAnsiTheme="majorBidi" w:cstheme="majorBidi"/>
          <w:sz w:val="20"/>
          <w:szCs w:val="20"/>
        </w:rPr>
      </w:pPr>
    </w:p>
    <w:p w14:paraId="2E76B87C" w14:textId="6C99BC9F" w:rsidR="00276429" w:rsidRPr="0086524B" w:rsidRDefault="00C41DB7" w:rsidP="00D71A9E">
      <w:pPr>
        <w:spacing w:line="480" w:lineRule="auto"/>
        <w:jc w:val="both"/>
        <w:rPr>
          <w:rFonts w:asciiTheme="majorBidi" w:hAnsiTheme="majorBidi" w:cstheme="majorBidi"/>
          <w:sz w:val="20"/>
          <w:szCs w:val="20"/>
        </w:rPr>
      </w:pPr>
      <w:r>
        <w:rPr>
          <w:noProof/>
        </w:rPr>
        <w:lastRenderedPageBreak/>
        <w:drawing>
          <wp:inline distT="0" distB="0" distL="0" distR="0" wp14:anchorId="643D4674" wp14:editId="5AB854CA">
            <wp:extent cx="5029200" cy="3657600"/>
            <wp:effectExtent l="0" t="0" r="0" b="0"/>
            <wp:docPr id="16958654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14:paraId="17EF6248" w14:textId="43B6E41C" w:rsidR="00D71A9E" w:rsidRPr="0086524B" w:rsidRDefault="00D71A9E" w:rsidP="00D71A9E">
      <w:pPr>
        <w:spacing w:line="480" w:lineRule="auto"/>
        <w:jc w:val="both"/>
        <w:rPr>
          <w:rFonts w:asciiTheme="majorBidi" w:hAnsiTheme="majorBidi" w:cstheme="majorBidi"/>
          <w:sz w:val="20"/>
          <w:szCs w:val="20"/>
        </w:rPr>
      </w:pPr>
      <w:r w:rsidRPr="0086524B">
        <w:rPr>
          <w:rFonts w:asciiTheme="majorBidi" w:hAnsiTheme="majorBidi" w:cstheme="majorBidi"/>
          <w:b/>
          <w:bCs/>
          <w:sz w:val="20"/>
          <w:szCs w:val="20"/>
        </w:rPr>
        <w:t xml:space="preserve">Fig </w:t>
      </w:r>
      <w:r w:rsidR="0086524B" w:rsidRPr="0086524B">
        <w:rPr>
          <w:rFonts w:asciiTheme="majorBidi" w:hAnsiTheme="majorBidi" w:cstheme="majorBidi"/>
          <w:b/>
          <w:bCs/>
          <w:sz w:val="20"/>
          <w:szCs w:val="20"/>
        </w:rPr>
        <w:t>5</w:t>
      </w:r>
      <w:r w:rsidRPr="0086524B">
        <w:rPr>
          <w:rFonts w:asciiTheme="majorBidi" w:hAnsiTheme="majorBidi" w:cstheme="majorBidi"/>
          <w:b/>
          <w:bCs/>
          <w:sz w:val="20"/>
          <w:szCs w:val="20"/>
        </w:rPr>
        <w:t>.</w:t>
      </w:r>
      <w:r w:rsidRPr="0086524B">
        <w:rPr>
          <w:rFonts w:asciiTheme="majorBidi" w:hAnsiTheme="majorBidi" w:cstheme="majorBidi"/>
          <w:sz w:val="20"/>
          <w:szCs w:val="20"/>
        </w:rPr>
        <w:t xml:space="preserve"> Forest plot of the rate of wrong/suboptimal errors per patient </w:t>
      </w:r>
    </w:p>
    <w:p w14:paraId="6F6DF73B" w14:textId="68B2727D" w:rsidR="009B0A5B" w:rsidRPr="0086524B" w:rsidRDefault="009B0A5B" w:rsidP="00D71A9E">
      <w:pPr>
        <w:spacing w:line="480" w:lineRule="auto"/>
        <w:jc w:val="both"/>
        <w:rPr>
          <w:rFonts w:asciiTheme="majorBidi" w:hAnsiTheme="majorBidi" w:cstheme="majorBidi"/>
          <w:sz w:val="20"/>
          <w:szCs w:val="20"/>
        </w:rPr>
      </w:pPr>
    </w:p>
    <w:p w14:paraId="20DF2085" w14:textId="2AEF5281" w:rsidR="009B0A5B" w:rsidRPr="0086524B" w:rsidRDefault="009B0A5B" w:rsidP="00D71A9E">
      <w:pPr>
        <w:spacing w:line="480" w:lineRule="auto"/>
        <w:jc w:val="both"/>
        <w:rPr>
          <w:rFonts w:asciiTheme="majorBidi" w:hAnsiTheme="majorBidi" w:cstheme="majorBidi"/>
          <w:sz w:val="20"/>
          <w:szCs w:val="20"/>
        </w:rPr>
      </w:pPr>
    </w:p>
    <w:p w14:paraId="3A3CDD94" w14:textId="12D38888" w:rsidR="009B0A5B" w:rsidRPr="0086524B" w:rsidRDefault="009B0A5B" w:rsidP="00D71A9E">
      <w:pPr>
        <w:spacing w:line="480" w:lineRule="auto"/>
        <w:jc w:val="both"/>
        <w:rPr>
          <w:rFonts w:asciiTheme="majorBidi" w:hAnsiTheme="majorBidi" w:cstheme="majorBidi"/>
          <w:sz w:val="20"/>
          <w:szCs w:val="20"/>
        </w:rPr>
      </w:pPr>
    </w:p>
    <w:p w14:paraId="5829728A" w14:textId="491C0D9F" w:rsidR="0086524B" w:rsidRPr="0086524B" w:rsidRDefault="0086524B" w:rsidP="00D71A9E">
      <w:pPr>
        <w:spacing w:line="480" w:lineRule="auto"/>
        <w:jc w:val="both"/>
        <w:rPr>
          <w:rFonts w:asciiTheme="majorBidi" w:hAnsiTheme="majorBidi" w:cstheme="majorBidi"/>
          <w:sz w:val="20"/>
          <w:szCs w:val="20"/>
        </w:rPr>
      </w:pPr>
    </w:p>
    <w:p w14:paraId="54435F68" w14:textId="37B00009" w:rsidR="0086524B" w:rsidRPr="0086524B" w:rsidRDefault="0086524B" w:rsidP="00D71A9E">
      <w:pPr>
        <w:spacing w:line="480" w:lineRule="auto"/>
        <w:jc w:val="both"/>
        <w:rPr>
          <w:rFonts w:asciiTheme="majorBidi" w:hAnsiTheme="majorBidi" w:cstheme="majorBidi"/>
          <w:sz w:val="20"/>
          <w:szCs w:val="20"/>
        </w:rPr>
      </w:pPr>
    </w:p>
    <w:p w14:paraId="75FE1848" w14:textId="2FF67925" w:rsidR="0086524B" w:rsidRPr="0086524B" w:rsidRDefault="0086524B" w:rsidP="00D71A9E">
      <w:pPr>
        <w:spacing w:line="480" w:lineRule="auto"/>
        <w:jc w:val="both"/>
        <w:rPr>
          <w:rFonts w:asciiTheme="majorBidi" w:hAnsiTheme="majorBidi" w:cstheme="majorBidi"/>
          <w:sz w:val="20"/>
          <w:szCs w:val="20"/>
        </w:rPr>
      </w:pPr>
    </w:p>
    <w:p w14:paraId="1D924501" w14:textId="0F6DF28F" w:rsidR="0086524B" w:rsidRPr="0086524B" w:rsidRDefault="0086524B" w:rsidP="00D71A9E">
      <w:pPr>
        <w:spacing w:line="480" w:lineRule="auto"/>
        <w:jc w:val="both"/>
        <w:rPr>
          <w:rFonts w:asciiTheme="majorBidi" w:hAnsiTheme="majorBidi" w:cstheme="majorBidi"/>
          <w:sz w:val="20"/>
          <w:szCs w:val="20"/>
        </w:rPr>
      </w:pPr>
    </w:p>
    <w:p w14:paraId="07FF1E76" w14:textId="6140456B" w:rsidR="0086524B" w:rsidRPr="0086524B" w:rsidRDefault="0086524B" w:rsidP="00D71A9E">
      <w:pPr>
        <w:spacing w:line="480" w:lineRule="auto"/>
        <w:jc w:val="both"/>
        <w:rPr>
          <w:rFonts w:asciiTheme="majorBidi" w:hAnsiTheme="majorBidi" w:cstheme="majorBidi"/>
          <w:sz w:val="20"/>
          <w:szCs w:val="20"/>
        </w:rPr>
      </w:pPr>
    </w:p>
    <w:p w14:paraId="6871769C" w14:textId="77777777" w:rsidR="00C41DB7" w:rsidRDefault="00C41DB7" w:rsidP="00D71A9E">
      <w:pPr>
        <w:spacing w:line="480" w:lineRule="auto"/>
        <w:jc w:val="both"/>
        <w:rPr>
          <w:rFonts w:asciiTheme="majorBidi" w:hAnsiTheme="majorBidi" w:cstheme="majorBidi"/>
          <w:b/>
          <w:bCs/>
          <w:sz w:val="20"/>
          <w:szCs w:val="20"/>
        </w:rPr>
      </w:pPr>
      <w:r>
        <w:rPr>
          <w:noProof/>
        </w:rPr>
        <w:lastRenderedPageBreak/>
        <w:drawing>
          <wp:inline distT="0" distB="0" distL="0" distR="0" wp14:anchorId="07EAD644" wp14:editId="604C7ABF">
            <wp:extent cx="5029200" cy="2438400"/>
            <wp:effectExtent l="0" t="0" r="0" b="0"/>
            <wp:docPr id="13679957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403" b="14931"/>
                    <a:stretch/>
                  </pic:blipFill>
                  <pic:spPr bwMode="auto">
                    <a:xfrm>
                      <a:off x="0" y="0"/>
                      <a:ext cx="5029200"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559A250B" w14:textId="3B062D0D" w:rsidR="00D71A9E" w:rsidRPr="0086524B" w:rsidRDefault="00D71A9E" w:rsidP="00D71A9E">
      <w:pPr>
        <w:spacing w:line="480" w:lineRule="auto"/>
        <w:jc w:val="both"/>
        <w:rPr>
          <w:rFonts w:asciiTheme="majorBidi" w:hAnsiTheme="majorBidi" w:cstheme="majorBidi"/>
          <w:sz w:val="20"/>
          <w:szCs w:val="20"/>
        </w:rPr>
      </w:pPr>
      <w:r w:rsidRPr="0086524B">
        <w:rPr>
          <w:rFonts w:asciiTheme="majorBidi" w:hAnsiTheme="majorBidi" w:cstheme="majorBidi"/>
          <w:b/>
          <w:bCs/>
          <w:sz w:val="20"/>
          <w:szCs w:val="20"/>
        </w:rPr>
        <w:t xml:space="preserve">Fig </w:t>
      </w:r>
      <w:r w:rsidR="00C41DB7">
        <w:rPr>
          <w:rFonts w:asciiTheme="majorBidi" w:hAnsiTheme="majorBidi" w:cstheme="majorBidi"/>
          <w:b/>
          <w:bCs/>
          <w:sz w:val="20"/>
          <w:szCs w:val="20"/>
        </w:rPr>
        <w:t>6</w:t>
      </w:r>
      <w:r w:rsidRPr="0086524B">
        <w:rPr>
          <w:rFonts w:asciiTheme="majorBidi" w:hAnsiTheme="majorBidi" w:cstheme="majorBidi"/>
          <w:b/>
          <w:bCs/>
          <w:sz w:val="20"/>
          <w:szCs w:val="20"/>
        </w:rPr>
        <w:t>.</w:t>
      </w:r>
      <w:r w:rsidRPr="0086524B">
        <w:rPr>
          <w:rFonts w:asciiTheme="majorBidi" w:hAnsiTheme="majorBidi" w:cstheme="majorBidi"/>
          <w:sz w:val="20"/>
          <w:szCs w:val="20"/>
        </w:rPr>
        <w:t xml:space="preserve"> Forest plot of the rate</w:t>
      </w:r>
      <w:r w:rsidR="00785B38" w:rsidRPr="0086524B">
        <w:rPr>
          <w:rFonts w:asciiTheme="majorBidi" w:hAnsiTheme="majorBidi" w:cstheme="majorBidi"/>
          <w:sz w:val="20"/>
          <w:szCs w:val="20"/>
        </w:rPr>
        <w:t xml:space="preserve"> per patient</w:t>
      </w:r>
      <w:r w:rsidRPr="0086524B">
        <w:rPr>
          <w:rFonts w:asciiTheme="majorBidi" w:hAnsiTheme="majorBidi" w:cstheme="majorBidi"/>
          <w:sz w:val="20"/>
          <w:szCs w:val="20"/>
        </w:rPr>
        <w:t xml:space="preserve"> of duration </w:t>
      </w:r>
      <w:r w:rsidR="00785B38" w:rsidRPr="0086524B">
        <w:rPr>
          <w:rFonts w:asciiTheme="majorBidi" w:hAnsiTheme="majorBidi" w:cstheme="majorBidi"/>
          <w:sz w:val="20"/>
          <w:szCs w:val="20"/>
        </w:rPr>
        <w:t xml:space="preserve">of use </w:t>
      </w:r>
      <w:r w:rsidRPr="0086524B">
        <w:rPr>
          <w:rFonts w:asciiTheme="majorBidi" w:hAnsiTheme="majorBidi" w:cstheme="majorBidi"/>
          <w:sz w:val="20"/>
          <w:szCs w:val="20"/>
        </w:rPr>
        <w:t xml:space="preserve">errors </w:t>
      </w:r>
    </w:p>
    <w:p w14:paraId="158BFC61" w14:textId="4C0D51E1" w:rsidR="00D71A9E" w:rsidRPr="0086524B" w:rsidRDefault="00D71A9E" w:rsidP="00D71A9E">
      <w:pPr>
        <w:spacing w:line="480" w:lineRule="auto"/>
        <w:jc w:val="both"/>
        <w:rPr>
          <w:rFonts w:asciiTheme="majorBidi" w:hAnsiTheme="majorBidi" w:cstheme="majorBidi"/>
          <w:sz w:val="20"/>
          <w:szCs w:val="20"/>
        </w:rPr>
      </w:pPr>
    </w:p>
    <w:p w14:paraId="360AF9C8" w14:textId="5E1D4DB6" w:rsidR="009B0A5B" w:rsidRPr="0086524B" w:rsidRDefault="009B0A5B" w:rsidP="00D71A9E">
      <w:pPr>
        <w:spacing w:line="480" w:lineRule="auto"/>
        <w:jc w:val="both"/>
        <w:rPr>
          <w:rFonts w:asciiTheme="majorBidi" w:hAnsiTheme="majorBidi" w:cstheme="majorBidi"/>
          <w:sz w:val="20"/>
          <w:szCs w:val="20"/>
        </w:rPr>
      </w:pPr>
    </w:p>
    <w:p w14:paraId="253B3A14" w14:textId="6C2FC783" w:rsidR="009B0A5B" w:rsidRPr="0086524B" w:rsidRDefault="009B0A5B" w:rsidP="00D71A9E">
      <w:pPr>
        <w:spacing w:line="480" w:lineRule="auto"/>
        <w:jc w:val="both"/>
        <w:rPr>
          <w:rFonts w:asciiTheme="majorBidi" w:hAnsiTheme="majorBidi" w:cstheme="majorBidi"/>
          <w:sz w:val="20"/>
          <w:szCs w:val="20"/>
        </w:rPr>
      </w:pPr>
    </w:p>
    <w:p w14:paraId="0005D9EA" w14:textId="7B859A14" w:rsidR="009B0A5B" w:rsidRPr="0086524B" w:rsidRDefault="009B0A5B" w:rsidP="00D71A9E">
      <w:pPr>
        <w:spacing w:line="480" w:lineRule="auto"/>
        <w:jc w:val="both"/>
        <w:rPr>
          <w:rFonts w:asciiTheme="majorBidi" w:hAnsiTheme="majorBidi" w:cstheme="majorBidi"/>
          <w:sz w:val="20"/>
          <w:szCs w:val="20"/>
        </w:rPr>
      </w:pPr>
    </w:p>
    <w:p w14:paraId="2D3F6E40" w14:textId="75755DDF" w:rsidR="0086524B" w:rsidRPr="0086524B" w:rsidRDefault="0086524B" w:rsidP="00D71A9E">
      <w:pPr>
        <w:spacing w:line="480" w:lineRule="auto"/>
        <w:jc w:val="both"/>
        <w:rPr>
          <w:rFonts w:asciiTheme="majorBidi" w:hAnsiTheme="majorBidi" w:cstheme="majorBidi"/>
          <w:sz w:val="20"/>
          <w:szCs w:val="20"/>
        </w:rPr>
      </w:pPr>
    </w:p>
    <w:p w14:paraId="6A053A7A" w14:textId="77777777" w:rsidR="00C41DB7" w:rsidRDefault="00C41DB7" w:rsidP="0086524B">
      <w:pPr>
        <w:spacing w:line="480" w:lineRule="auto"/>
        <w:jc w:val="both"/>
        <w:rPr>
          <w:rFonts w:asciiTheme="majorBidi" w:hAnsiTheme="majorBidi" w:cstheme="majorBidi"/>
          <w:b/>
          <w:bCs/>
          <w:sz w:val="20"/>
          <w:szCs w:val="20"/>
          <w:lang w:val="en-GB"/>
        </w:rPr>
      </w:pPr>
      <w:r>
        <w:rPr>
          <w:noProof/>
        </w:rPr>
        <w:drawing>
          <wp:inline distT="0" distB="0" distL="0" distR="0" wp14:anchorId="70A9CB0E" wp14:editId="587E5180">
            <wp:extent cx="5029200" cy="1708150"/>
            <wp:effectExtent l="0" t="0" r="0" b="6350"/>
            <wp:docPr id="9002151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8125" b="25173"/>
                    <a:stretch/>
                  </pic:blipFill>
                  <pic:spPr bwMode="auto">
                    <a:xfrm>
                      <a:off x="0" y="0"/>
                      <a:ext cx="5029200" cy="1708150"/>
                    </a:xfrm>
                    <a:prstGeom prst="rect">
                      <a:avLst/>
                    </a:prstGeom>
                    <a:noFill/>
                    <a:ln>
                      <a:noFill/>
                    </a:ln>
                    <a:extLst>
                      <a:ext uri="{53640926-AAD7-44D8-BBD7-CCE9431645EC}">
                        <a14:shadowObscured xmlns:a14="http://schemas.microsoft.com/office/drawing/2010/main"/>
                      </a:ext>
                    </a:extLst>
                  </pic:spPr>
                </pic:pic>
              </a:graphicData>
            </a:graphic>
          </wp:inline>
        </w:drawing>
      </w:r>
      <w:r w:rsidR="0086524B" w:rsidRPr="0086524B">
        <w:rPr>
          <w:rFonts w:asciiTheme="majorBidi" w:hAnsiTheme="majorBidi" w:cstheme="majorBidi"/>
          <w:b/>
          <w:bCs/>
          <w:sz w:val="20"/>
          <w:szCs w:val="20"/>
          <w:lang w:val="en-GB"/>
        </w:rPr>
        <w:t xml:space="preserve"> </w:t>
      </w:r>
    </w:p>
    <w:p w14:paraId="674ADA83" w14:textId="1ABD63EB" w:rsidR="0086524B" w:rsidRPr="0086524B" w:rsidRDefault="0086524B" w:rsidP="0086524B">
      <w:pPr>
        <w:spacing w:line="480" w:lineRule="auto"/>
        <w:jc w:val="both"/>
        <w:rPr>
          <w:rFonts w:asciiTheme="majorBidi" w:hAnsiTheme="majorBidi" w:cstheme="majorBidi"/>
          <w:noProof/>
          <w:sz w:val="20"/>
          <w:szCs w:val="20"/>
          <w:lang w:val="en-GB" w:eastAsia="en-GB"/>
        </w:rPr>
      </w:pPr>
      <w:r w:rsidRPr="0086524B">
        <w:rPr>
          <w:rFonts w:asciiTheme="majorBidi" w:hAnsiTheme="majorBidi" w:cstheme="majorBidi"/>
          <w:b/>
          <w:bCs/>
          <w:sz w:val="20"/>
          <w:szCs w:val="20"/>
        </w:rPr>
        <w:t xml:space="preserve">Fig </w:t>
      </w:r>
      <w:r w:rsidR="00C41DB7">
        <w:rPr>
          <w:rFonts w:asciiTheme="majorBidi" w:hAnsiTheme="majorBidi" w:cstheme="majorBidi"/>
          <w:b/>
          <w:bCs/>
          <w:sz w:val="20"/>
          <w:szCs w:val="20"/>
        </w:rPr>
        <w:t>7</w:t>
      </w:r>
      <w:r w:rsidRPr="0086524B">
        <w:rPr>
          <w:rFonts w:asciiTheme="majorBidi" w:hAnsiTheme="majorBidi" w:cstheme="majorBidi"/>
          <w:b/>
          <w:bCs/>
          <w:sz w:val="20"/>
          <w:szCs w:val="20"/>
        </w:rPr>
        <w:t>.</w:t>
      </w:r>
      <w:r w:rsidRPr="0086524B">
        <w:rPr>
          <w:rFonts w:asciiTheme="majorBidi" w:hAnsiTheme="majorBidi" w:cstheme="majorBidi"/>
          <w:sz w:val="20"/>
          <w:szCs w:val="20"/>
        </w:rPr>
        <w:t xml:space="preserve"> Forest plot of medications with frequency errors as a proportion of total medications </w:t>
      </w:r>
    </w:p>
    <w:p w14:paraId="1A9F2B3F" w14:textId="2EAFE032" w:rsidR="0086524B" w:rsidRPr="0086524B" w:rsidRDefault="0086524B" w:rsidP="00D71A9E">
      <w:pPr>
        <w:spacing w:line="480" w:lineRule="auto"/>
        <w:jc w:val="both"/>
        <w:rPr>
          <w:rFonts w:asciiTheme="majorBidi" w:hAnsiTheme="majorBidi" w:cstheme="majorBidi"/>
          <w:sz w:val="20"/>
          <w:szCs w:val="20"/>
          <w:lang w:val="en-GB"/>
        </w:rPr>
      </w:pPr>
    </w:p>
    <w:p w14:paraId="2C389C0E" w14:textId="12C7A047" w:rsidR="0086524B" w:rsidRPr="0086524B" w:rsidRDefault="0086524B" w:rsidP="00D71A9E">
      <w:pPr>
        <w:spacing w:line="480" w:lineRule="auto"/>
        <w:jc w:val="both"/>
        <w:rPr>
          <w:rFonts w:asciiTheme="majorBidi" w:hAnsiTheme="majorBidi" w:cstheme="majorBidi"/>
          <w:sz w:val="20"/>
          <w:szCs w:val="20"/>
          <w:lang w:val="en-GB"/>
        </w:rPr>
      </w:pPr>
    </w:p>
    <w:p w14:paraId="0F5C7972" w14:textId="69ABBFFC" w:rsidR="0086524B" w:rsidRPr="0086524B" w:rsidRDefault="0086524B" w:rsidP="00D71A9E">
      <w:pPr>
        <w:spacing w:line="480" w:lineRule="auto"/>
        <w:jc w:val="both"/>
        <w:rPr>
          <w:rFonts w:asciiTheme="majorBidi" w:hAnsiTheme="majorBidi" w:cstheme="majorBidi"/>
          <w:sz w:val="20"/>
          <w:szCs w:val="20"/>
          <w:lang w:val="en-GB"/>
        </w:rPr>
      </w:pPr>
    </w:p>
    <w:p w14:paraId="7EA48A77" w14:textId="77777777" w:rsidR="0086524B" w:rsidRPr="0086524B" w:rsidRDefault="0086524B" w:rsidP="00D71A9E">
      <w:pPr>
        <w:spacing w:line="480" w:lineRule="auto"/>
        <w:jc w:val="both"/>
        <w:rPr>
          <w:rFonts w:asciiTheme="majorBidi" w:hAnsiTheme="majorBidi" w:cstheme="majorBidi"/>
          <w:sz w:val="20"/>
          <w:szCs w:val="20"/>
          <w:lang w:val="en-GB"/>
        </w:rPr>
      </w:pPr>
    </w:p>
    <w:p w14:paraId="333071DC" w14:textId="77777777" w:rsidR="00C41DB7" w:rsidRDefault="00C41DB7" w:rsidP="00785B38">
      <w:pPr>
        <w:spacing w:line="480" w:lineRule="auto"/>
        <w:jc w:val="both"/>
        <w:rPr>
          <w:rFonts w:asciiTheme="majorBidi" w:hAnsiTheme="majorBidi" w:cstheme="majorBidi"/>
          <w:b/>
          <w:bCs/>
          <w:sz w:val="20"/>
          <w:szCs w:val="20"/>
        </w:rPr>
      </w:pPr>
      <w:r>
        <w:rPr>
          <w:noProof/>
        </w:rPr>
        <w:drawing>
          <wp:inline distT="0" distB="0" distL="0" distR="0" wp14:anchorId="6C524E61" wp14:editId="6E4A2B55">
            <wp:extent cx="5029200" cy="2012950"/>
            <wp:effectExtent l="0" t="0" r="0" b="6350"/>
            <wp:docPr id="189858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7951" b="17014"/>
                    <a:stretch/>
                  </pic:blipFill>
                  <pic:spPr bwMode="auto">
                    <a:xfrm>
                      <a:off x="0" y="0"/>
                      <a:ext cx="5029200" cy="2012950"/>
                    </a:xfrm>
                    <a:prstGeom prst="rect">
                      <a:avLst/>
                    </a:prstGeom>
                    <a:noFill/>
                    <a:ln>
                      <a:noFill/>
                    </a:ln>
                    <a:extLst>
                      <a:ext uri="{53640926-AAD7-44D8-BBD7-CCE9431645EC}">
                        <a14:shadowObscured xmlns:a14="http://schemas.microsoft.com/office/drawing/2010/main"/>
                      </a:ext>
                    </a:extLst>
                  </pic:spPr>
                </pic:pic>
              </a:graphicData>
            </a:graphic>
          </wp:inline>
        </w:drawing>
      </w:r>
    </w:p>
    <w:p w14:paraId="365DBF80" w14:textId="4A53E2E1" w:rsidR="00D71A9E" w:rsidRPr="0086524B" w:rsidRDefault="00D71A9E" w:rsidP="00785B38">
      <w:pPr>
        <w:spacing w:line="480" w:lineRule="auto"/>
        <w:jc w:val="both"/>
        <w:rPr>
          <w:rFonts w:asciiTheme="majorBidi" w:hAnsiTheme="majorBidi" w:cstheme="majorBidi"/>
          <w:noProof/>
          <w:sz w:val="20"/>
          <w:szCs w:val="20"/>
          <w:lang w:val="en-GB" w:eastAsia="en-GB"/>
        </w:rPr>
      </w:pPr>
      <w:r w:rsidRPr="0086524B">
        <w:rPr>
          <w:rFonts w:asciiTheme="majorBidi" w:hAnsiTheme="majorBidi" w:cstheme="majorBidi"/>
          <w:b/>
          <w:bCs/>
          <w:sz w:val="20"/>
          <w:szCs w:val="20"/>
        </w:rPr>
        <w:t xml:space="preserve">Fig </w:t>
      </w:r>
      <w:r w:rsidR="00C41DB7">
        <w:rPr>
          <w:rFonts w:asciiTheme="majorBidi" w:hAnsiTheme="majorBidi" w:cstheme="majorBidi"/>
          <w:b/>
          <w:bCs/>
          <w:sz w:val="20"/>
          <w:szCs w:val="20"/>
        </w:rPr>
        <w:t>8</w:t>
      </w:r>
      <w:r w:rsidRPr="0086524B">
        <w:rPr>
          <w:rFonts w:asciiTheme="majorBidi" w:hAnsiTheme="majorBidi" w:cstheme="majorBidi"/>
          <w:b/>
          <w:bCs/>
          <w:sz w:val="20"/>
          <w:szCs w:val="20"/>
        </w:rPr>
        <w:t>.</w:t>
      </w:r>
      <w:r w:rsidRPr="0086524B">
        <w:rPr>
          <w:rFonts w:asciiTheme="majorBidi" w:hAnsiTheme="majorBidi" w:cstheme="majorBidi"/>
          <w:sz w:val="20"/>
          <w:szCs w:val="20"/>
        </w:rPr>
        <w:t xml:space="preserve"> Forest plot of the rate</w:t>
      </w:r>
      <w:r w:rsidR="00785B38" w:rsidRPr="0086524B">
        <w:rPr>
          <w:rFonts w:asciiTheme="majorBidi" w:hAnsiTheme="majorBidi" w:cstheme="majorBidi"/>
          <w:sz w:val="20"/>
          <w:szCs w:val="20"/>
        </w:rPr>
        <w:t xml:space="preserve"> per patient</w:t>
      </w:r>
      <w:r w:rsidRPr="0086524B">
        <w:rPr>
          <w:rFonts w:asciiTheme="majorBidi" w:hAnsiTheme="majorBidi" w:cstheme="majorBidi"/>
          <w:sz w:val="20"/>
          <w:szCs w:val="20"/>
        </w:rPr>
        <w:t xml:space="preserve"> of frequency </w:t>
      </w:r>
      <w:r w:rsidR="00785B38" w:rsidRPr="0086524B">
        <w:rPr>
          <w:rFonts w:asciiTheme="majorBidi" w:hAnsiTheme="majorBidi" w:cstheme="majorBidi"/>
          <w:sz w:val="20"/>
          <w:szCs w:val="20"/>
        </w:rPr>
        <w:t xml:space="preserve">of prescribed medication </w:t>
      </w:r>
      <w:r w:rsidRPr="0086524B">
        <w:rPr>
          <w:rFonts w:asciiTheme="majorBidi" w:hAnsiTheme="majorBidi" w:cstheme="majorBidi"/>
          <w:sz w:val="20"/>
          <w:szCs w:val="20"/>
        </w:rPr>
        <w:t xml:space="preserve">errors </w:t>
      </w:r>
    </w:p>
    <w:p w14:paraId="0A5AC9C9" w14:textId="587C315C" w:rsidR="00D71A9E" w:rsidRPr="0086524B" w:rsidRDefault="00D71A9E" w:rsidP="00D71A9E">
      <w:pPr>
        <w:rPr>
          <w:rFonts w:asciiTheme="majorBidi" w:hAnsiTheme="majorBidi" w:cstheme="majorBidi"/>
          <w:b/>
          <w:bCs/>
          <w:sz w:val="20"/>
          <w:szCs w:val="20"/>
          <w:lang w:val="en-GB"/>
        </w:rPr>
      </w:pPr>
    </w:p>
    <w:p w14:paraId="72BADDFD" w14:textId="244208E2" w:rsidR="00D71A9E" w:rsidRPr="0086524B" w:rsidRDefault="00D71A9E" w:rsidP="00D71A9E">
      <w:pPr>
        <w:rPr>
          <w:rFonts w:asciiTheme="majorBidi" w:hAnsiTheme="majorBidi" w:cstheme="majorBidi"/>
          <w:sz w:val="20"/>
          <w:szCs w:val="20"/>
        </w:rPr>
      </w:pPr>
    </w:p>
    <w:p w14:paraId="4E60501C" w14:textId="77777777" w:rsidR="00D71A9E" w:rsidRPr="0086524B" w:rsidRDefault="00D71A9E" w:rsidP="00D71A9E">
      <w:pPr>
        <w:tabs>
          <w:tab w:val="left" w:pos="1250"/>
        </w:tabs>
        <w:rPr>
          <w:rFonts w:asciiTheme="majorBidi" w:hAnsiTheme="majorBidi" w:cstheme="majorBidi"/>
          <w:sz w:val="20"/>
          <w:szCs w:val="20"/>
        </w:rPr>
      </w:pPr>
    </w:p>
    <w:sectPr w:rsidR="00D71A9E" w:rsidRPr="0086524B" w:rsidSect="008139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7394A" w14:textId="77777777" w:rsidR="00DF634C" w:rsidRDefault="00DF634C" w:rsidP="0086524B">
      <w:pPr>
        <w:spacing w:after="0" w:line="240" w:lineRule="auto"/>
      </w:pPr>
      <w:r>
        <w:separator/>
      </w:r>
    </w:p>
  </w:endnote>
  <w:endnote w:type="continuationSeparator" w:id="0">
    <w:p w14:paraId="67748310" w14:textId="77777777" w:rsidR="00DF634C" w:rsidRDefault="00DF634C" w:rsidP="00865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1EA31" w14:textId="77777777" w:rsidR="00DF634C" w:rsidRDefault="00DF634C" w:rsidP="0086524B">
      <w:pPr>
        <w:spacing w:after="0" w:line="240" w:lineRule="auto"/>
      </w:pPr>
      <w:r>
        <w:separator/>
      </w:r>
    </w:p>
  </w:footnote>
  <w:footnote w:type="continuationSeparator" w:id="0">
    <w:p w14:paraId="3EBB6DBF" w14:textId="77777777" w:rsidR="00DF634C" w:rsidRDefault="00DF634C" w:rsidP="008652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8E2"/>
    <w:rsid w:val="001860E2"/>
    <w:rsid w:val="001871CA"/>
    <w:rsid w:val="00237FCA"/>
    <w:rsid w:val="00276429"/>
    <w:rsid w:val="00287A72"/>
    <w:rsid w:val="00300628"/>
    <w:rsid w:val="00354422"/>
    <w:rsid w:val="003729FC"/>
    <w:rsid w:val="005A7686"/>
    <w:rsid w:val="00735E13"/>
    <w:rsid w:val="00736E0A"/>
    <w:rsid w:val="00785B38"/>
    <w:rsid w:val="007E1D8E"/>
    <w:rsid w:val="008139B3"/>
    <w:rsid w:val="0086524B"/>
    <w:rsid w:val="009A5651"/>
    <w:rsid w:val="009B0A5B"/>
    <w:rsid w:val="00A02ED9"/>
    <w:rsid w:val="00A03026"/>
    <w:rsid w:val="00AF28E2"/>
    <w:rsid w:val="00B3290B"/>
    <w:rsid w:val="00C41DB7"/>
    <w:rsid w:val="00C520FA"/>
    <w:rsid w:val="00C521E5"/>
    <w:rsid w:val="00C63E1E"/>
    <w:rsid w:val="00D71A9E"/>
    <w:rsid w:val="00DF634C"/>
    <w:rsid w:val="00E8425C"/>
    <w:rsid w:val="00FE16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53009"/>
  <w15:chartTrackingRefBased/>
  <w15:docId w15:val="{2A6CD632-8046-4BA8-BE74-BE0B8921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A9E"/>
    <w:pPr>
      <w:spacing w:line="256" w:lineRule="auto"/>
    </w:pPr>
  </w:style>
  <w:style w:type="paragraph" w:styleId="Heading3">
    <w:name w:val="heading 3"/>
    <w:basedOn w:val="Normal"/>
    <w:next w:val="Normal"/>
    <w:link w:val="Heading3Char"/>
    <w:uiPriority w:val="9"/>
    <w:unhideWhenUsed/>
    <w:qFormat/>
    <w:rsid w:val="00D71A9E"/>
    <w:pPr>
      <w:keepNext/>
      <w:keepLines/>
      <w:spacing w:before="40" w:after="0" w:line="259"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1A9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D71A9E"/>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300628"/>
    <w:rPr>
      <w:sz w:val="16"/>
      <w:szCs w:val="16"/>
    </w:rPr>
  </w:style>
  <w:style w:type="paragraph" w:styleId="CommentText">
    <w:name w:val="annotation text"/>
    <w:basedOn w:val="Normal"/>
    <w:link w:val="CommentTextChar"/>
    <w:uiPriority w:val="99"/>
    <w:semiHidden/>
    <w:unhideWhenUsed/>
    <w:rsid w:val="00300628"/>
    <w:pPr>
      <w:spacing w:line="240" w:lineRule="auto"/>
    </w:pPr>
    <w:rPr>
      <w:sz w:val="20"/>
      <w:szCs w:val="20"/>
    </w:rPr>
  </w:style>
  <w:style w:type="character" w:customStyle="1" w:styleId="CommentTextChar">
    <w:name w:val="Comment Text Char"/>
    <w:basedOn w:val="DefaultParagraphFont"/>
    <w:link w:val="CommentText"/>
    <w:uiPriority w:val="99"/>
    <w:semiHidden/>
    <w:rsid w:val="00300628"/>
    <w:rPr>
      <w:sz w:val="20"/>
      <w:szCs w:val="20"/>
    </w:rPr>
  </w:style>
  <w:style w:type="paragraph" w:styleId="CommentSubject">
    <w:name w:val="annotation subject"/>
    <w:basedOn w:val="CommentText"/>
    <w:next w:val="CommentText"/>
    <w:link w:val="CommentSubjectChar"/>
    <w:uiPriority w:val="99"/>
    <w:semiHidden/>
    <w:unhideWhenUsed/>
    <w:rsid w:val="00300628"/>
    <w:rPr>
      <w:b/>
      <w:bCs/>
    </w:rPr>
  </w:style>
  <w:style w:type="character" w:customStyle="1" w:styleId="CommentSubjectChar">
    <w:name w:val="Comment Subject Char"/>
    <w:basedOn w:val="CommentTextChar"/>
    <w:link w:val="CommentSubject"/>
    <w:uiPriority w:val="99"/>
    <w:semiHidden/>
    <w:rsid w:val="00300628"/>
    <w:rPr>
      <w:b/>
      <w:bCs/>
      <w:sz w:val="20"/>
      <w:szCs w:val="20"/>
    </w:rPr>
  </w:style>
  <w:style w:type="paragraph" w:styleId="Header">
    <w:name w:val="header"/>
    <w:basedOn w:val="Normal"/>
    <w:link w:val="HeaderChar"/>
    <w:uiPriority w:val="99"/>
    <w:unhideWhenUsed/>
    <w:rsid w:val="00865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24B"/>
  </w:style>
  <w:style w:type="paragraph" w:styleId="Footer">
    <w:name w:val="footer"/>
    <w:basedOn w:val="Normal"/>
    <w:link w:val="FooterChar"/>
    <w:uiPriority w:val="99"/>
    <w:unhideWhenUsed/>
    <w:rsid w:val="00865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A46DB-B27D-4905-8FC0-A8F2E4EC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3002</Words>
  <Characters>17113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Mohammad Ahmad Naseralallah</dc:creator>
  <cp:keywords/>
  <dc:description/>
  <cp:lastModifiedBy>Lina Mohammad Ahmad Naseralallah</cp:lastModifiedBy>
  <cp:revision>12</cp:revision>
  <dcterms:created xsi:type="dcterms:W3CDTF">2022-10-04T13:09:00Z</dcterms:created>
  <dcterms:modified xsi:type="dcterms:W3CDTF">2023-04-08T13:16:00Z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3f5887-035d-4765-8d10-97aaac8deb4a_Enabled">
    <vt:lpwstr>true</vt:lpwstr>
  </property>
  <property fmtid="{D5CDD505-2E9C-101B-9397-08002B2CF9AE}" pid="3" name="MSIP_Label_573f5887-035d-4765-8d10-97aaac8deb4a_SetDate">
    <vt:lpwstr>2022-09-20T14:45:15Z</vt:lpwstr>
  </property>
  <property fmtid="{D5CDD505-2E9C-101B-9397-08002B2CF9AE}" pid="4" name="MSIP_Label_573f5887-035d-4765-8d10-97aaac8deb4a_Method">
    <vt:lpwstr>Standard</vt:lpwstr>
  </property>
  <property fmtid="{D5CDD505-2E9C-101B-9397-08002B2CF9AE}" pid="5" name="MSIP_Label_573f5887-035d-4765-8d10-97aaac8deb4a_Name">
    <vt:lpwstr>Public</vt:lpwstr>
  </property>
  <property fmtid="{D5CDD505-2E9C-101B-9397-08002B2CF9AE}" pid="6" name="MSIP_Label_573f5887-035d-4765-8d10-97aaac8deb4a_SiteId">
    <vt:lpwstr>f08ae827-76a0-4eda-8325-df208f3835ab</vt:lpwstr>
  </property>
  <property fmtid="{D5CDD505-2E9C-101B-9397-08002B2CF9AE}" pid="7" name="MSIP_Label_573f5887-035d-4765-8d10-97aaac8deb4a_ActionId">
    <vt:lpwstr>282b9465-b0ca-413b-baa5-a761291d7878</vt:lpwstr>
  </property>
  <property fmtid="{D5CDD505-2E9C-101B-9397-08002B2CF9AE}" pid="8" name="MSIP_Label_573f5887-035d-4765-8d10-97aaac8deb4a_ContentBits">
    <vt:lpwstr>0</vt:lpwstr>
  </property>
</Properties>
</file>