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C5E94E" w14:textId="5C7F33A5" w:rsidR="006F6BBC" w:rsidRDefault="00B43502" w:rsidP="00B43502">
      <w:pPr>
        <w:adjustRightInd w:val="0"/>
        <w:snapToGrid w:val="0"/>
        <w:spacing w:line="360" w:lineRule="auto"/>
        <w:rPr>
          <w:rFonts w:asciiTheme="minorHAnsi" w:hAnsiTheme="minorHAnsi" w:cstheme="minorHAnsi"/>
          <w:b/>
          <w:bCs/>
          <w:sz w:val="22"/>
          <w:szCs w:val="22"/>
        </w:rPr>
      </w:pPr>
      <w:r>
        <w:rPr>
          <w:rFonts w:asciiTheme="minorHAnsi" w:hAnsiTheme="minorHAnsi" w:cstheme="minorHAnsi"/>
          <w:b/>
          <w:bCs/>
          <w:sz w:val="22"/>
          <w:szCs w:val="22"/>
        </w:rPr>
        <w:t>Supplemental File</w:t>
      </w:r>
    </w:p>
    <w:p w14:paraId="56557256" w14:textId="77777777" w:rsidR="006F6BBC" w:rsidRDefault="006F6BBC" w:rsidP="00B43502">
      <w:pPr>
        <w:adjustRightInd w:val="0"/>
        <w:snapToGrid w:val="0"/>
        <w:spacing w:line="360" w:lineRule="auto"/>
        <w:rPr>
          <w:rFonts w:asciiTheme="minorHAnsi" w:hAnsiTheme="minorHAnsi" w:cstheme="minorHAnsi"/>
          <w:b/>
          <w:bCs/>
          <w:sz w:val="22"/>
          <w:szCs w:val="22"/>
        </w:rPr>
      </w:pPr>
    </w:p>
    <w:p w14:paraId="4296890A" w14:textId="77777777" w:rsidR="00902B57" w:rsidRPr="00F173E9" w:rsidRDefault="00902B57" w:rsidP="00902B57">
      <w:pPr>
        <w:adjustRightInd w:val="0"/>
        <w:snapToGrid w:val="0"/>
        <w:spacing w:line="360" w:lineRule="auto"/>
        <w:rPr>
          <w:rFonts w:asciiTheme="minorHAnsi" w:hAnsiTheme="minorHAnsi" w:cstheme="minorHAnsi"/>
          <w:b/>
          <w:bCs/>
          <w:sz w:val="22"/>
          <w:szCs w:val="22"/>
        </w:rPr>
      </w:pPr>
      <w:r>
        <w:rPr>
          <w:rFonts w:asciiTheme="minorHAnsi" w:hAnsiTheme="minorHAnsi" w:cstheme="minorHAnsi"/>
          <w:b/>
          <w:bCs/>
          <w:sz w:val="22"/>
          <w:szCs w:val="22"/>
        </w:rPr>
        <w:t xml:space="preserve">Management of Iron deficiency </w:t>
      </w:r>
      <w:r w:rsidRPr="00F173E9">
        <w:rPr>
          <w:rFonts w:asciiTheme="minorHAnsi" w:hAnsiTheme="minorHAnsi" w:cstheme="minorHAnsi"/>
          <w:b/>
          <w:bCs/>
          <w:sz w:val="22"/>
          <w:szCs w:val="22"/>
        </w:rPr>
        <w:t xml:space="preserve">in </w:t>
      </w:r>
      <w:r>
        <w:rPr>
          <w:rFonts w:asciiTheme="minorHAnsi" w:hAnsiTheme="minorHAnsi" w:cstheme="minorHAnsi"/>
          <w:b/>
          <w:bCs/>
          <w:sz w:val="22"/>
          <w:szCs w:val="22"/>
        </w:rPr>
        <w:t>Women of Childbearing Age</w:t>
      </w:r>
      <w:r w:rsidRPr="00F173E9">
        <w:rPr>
          <w:rFonts w:asciiTheme="minorHAnsi" w:hAnsiTheme="minorHAnsi" w:cstheme="minorHAnsi"/>
          <w:b/>
          <w:bCs/>
          <w:sz w:val="22"/>
          <w:szCs w:val="22"/>
        </w:rPr>
        <w:t xml:space="preserve"> with </w:t>
      </w:r>
      <w:r>
        <w:rPr>
          <w:rFonts w:asciiTheme="minorHAnsi" w:hAnsiTheme="minorHAnsi" w:cstheme="minorHAnsi"/>
          <w:b/>
          <w:bCs/>
          <w:sz w:val="22"/>
          <w:szCs w:val="22"/>
        </w:rPr>
        <w:t xml:space="preserve">Oral Iron </w:t>
      </w:r>
      <w:r w:rsidRPr="00F173E9">
        <w:rPr>
          <w:rFonts w:asciiTheme="minorHAnsi" w:hAnsiTheme="minorHAnsi" w:cstheme="minorHAnsi"/>
          <w:b/>
          <w:bCs/>
          <w:sz w:val="22"/>
          <w:szCs w:val="22"/>
        </w:rPr>
        <w:t>Intolerance</w:t>
      </w:r>
      <w:r>
        <w:rPr>
          <w:rFonts w:asciiTheme="minorHAnsi" w:hAnsiTheme="minorHAnsi" w:cstheme="minorHAnsi"/>
          <w:b/>
          <w:bCs/>
          <w:sz w:val="22"/>
          <w:szCs w:val="22"/>
        </w:rPr>
        <w:t>; A Randomised, Prospective, Study of Three Doses of an</w:t>
      </w:r>
      <w:r w:rsidRPr="00F173E9">
        <w:rPr>
          <w:rFonts w:asciiTheme="minorHAnsi" w:hAnsiTheme="minorHAnsi" w:cstheme="minorHAnsi"/>
          <w:b/>
          <w:bCs/>
          <w:sz w:val="22"/>
          <w:szCs w:val="22"/>
        </w:rPr>
        <w:t xml:space="preserve"> Iron-Whey-Protein Formulation</w:t>
      </w:r>
      <w:r>
        <w:rPr>
          <w:rFonts w:asciiTheme="minorHAnsi" w:hAnsiTheme="minorHAnsi" w:cstheme="minorHAnsi"/>
          <w:b/>
          <w:bCs/>
          <w:sz w:val="22"/>
          <w:szCs w:val="22"/>
        </w:rPr>
        <w:t>.</w:t>
      </w:r>
      <w:r w:rsidRPr="00F173E9">
        <w:rPr>
          <w:rFonts w:asciiTheme="minorHAnsi" w:hAnsiTheme="minorHAnsi" w:cstheme="minorHAnsi"/>
          <w:b/>
          <w:bCs/>
          <w:sz w:val="22"/>
          <w:szCs w:val="22"/>
        </w:rPr>
        <w:t xml:space="preserve"> </w:t>
      </w:r>
    </w:p>
    <w:p w14:paraId="3B77FE66" w14:textId="77777777" w:rsidR="00B43502" w:rsidRDefault="00B43502" w:rsidP="00B43502">
      <w:pPr>
        <w:adjustRightInd w:val="0"/>
        <w:snapToGrid w:val="0"/>
        <w:spacing w:line="360" w:lineRule="auto"/>
        <w:rPr>
          <w:rFonts w:asciiTheme="minorHAnsi" w:hAnsiTheme="minorHAnsi" w:cstheme="minorHAnsi"/>
          <w:b/>
          <w:bCs/>
          <w:color w:val="000000" w:themeColor="text1"/>
          <w:sz w:val="22"/>
          <w:szCs w:val="22"/>
        </w:rPr>
      </w:pPr>
    </w:p>
    <w:p w14:paraId="056766BA" w14:textId="1E8BC36A" w:rsidR="00B43502" w:rsidRPr="000C3443" w:rsidRDefault="00B43502" w:rsidP="00B43502">
      <w:pPr>
        <w:adjustRightInd w:val="0"/>
        <w:snapToGrid w:val="0"/>
        <w:spacing w:line="360" w:lineRule="auto"/>
        <w:rPr>
          <w:rFonts w:asciiTheme="minorHAnsi" w:hAnsiTheme="minorHAnsi" w:cstheme="minorHAnsi"/>
          <w:sz w:val="22"/>
          <w:szCs w:val="22"/>
        </w:rPr>
      </w:pPr>
      <w:r w:rsidRPr="000C3443">
        <w:rPr>
          <w:rFonts w:asciiTheme="minorHAnsi" w:hAnsiTheme="minorHAnsi" w:cstheme="minorHAnsi"/>
          <w:color w:val="000000" w:themeColor="text1"/>
          <w:sz w:val="22"/>
          <w:szCs w:val="22"/>
        </w:rPr>
        <w:t>P</w:t>
      </w:r>
      <w:r w:rsidR="00BA6589">
        <w:rPr>
          <w:rFonts w:asciiTheme="minorHAnsi" w:hAnsiTheme="minorHAnsi" w:cstheme="minorHAnsi"/>
          <w:color w:val="000000" w:themeColor="text1"/>
          <w:sz w:val="22"/>
          <w:szCs w:val="22"/>
        </w:rPr>
        <w:t>r</w:t>
      </w:r>
      <w:r w:rsidRPr="000C3443">
        <w:rPr>
          <w:rFonts w:asciiTheme="minorHAnsi" w:hAnsiTheme="minorHAnsi" w:cstheme="minorHAnsi"/>
          <w:color w:val="000000" w:themeColor="text1"/>
          <w:sz w:val="22"/>
          <w:szCs w:val="22"/>
        </w:rPr>
        <w:t>ospectiv</w:t>
      </w:r>
      <w:r w:rsidR="00BA6589">
        <w:rPr>
          <w:rFonts w:asciiTheme="minorHAnsi" w:hAnsiTheme="minorHAnsi" w:cstheme="minorHAnsi"/>
          <w:color w:val="000000" w:themeColor="text1"/>
          <w:sz w:val="22"/>
          <w:szCs w:val="22"/>
        </w:rPr>
        <w:t>e</w:t>
      </w:r>
      <w:r w:rsidRPr="000C3443">
        <w:rPr>
          <w:rFonts w:asciiTheme="minorHAnsi" w:hAnsiTheme="minorHAnsi" w:cstheme="minorHAnsi"/>
          <w:color w:val="000000" w:themeColor="text1"/>
          <w:sz w:val="22"/>
          <w:szCs w:val="22"/>
        </w:rPr>
        <w:t xml:space="preserve"> </w:t>
      </w:r>
      <w:proofErr w:type="spellStart"/>
      <w:r w:rsidR="00BA6589">
        <w:rPr>
          <w:rFonts w:asciiTheme="minorHAnsi" w:hAnsiTheme="minorHAnsi" w:cstheme="minorHAnsi"/>
          <w:color w:val="000000" w:themeColor="text1"/>
          <w:sz w:val="22"/>
          <w:szCs w:val="22"/>
        </w:rPr>
        <w:t>RandomisEd</w:t>
      </w:r>
      <w:proofErr w:type="spellEnd"/>
      <w:r w:rsidR="00BA6589">
        <w:rPr>
          <w:rFonts w:asciiTheme="minorHAnsi" w:hAnsiTheme="minorHAnsi" w:cstheme="minorHAnsi"/>
          <w:color w:val="000000" w:themeColor="text1"/>
          <w:sz w:val="22"/>
          <w:szCs w:val="22"/>
        </w:rPr>
        <w:t xml:space="preserve"> </w:t>
      </w:r>
      <w:r w:rsidRPr="000C3443">
        <w:rPr>
          <w:rFonts w:asciiTheme="minorHAnsi" w:hAnsiTheme="minorHAnsi" w:cstheme="minorHAnsi"/>
          <w:color w:val="000000" w:themeColor="text1"/>
          <w:sz w:val="22"/>
          <w:szCs w:val="22"/>
        </w:rPr>
        <w:t xml:space="preserve">study of women of Childbearing age with </w:t>
      </w:r>
      <w:proofErr w:type="spellStart"/>
      <w:r w:rsidRPr="000C3443">
        <w:rPr>
          <w:rFonts w:asciiTheme="minorHAnsi" w:hAnsiTheme="minorHAnsi" w:cstheme="minorHAnsi"/>
          <w:color w:val="000000" w:themeColor="text1"/>
          <w:sz w:val="22"/>
          <w:szCs w:val="22"/>
        </w:rPr>
        <w:t>gastrointeStinal</w:t>
      </w:r>
      <w:proofErr w:type="spellEnd"/>
      <w:r w:rsidRPr="000C3443">
        <w:rPr>
          <w:rFonts w:asciiTheme="minorHAnsi" w:hAnsiTheme="minorHAnsi" w:cstheme="minorHAnsi"/>
          <w:color w:val="000000" w:themeColor="text1"/>
          <w:sz w:val="22"/>
          <w:szCs w:val="22"/>
        </w:rPr>
        <w:t xml:space="preserve"> Intolerance to Oral Iron (</w:t>
      </w:r>
      <w:r w:rsidRPr="000C3443">
        <w:rPr>
          <w:rFonts w:asciiTheme="minorHAnsi" w:hAnsiTheme="minorHAnsi" w:cstheme="minorHAnsi"/>
          <w:b/>
          <w:bCs/>
          <w:color w:val="000000" w:themeColor="text1"/>
          <w:sz w:val="22"/>
          <w:szCs w:val="22"/>
        </w:rPr>
        <w:t>PRECISION</w:t>
      </w:r>
      <w:r w:rsidRPr="000C3443">
        <w:rPr>
          <w:rFonts w:asciiTheme="minorHAnsi" w:hAnsiTheme="minorHAnsi" w:cstheme="minorHAnsi"/>
          <w:color w:val="000000" w:themeColor="text1"/>
          <w:sz w:val="22"/>
          <w:szCs w:val="22"/>
        </w:rPr>
        <w:t>)</w:t>
      </w:r>
      <w:r w:rsidRPr="000C3443">
        <w:rPr>
          <w:rFonts w:asciiTheme="minorHAnsi" w:hAnsiTheme="minorHAnsi" w:cstheme="minorHAnsi"/>
          <w:sz w:val="22"/>
          <w:szCs w:val="22"/>
        </w:rPr>
        <w:t>.</w:t>
      </w:r>
    </w:p>
    <w:p w14:paraId="0EE15AA3" w14:textId="77777777" w:rsidR="00677442" w:rsidRDefault="00677442" w:rsidP="00677442">
      <w:pPr>
        <w:spacing w:line="360" w:lineRule="auto"/>
        <w:rPr>
          <w:rFonts w:asciiTheme="minorHAnsi" w:hAnsiTheme="minorHAnsi" w:cstheme="minorHAnsi"/>
          <w:color w:val="000000" w:themeColor="text1"/>
          <w:sz w:val="22"/>
          <w:szCs w:val="22"/>
        </w:rPr>
      </w:pPr>
    </w:p>
    <w:p w14:paraId="37DB423F" w14:textId="61742E62" w:rsidR="00932F56" w:rsidRPr="00F173E9" w:rsidRDefault="00932F56" w:rsidP="00492D25">
      <w:pPr>
        <w:rPr>
          <w:rFonts w:asciiTheme="minorHAnsi" w:hAnsiTheme="minorHAnsi" w:cstheme="minorHAnsi"/>
          <w:b/>
          <w:bCs/>
          <w:sz w:val="22"/>
          <w:szCs w:val="22"/>
        </w:rPr>
      </w:pPr>
      <w:r w:rsidRPr="00F173E9">
        <w:rPr>
          <w:rFonts w:asciiTheme="minorHAnsi" w:hAnsiTheme="minorHAnsi" w:cstheme="minorHAnsi"/>
          <w:b/>
          <w:bCs/>
          <w:sz w:val="22"/>
          <w:szCs w:val="22"/>
        </w:rPr>
        <w:t xml:space="preserve">Detailed study procedure </w:t>
      </w:r>
    </w:p>
    <w:p w14:paraId="2B262FBC" w14:textId="268EA581" w:rsidR="00492D25" w:rsidRDefault="00492D25" w:rsidP="00932F56">
      <w:pPr>
        <w:spacing w:line="360" w:lineRule="auto"/>
        <w:jc w:val="both"/>
        <w:rPr>
          <w:rFonts w:asciiTheme="minorHAnsi" w:hAnsiTheme="minorHAnsi" w:cstheme="minorHAnsi"/>
          <w:b/>
          <w:bCs/>
          <w:color w:val="000000" w:themeColor="text1"/>
          <w:sz w:val="22"/>
          <w:szCs w:val="22"/>
          <w:u w:val="single"/>
          <w:lang w:val="en-GB"/>
        </w:rPr>
      </w:pPr>
    </w:p>
    <w:p w14:paraId="6C469C07" w14:textId="4EC10EAF" w:rsidR="001775A8" w:rsidRPr="00F173E9" w:rsidRDefault="001775A8" w:rsidP="001775A8">
      <w:pPr>
        <w:widowControl w:val="0"/>
        <w:autoSpaceDE w:val="0"/>
        <w:autoSpaceDN w:val="0"/>
        <w:adjustRightInd w:val="0"/>
        <w:spacing w:line="480" w:lineRule="auto"/>
        <w:jc w:val="both"/>
        <w:rPr>
          <w:rFonts w:asciiTheme="minorHAnsi" w:hAnsiTheme="minorHAnsi" w:cstheme="minorHAnsi"/>
          <w:color w:val="000000" w:themeColor="text1"/>
          <w:sz w:val="22"/>
          <w:szCs w:val="22"/>
        </w:rPr>
      </w:pPr>
      <w:r w:rsidRPr="00F173E9">
        <w:rPr>
          <w:rFonts w:asciiTheme="minorHAnsi" w:hAnsiTheme="minorHAnsi" w:cstheme="minorHAnsi"/>
          <w:b/>
          <w:color w:val="000000" w:themeColor="text1"/>
          <w:sz w:val="22"/>
          <w:szCs w:val="22"/>
        </w:rPr>
        <w:t xml:space="preserve">Ethics approval, consent to participate and consent to publication: </w:t>
      </w:r>
      <w:r w:rsidRPr="00F173E9">
        <w:rPr>
          <w:rFonts w:asciiTheme="minorHAnsi" w:hAnsiTheme="minorHAnsi" w:cstheme="minorHAnsi"/>
          <w:color w:val="000000" w:themeColor="text1"/>
          <w:sz w:val="22"/>
          <w:szCs w:val="22"/>
        </w:rPr>
        <w:t xml:space="preserve">The </w:t>
      </w:r>
      <w:r>
        <w:rPr>
          <w:rFonts w:asciiTheme="minorHAnsi" w:hAnsiTheme="minorHAnsi" w:cstheme="minorHAnsi"/>
          <w:color w:val="000000" w:themeColor="text1"/>
          <w:sz w:val="22"/>
          <w:szCs w:val="22"/>
        </w:rPr>
        <w:t>PRECISION</w:t>
      </w:r>
      <w:r w:rsidRPr="00F173E9">
        <w:rPr>
          <w:rFonts w:asciiTheme="minorHAnsi" w:hAnsiTheme="minorHAnsi" w:cstheme="minorHAnsi"/>
          <w:color w:val="000000" w:themeColor="text1"/>
          <w:sz w:val="22"/>
          <w:szCs w:val="22"/>
        </w:rPr>
        <w:t xml:space="preserve"> clinical trial was approved by the University College Cork / Cork University Hospital Ethics Committee and conformed to the principles of the Declaration of Helsinki and all </w:t>
      </w:r>
      <w:r w:rsidR="0024303B">
        <w:rPr>
          <w:rFonts w:asciiTheme="minorHAnsi" w:hAnsiTheme="minorHAnsi" w:cstheme="minorHAnsi"/>
          <w:color w:val="000000" w:themeColor="text1"/>
          <w:sz w:val="22"/>
          <w:szCs w:val="22"/>
        </w:rPr>
        <w:t>women</w:t>
      </w:r>
      <w:r w:rsidRPr="00F173E9">
        <w:rPr>
          <w:rFonts w:asciiTheme="minorHAnsi" w:hAnsiTheme="minorHAnsi" w:cstheme="minorHAnsi"/>
          <w:color w:val="000000" w:themeColor="text1"/>
          <w:sz w:val="22"/>
          <w:szCs w:val="22"/>
        </w:rPr>
        <w:t xml:space="preserve"> enrolled provided written, informed consent for participation and permission to publish.</w:t>
      </w:r>
      <w:r w:rsidRPr="00F173E9">
        <w:rPr>
          <w:rFonts w:asciiTheme="minorHAnsi" w:hAnsiTheme="minorHAnsi" w:cstheme="minorHAnsi"/>
          <w:b/>
          <w:color w:val="000000" w:themeColor="text1"/>
          <w:sz w:val="22"/>
          <w:szCs w:val="22"/>
        </w:rPr>
        <w:t xml:space="preserve"> </w:t>
      </w:r>
      <w:r w:rsidRPr="00F173E9">
        <w:rPr>
          <w:rFonts w:asciiTheme="minorHAnsi" w:hAnsiTheme="minorHAnsi" w:cstheme="minorHAnsi"/>
          <w:color w:val="000000" w:themeColor="text1"/>
          <w:sz w:val="22"/>
          <w:szCs w:val="22"/>
        </w:rPr>
        <w:t>The corresponding author confirms that the consent of all authors has been provided to publish this manuscript.</w:t>
      </w:r>
    </w:p>
    <w:p w14:paraId="4970179C" w14:textId="77777777" w:rsidR="001775A8" w:rsidRDefault="001775A8" w:rsidP="00932F56">
      <w:pPr>
        <w:spacing w:line="360" w:lineRule="auto"/>
        <w:jc w:val="both"/>
        <w:rPr>
          <w:rFonts w:asciiTheme="minorHAnsi" w:hAnsiTheme="minorHAnsi" w:cstheme="minorHAnsi"/>
          <w:b/>
          <w:bCs/>
          <w:color w:val="000000" w:themeColor="text1"/>
          <w:sz w:val="22"/>
          <w:szCs w:val="22"/>
          <w:u w:val="single"/>
          <w:lang w:val="en-GB"/>
        </w:rPr>
      </w:pPr>
    </w:p>
    <w:p w14:paraId="718944F3" w14:textId="527439AF" w:rsidR="00932F56" w:rsidRPr="0070079F" w:rsidRDefault="00932F56" w:rsidP="00932F56">
      <w:pPr>
        <w:spacing w:line="360" w:lineRule="auto"/>
        <w:jc w:val="both"/>
        <w:rPr>
          <w:rFonts w:asciiTheme="minorHAnsi" w:hAnsiTheme="minorHAnsi" w:cstheme="minorHAnsi"/>
          <w:b/>
          <w:bCs/>
          <w:color w:val="000000" w:themeColor="text1"/>
          <w:sz w:val="22"/>
          <w:szCs w:val="22"/>
          <w:lang w:val="en-GB"/>
        </w:rPr>
      </w:pPr>
      <w:r w:rsidRPr="0070079F">
        <w:rPr>
          <w:rFonts w:asciiTheme="minorHAnsi" w:hAnsiTheme="minorHAnsi" w:cstheme="minorHAnsi"/>
          <w:b/>
          <w:bCs/>
          <w:color w:val="000000" w:themeColor="text1"/>
          <w:sz w:val="22"/>
          <w:szCs w:val="22"/>
          <w:u w:val="single"/>
          <w:lang w:val="en-GB"/>
        </w:rPr>
        <w:t xml:space="preserve">Screening </w:t>
      </w:r>
      <w:r w:rsidR="000F170D">
        <w:rPr>
          <w:rFonts w:asciiTheme="minorHAnsi" w:hAnsiTheme="minorHAnsi" w:cstheme="minorHAnsi"/>
          <w:b/>
          <w:bCs/>
          <w:color w:val="000000" w:themeColor="text1"/>
          <w:sz w:val="22"/>
          <w:szCs w:val="22"/>
          <w:u w:val="single"/>
          <w:lang w:val="en-GB"/>
        </w:rPr>
        <w:t>procedures</w:t>
      </w:r>
      <w:r w:rsidRPr="0070079F">
        <w:rPr>
          <w:rFonts w:asciiTheme="minorHAnsi" w:hAnsiTheme="minorHAnsi" w:cstheme="minorHAnsi"/>
          <w:b/>
          <w:bCs/>
          <w:color w:val="000000" w:themeColor="text1"/>
          <w:sz w:val="22"/>
          <w:szCs w:val="22"/>
          <w:u w:val="single"/>
          <w:lang w:val="en-GB"/>
        </w:rPr>
        <w:t>.</w:t>
      </w:r>
      <w:r w:rsidRPr="0070079F">
        <w:rPr>
          <w:rFonts w:asciiTheme="minorHAnsi" w:hAnsiTheme="minorHAnsi" w:cstheme="minorHAnsi"/>
          <w:b/>
          <w:bCs/>
          <w:color w:val="000000" w:themeColor="text1"/>
          <w:sz w:val="22"/>
          <w:szCs w:val="22"/>
          <w:lang w:val="en-GB"/>
        </w:rPr>
        <w:t xml:space="preserve"> </w:t>
      </w:r>
    </w:p>
    <w:p w14:paraId="3A2704DB" w14:textId="5F5D3BFE" w:rsidR="00932F56" w:rsidRDefault="00932F56" w:rsidP="00932F56">
      <w:pPr>
        <w:spacing w:line="360" w:lineRule="auto"/>
        <w:jc w:val="both"/>
        <w:rPr>
          <w:rFonts w:asciiTheme="minorHAnsi" w:hAnsiTheme="minorHAnsi" w:cstheme="minorHAnsi"/>
          <w:color w:val="000000" w:themeColor="text1"/>
          <w:sz w:val="22"/>
          <w:szCs w:val="22"/>
          <w:lang w:val="en-GB"/>
        </w:rPr>
      </w:pPr>
      <w:r w:rsidRPr="00F173E9">
        <w:rPr>
          <w:rFonts w:asciiTheme="minorHAnsi" w:hAnsiTheme="minorHAnsi" w:cstheme="minorHAnsi"/>
          <w:color w:val="000000" w:themeColor="text1"/>
          <w:sz w:val="22"/>
          <w:szCs w:val="22"/>
          <w:lang w:val="en-GB"/>
        </w:rPr>
        <w:t>Subjects were recruited through adverts in local newspapers, online parenting website (</w:t>
      </w:r>
      <w:hyperlink r:id="rId5" w:history="1">
        <w:r w:rsidRPr="00F173E9">
          <w:rPr>
            <w:rStyle w:val="Hyperlink"/>
            <w:rFonts w:asciiTheme="minorHAnsi" w:hAnsiTheme="minorHAnsi" w:cstheme="minorHAnsi"/>
            <w:sz w:val="22"/>
            <w:szCs w:val="22"/>
            <w:lang w:val="en-GB"/>
          </w:rPr>
          <w:t>www.rollercoaster.ie</w:t>
        </w:r>
      </w:hyperlink>
      <w:r w:rsidRPr="00F173E9">
        <w:rPr>
          <w:rFonts w:asciiTheme="minorHAnsi" w:hAnsiTheme="minorHAnsi" w:cstheme="minorHAnsi"/>
          <w:color w:val="000000" w:themeColor="text1"/>
          <w:sz w:val="22"/>
          <w:szCs w:val="22"/>
          <w:lang w:val="en-GB"/>
        </w:rPr>
        <w:t>), general practitioners offices</w:t>
      </w:r>
      <w:r w:rsidR="00BF380C">
        <w:rPr>
          <w:rFonts w:asciiTheme="minorHAnsi" w:hAnsiTheme="minorHAnsi" w:cstheme="minorHAnsi"/>
          <w:color w:val="000000" w:themeColor="text1"/>
          <w:sz w:val="22"/>
          <w:szCs w:val="22"/>
          <w:lang w:val="en-GB"/>
        </w:rPr>
        <w:t>, pharmacies</w:t>
      </w:r>
      <w:r w:rsidRPr="00F173E9">
        <w:rPr>
          <w:rFonts w:asciiTheme="minorHAnsi" w:hAnsiTheme="minorHAnsi" w:cstheme="minorHAnsi"/>
          <w:color w:val="000000" w:themeColor="text1"/>
          <w:sz w:val="22"/>
          <w:szCs w:val="22"/>
          <w:lang w:val="en-GB"/>
        </w:rPr>
        <w:t xml:space="preserve"> and the </w:t>
      </w:r>
      <w:proofErr w:type="spellStart"/>
      <w:r w:rsidRPr="00F173E9">
        <w:rPr>
          <w:rFonts w:asciiTheme="minorHAnsi" w:hAnsiTheme="minorHAnsi" w:cstheme="minorHAnsi"/>
          <w:color w:val="000000" w:themeColor="text1"/>
          <w:sz w:val="22"/>
          <w:szCs w:val="22"/>
          <w:lang w:val="en-GB"/>
        </w:rPr>
        <w:t>Atlantia</w:t>
      </w:r>
      <w:proofErr w:type="spellEnd"/>
      <w:r w:rsidRPr="00F173E9">
        <w:rPr>
          <w:rFonts w:asciiTheme="minorHAnsi" w:hAnsiTheme="minorHAnsi" w:cstheme="minorHAnsi"/>
          <w:color w:val="000000" w:themeColor="text1"/>
          <w:sz w:val="22"/>
          <w:szCs w:val="22"/>
          <w:lang w:val="en-GB"/>
        </w:rPr>
        <w:t xml:space="preserve"> Clinical Research Organisation database.  Subjects underwent an initial phone screen to confirm their demographics, medical history</w:t>
      </w:r>
      <w:r>
        <w:rPr>
          <w:rFonts w:asciiTheme="minorHAnsi" w:hAnsiTheme="minorHAnsi" w:cstheme="minorHAnsi"/>
          <w:color w:val="000000" w:themeColor="text1"/>
          <w:sz w:val="22"/>
          <w:szCs w:val="22"/>
          <w:lang w:val="en-GB"/>
        </w:rPr>
        <w:t xml:space="preserve"> (including absence of </w:t>
      </w:r>
      <w:r w:rsidR="00917E42">
        <w:rPr>
          <w:rFonts w:asciiTheme="minorHAnsi" w:hAnsiTheme="minorHAnsi" w:cstheme="minorHAnsi"/>
          <w:color w:val="000000" w:themeColor="text1"/>
          <w:sz w:val="22"/>
          <w:szCs w:val="22"/>
          <w:lang w:val="en-GB"/>
        </w:rPr>
        <w:t xml:space="preserve">an active </w:t>
      </w:r>
      <w:r>
        <w:rPr>
          <w:rFonts w:asciiTheme="minorHAnsi" w:hAnsiTheme="minorHAnsi" w:cstheme="minorHAnsi"/>
          <w:color w:val="000000" w:themeColor="text1"/>
          <w:sz w:val="22"/>
          <w:szCs w:val="22"/>
          <w:lang w:val="en-GB"/>
        </w:rPr>
        <w:t>diagnos</w:t>
      </w:r>
      <w:r w:rsidR="00917E42">
        <w:rPr>
          <w:rFonts w:asciiTheme="minorHAnsi" w:hAnsiTheme="minorHAnsi" w:cstheme="minorHAnsi"/>
          <w:color w:val="000000" w:themeColor="text1"/>
          <w:sz w:val="22"/>
          <w:szCs w:val="22"/>
          <w:lang w:val="en-GB"/>
        </w:rPr>
        <w:t>is of</w:t>
      </w:r>
      <w:r>
        <w:rPr>
          <w:rFonts w:asciiTheme="minorHAnsi" w:hAnsiTheme="minorHAnsi" w:cstheme="minorHAnsi"/>
          <w:color w:val="000000" w:themeColor="text1"/>
          <w:sz w:val="22"/>
          <w:szCs w:val="22"/>
          <w:lang w:val="en-GB"/>
        </w:rPr>
        <w:t xml:space="preserve"> gastrointestinal disease) </w:t>
      </w:r>
      <w:r w:rsidRPr="00F173E9">
        <w:rPr>
          <w:rFonts w:asciiTheme="minorHAnsi" w:hAnsiTheme="minorHAnsi" w:cstheme="minorHAnsi"/>
          <w:color w:val="000000" w:themeColor="text1"/>
          <w:sz w:val="22"/>
          <w:szCs w:val="22"/>
          <w:lang w:val="en-GB"/>
        </w:rPr>
        <w:t>and definite history of gastrointestinal intolerance to oral iron.  Consenting, eligible subjects were then</w:t>
      </w:r>
      <w:r>
        <w:rPr>
          <w:rFonts w:asciiTheme="minorHAnsi" w:hAnsiTheme="minorHAnsi" w:cstheme="minorHAnsi"/>
          <w:color w:val="000000" w:themeColor="text1"/>
          <w:sz w:val="22"/>
          <w:szCs w:val="22"/>
          <w:lang w:val="en-GB"/>
        </w:rPr>
        <w:t xml:space="preserve"> asked to omit their oral iron product for at least 7 days and were</w:t>
      </w:r>
      <w:r w:rsidRPr="00F173E9">
        <w:rPr>
          <w:rFonts w:asciiTheme="minorHAnsi" w:hAnsiTheme="minorHAnsi" w:cstheme="minorHAnsi"/>
          <w:color w:val="000000" w:themeColor="text1"/>
          <w:sz w:val="22"/>
          <w:szCs w:val="22"/>
          <w:lang w:val="en-GB"/>
        </w:rPr>
        <w:t xml:space="preserve"> invited to a study screening visit in the clinic to investigate </w:t>
      </w:r>
      <w:r>
        <w:rPr>
          <w:rFonts w:asciiTheme="minorHAnsi" w:hAnsiTheme="minorHAnsi" w:cstheme="minorHAnsi"/>
          <w:color w:val="000000" w:themeColor="text1"/>
          <w:sz w:val="22"/>
          <w:szCs w:val="22"/>
          <w:lang w:val="en-GB"/>
        </w:rPr>
        <w:t xml:space="preserve">iron stores, haemoglobin, </w:t>
      </w:r>
      <w:r w:rsidRPr="00F173E9">
        <w:rPr>
          <w:rFonts w:asciiTheme="minorHAnsi" w:hAnsiTheme="minorHAnsi" w:cstheme="minorHAnsi"/>
          <w:color w:val="000000" w:themeColor="text1"/>
          <w:sz w:val="22"/>
          <w:szCs w:val="22"/>
          <w:lang w:val="en-GB"/>
        </w:rPr>
        <w:t>vital signs (</w:t>
      </w:r>
      <w:r w:rsidRPr="00F173E9">
        <w:rPr>
          <w:rFonts w:asciiTheme="minorHAnsi" w:hAnsiTheme="minorHAnsi" w:cstheme="minorHAnsi"/>
          <w:color w:val="000000" w:themeColor="text1"/>
          <w:sz w:val="22"/>
          <w:szCs w:val="22"/>
        </w:rPr>
        <w:t xml:space="preserve">blood </w:t>
      </w:r>
      <w:r w:rsidRPr="007C2D4D">
        <w:rPr>
          <w:rFonts w:asciiTheme="minorHAnsi" w:hAnsiTheme="minorHAnsi" w:cstheme="minorHAnsi"/>
          <w:color w:val="000000" w:themeColor="text1"/>
          <w:sz w:val="22"/>
          <w:szCs w:val="22"/>
        </w:rPr>
        <w:t>pressure, heart rate &amp; temperature)</w:t>
      </w:r>
      <w:r w:rsidRPr="005B431B">
        <w:rPr>
          <w:rFonts w:asciiTheme="minorHAnsi" w:hAnsiTheme="minorHAnsi" w:cstheme="minorHAnsi"/>
          <w:color w:val="000000" w:themeColor="text1"/>
          <w:sz w:val="22"/>
          <w:szCs w:val="22"/>
          <w:lang w:val="en-GB"/>
        </w:rPr>
        <w:t>, anthropometric measurements (</w:t>
      </w:r>
      <w:r w:rsidRPr="00A129F3">
        <w:rPr>
          <w:rFonts w:asciiTheme="minorHAnsi" w:hAnsiTheme="minorHAnsi" w:cstheme="minorHAnsi"/>
          <w:color w:val="000000" w:themeColor="text1"/>
          <w:sz w:val="22"/>
          <w:szCs w:val="22"/>
        </w:rPr>
        <w:t>weight, height &amp; body mass index</w:t>
      </w:r>
      <w:r w:rsidRPr="00A129F3">
        <w:rPr>
          <w:rFonts w:asciiTheme="minorHAnsi" w:hAnsiTheme="minorHAnsi" w:cstheme="minorHAnsi"/>
          <w:color w:val="000000" w:themeColor="text1"/>
          <w:sz w:val="22"/>
          <w:szCs w:val="22"/>
          <w:lang w:val="en-GB"/>
        </w:rPr>
        <w:t xml:space="preserve">), </w:t>
      </w:r>
      <w:r w:rsidRPr="00BF2866">
        <w:rPr>
          <w:rFonts w:asciiTheme="minorHAnsi" w:hAnsiTheme="minorHAnsi" w:cstheme="minorHAnsi"/>
          <w:color w:val="000000" w:themeColor="text1"/>
          <w:sz w:val="22"/>
          <w:szCs w:val="22"/>
          <w:lang w:val="en-GB"/>
        </w:rPr>
        <w:t xml:space="preserve">medical history, </w:t>
      </w:r>
      <w:r w:rsidRPr="007C2D4D">
        <w:rPr>
          <w:rFonts w:asciiTheme="minorHAnsi" w:hAnsiTheme="minorHAnsi" w:cstheme="minorHAnsi"/>
          <w:color w:val="000000" w:themeColor="text1"/>
          <w:sz w:val="22"/>
          <w:szCs w:val="22"/>
          <w:lang w:val="en-GB"/>
        </w:rPr>
        <w:t xml:space="preserve">history </w:t>
      </w:r>
      <w:r w:rsidRPr="005B431B">
        <w:rPr>
          <w:rFonts w:asciiTheme="minorHAnsi" w:hAnsiTheme="minorHAnsi" w:cstheme="minorHAnsi"/>
          <w:color w:val="000000" w:themeColor="text1"/>
          <w:sz w:val="22"/>
          <w:szCs w:val="22"/>
          <w:lang w:val="en-GB"/>
        </w:rPr>
        <w:t>of</w:t>
      </w:r>
      <w:r w:rsidRPr="00A129F3">
        <w:rPr>
          <w:rFonts w:asciiTheme="minorHAnsi" w:hAnsiTheme="minorHAnsi" w:cstheme="minorHAnsi"/>
          <w:color w:val="000000" w:themeColor="text1"/>
          <w:sz w:val="22"/>
          <w:szCs w:val="22"/>
          <w:lang w:val="en-GB"/>
        </w:rPr>
        <w:t xml:space="preserve"> iron deficiency, history of anaemia and self-reported history of intolerance </w:t>
      </w:r>
      <w:r w:rsidRPr="00F173E9">
        <w:rPr>
          <w:rFonts w:asciiTheme="minorHAnsi" w:hAnsiTheme="minorHAnsi" w:cstheme="minorHAnsi"/>
          <w:color w:val="000000" w:themeColor="text1"/>
          <w:sz w:val="22"/>
          <w:szCs w:val="22"/>
          <w:lang w:val="en-GB"/>
        </w:rPr>
        <w:t>to oral iron products</w:t>
      </w:r>
      <w:r>
        <w:rPr>
          <w:rFonts w:asciiTheme="minorHAnsi" w:hAnsiTheme="minorHAnsi" w:cstheme="minorHAnsi"/>
          <w:color w:val="000000" w:themeColor="text1"/>
          <w:sz w:val="22"/>
          <w:szCs w:val="22"/>
          <w:lang w:val="en-GB"/>
        </w:rPr>
        <w:t xml:space="preserve">. The self-reported history collected detailed measures of </w:t>
      </w:r>
      <w:r w:rsidRPr="00F173E9">
        <w:rPr>
          <w:rFonts w:asciiTheme="minorHAnsi" w:hAnsiTheme="minorHAnsi" w:cstheme="minorHAnsi"/>
          <w:color w:val="000000" w:themeColor="text1"/>
          <w:sz w:val="22"/>
          <w:szCs w:val="22"/>
          <w:lang w:val="en-GB"/>
        </w:rPr>
        <w:t>upper GI symptoms (</w:t>
      </w:r>
      <w:proofErr w:type="gramStart"/>
      <w:r w:rsidRPr="00F173E9">
        <w:rPr>
          <w:rFonts w:asciiTheme="minorHAnsi" w:hAnsiTheme="minorHAnsi" w:cstheme="minorHAnsi"/>
          <w:color w:val="000000" w:themeColor="text1"/>
          <w:sz w:val="22"/>
          <w:szCs w:val="22"/>
          <w:lang w:val="en-GB"/>
        </w:rPr>
        <w:t>e.g.</w:t>
      </w:r>
      <w:proofErr w:type="gramEnd"/>
      <w:r w:rsidRPr="00F173E9">
        <w:rPr>
          <w:rFonts w:asciiTheme="minorHAnsi" w:hAnsiTheme="minorHAnsi" w:cstheme="minorHAnsi"/>
          <w:color w:val="000000" w:themeColor="text1"/>
          <w:sz w:val="22"/>
          <w:szCs w:val="22"/>
          <w:lang w:val="en-GB"/>
        </w:rPr>
        <w:t xml:space="preserve"> self-reported history of stomach pain, nausea, vomiting, eructation, heartburn, indigestion) and lower GI symptoms (e.g. </w:t>
      </w:r>
      <w:r>
        <w:rPr>
          <w:rFonts w:asciiTheme="minorHAnsi" w:hAnsiTheme="minorHAnsi" w:cstheme="minorHAnsi"/>
          <w:color w:val="000000" w:themeColor="text1"/>
          <w:sz w:val="22"/>
          <w:szCs w:val="22"/>
          <w:lang w:val="en-GB"/>
        </w:rPr>
        <w:t>b</w:t>
      </w:r>
      <w:r w:rsidRPr="00F173E9">
        <w:rPr>
          <w:rFonts w:asciiTheme="minorHAnsi" w:hAnsiTheme="minorHAnsi" w:cstheme="minorHAnsi"/>
          <w:color w:val="000000" w:themeColor="text1"/>
          <w:sz w:val="22"/>
          <w:szCs w:val="22"/>
          <w:lang w:val="en-GB"/>
        </w:rPr>
        <w:t>owel habit changes, diarrhoea, constipation, stool discolouration). A fasting blood sample (16m</w:t>
      </w:r>
      <w:r w:rsidR="00344831">
        <w:rPr>
          <w:rFonts w:asciiTheme="minorHAnsi" w:hAnsiTheme="minorHAnsi" w:cstheme="minorHAnsi"/>
          <w:color w:val="000000" w:themeColor="text1"/>
          <w:sz w:val="22"/>
          <w:szCs w:val="22"/>
          <w:lang w:val="en-GB"/>
        </w:rPr>
        <w:t>L</w:t>
      </w:r>
      <w:r w:rsidRPr="00F173E9">
        <w:rPr>
          <w:rFonts w:asciiTheme="minorHAnsi" w:hAnsiTheme="minorHAnsi" w:cstheme="minorHAnsi"/>
          <w:color w:val="000000" w:themeColor="text1"/>
          <w:sz w:val="22"/>
          <w:szCs w:val="22"/>
          <w:lang w:val="en-GB"/>
        </w:rPr>
        <w:t xml:space="preserve">s) was collected and </w:t>
      </w:r>
      <w:r>
        <w:rPr>
          <w:rFonts w:asciiTheme="minorHAnsi" w:hAnsiTheme="minorHAnsi" w:cstheme="minorHAnsi"/>
          <w:color w:val="000000" w:themeColor="text1"/>
          <w:sz w:val="22"/>
          <w:szCs w:val="22"/>
          <w:lang w:val="en-GB"/>
        </w:rPr>
        <w:t>f</w:t>
      </w:r>
      <w:r w:rsidRPr="00F173E9">
        <w:rPr>
          <w:rFonts w:asciiTheme="minorHAnsi" w:hAnsiTheme="minorHAnsi" w:cstheme="minorHAnsi"/>
          <w:color w:val="000000" w:themeColor="text1"/>
          <w:sz w:val="22"/>
          <w:szCs w:val="22"/>
          <w:lang w:val="en-GB"/>
        </w:rPr>
        <w:t xml:space="preserve">erritin and </w:t>
      </w:r>
      <w:r>
        <w:rPr>
          <w:rFonts w:asciiTheme="minorHAnsi" w:hAnsiTheme="minorHAnsi" w:cstheme="minorHAnsi"/>
          <w:color w:val="000000" w:themeColor="text1"/>
          <w:sz w:val="22"/>
          <w:szCs w:val="22"/>
          <w:lang w:val="en-GB"/>
        </w:rPr>
        <w:t>haemoglobin</w:t>
      </w:r>
      <w:r w:rsidRPr="00F173E9">
        <w:rPr>
          <w:rFonts w:asciiTheme="minorHAnsi" w:hAnsiTheme="minorHAnsi" w:cstheme="minorHAnsi"/>
          <w:color w:val="000000" w:themeColor="text1"/>
          <w:sz w:val="22"/>
          <w:szCs w:val="22"/>
          <w:lang w:val="en-GB"/>
        </w:rPr>
        <w:t xml:space="preserve"> </w:t>
      </w:r>
      <w:proofErr w:type="gramStart"/>
      <w:r>
        <w:rPr>
          <w:rFonts w:asciiTheme="minorHAnsi" w:hAnsiTheme="minorHAnsi" w:cstheme="minorHAnsi"/>
          <w:color w:val="000000" w:themeColor="text1"/>
          <w:sz w:val="22"/>
          <w:szCs w:val="22"/>
          <w:lang w:val="en-GB"/>
        </w:rPr>
        <w:t>was</w:t>
      </w:r>
      <w:proofErr w:type="gramEnd"/>
      <w:r>
        <w:rPr>
          <w:rFonts w:asciiTheme="minorHAnsi" w:hAnsiTheme="minorHAnsi" w:cstheme="minorHAnsi"/>
          <w:color w:val="000000" w:themeColor="text1"/>
          <w:sz w:val="22"/>
          <w:szCs w:val="22"/>
          <w:lang w:val="en-GB"/>
        </w:rPr>
        <w:t xml:space="preserve"> </w:t>
      </w:r>
      <w:r w:rsidRPr="00F173E9">
        <w:rPr>
          <w:rFonts w:asciiTheme="minorHAnsi" w:hAnsiTheme="minorHAnsi" w:cstheme="minorHAnsi"/>
          <w:color w:val="000000" w:themeColor="text1"/>
          <w:sz w:val="22"/>
          <w:szCs w:val="22"/>
          <w:lang w:val="en-GB"/>
        </w:rPr>
        <w:t xml:space="preserve">measured. </w:t>
      </w:r>
    </w:p>
    <w:p w14:paraId="61971793" w14:textId="77777777" w:rsidR="00230E0A" w:rsidRDefault="00230E0A" w:rsidP="00230E0A">
      <w:pPr>
        <w:spacing w:line="360" w:lineRule="auto"/>
        <w:jc w:val="both"/>
        <w:rPr>
          <w:rFonts w:asciiTheme="minorHAnsi" w:hAnsiTheme="minorHAnsi" w:cstheme="minorHAnsi"/>
          <w:color w:val="000000" w:themeColor="text1"/>
          <w:sz w:val="22"/>
          <w:szCs w:val="22"/>
          <w:lang w:val="en-GB"/>
        </w:rPr>
      </w:pPr>
    </w:p>
    <w:p w14:paraId="06610E57" w14:textId="16D3791C" w:rsidR="00230E0A" w:rsidRPr="00F173E9" w:rsidRDefault="00230E0A" w:rsidP="00230E0A">
      <w:pPr>
        <w:spacing w:line="360" w:lineRule="auto"/>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 xml:space="preserve">Excluded were </w:t>
      </w:r>
      <w:r w:rsidR="0024303B">
        <w:rPr>
          <w:rFonts w:asciiTheme="minorHAnsi" w:hAnsiTheme="minorHAnsi" w:cstheme="minorHAnsi"/>
          <w:color w:val="000000" w:themeColor="text1"/>
          <w:sz w:val="22"/>
          <w:szCs w:val="22"/>
          <w:lang w:val="en-GB"/>
        </w:rPr>
        <w:t>women</w:t>
      </w:r>
      <w:r>
        <w:rPr>
          <w:rFonts w:asciiTheme="minorHAnsi" w:hAnsiTheme="minorHAnsi" w:cstheme="minorHAnsi"/>
          <w:color w:val="000000" w:themeColor="text1"/>
          <w:sz w:val="22"/>
          <w:szCs w:val="22"/>
          <w:lang w:val="en-GB"/>
        </w:rPr>
        <w:t xml:space="preserve"> taking </w:t>
      </w:r>
      <w:r w:rsidRPr="00F173E9">
        <w:rPr>
          <w:rFonts w:asciiTheme="minorHAnsi" w:hAnsiTheme="minorHAnsi" w:cstheme="minorHAnsi"/>
          <w:color w:val="000000" w:themeColor="text1"/>
          <w:sz w:val="22"/>
          <w:szCs w:val="22"/>
          <w:lang w:val="en-GB"/>
        </w:rPr>
        <w:t>concurrent medication which interferes with the absorption of iron (e.g. tetracyclines, calcium supplements)</w:t>
      </w:r>
      <w:r>
        <w:rPr>
          <w:rFonts w:asciiTheme="minorHAnsi" w:hAnsiTheme="minorHAnsi" w:cstheme="minorHAnsi"/>
          <w:color w:val="000000" w:themeColor="text1"/>
          <w:sz w:val="22"/>
          <w:szCs w:val="22"/>
          <w:lang w:val="en-GB"/>
        </w:rPr>
        <w:t>, those with</w:t>
      </w:r>
      <w:r w:rsidRPr="00F173E9">
        <w:rPr>
          <w:rFonts w:asciiTheme="minorHAnsi" w:hAnsiTheme="minorHAnsi" w:cstheme="minorHAnsi"/>
          <w:color w:val="000000" w:themeColor="text1"/>
          <w:sz w:val="22"/>
          <w:szCs w:val="22"/>
          <w:lang w:val="en-GB"/>
        </w:rPr>
        <w:t xml:space="preserve"> a history of dairy allergy or hypersensitive to any of </w:t>
      </w:r>
      <w:r w:rsidRPr="00F173E9">
        <w:rPr>
          <w:rFonts w:asciiTheme="minorHAnsi" w:hAnsiTheme="minorHAnsi" w:cstheme="minorHAnsi"/>
          <w:color w:val="000000" w:themeColor="text1"/>
          <w:sz w:val="22"/>
          <w:szCs w:val="22"/>
          <w:lang w:val="en-GB"/>
        </w:rPr>
        <w:lastRenderedPageBreak/>
        <w:t>the components of the test product</w:t>
      </w:r>
      <w:r>
        <w:rPr>
          <w:rFonts w:asciiTheme="minorHAnsi" w:hAnsiTheme="minorHAnsi" w:cstheme="minorHAnsi"/>
          <w:color w:val="000000" w:themeColor="text1"/>
          <w:sz w:val="22"/>
          <w:szCs w:val="22"/>
          <w:lang w:val="en-GB"/>
        </w:rPr>
        <w:t xml:space="preserve">, those with </w:t>
      </w:r>
      <w:r w:rsidRPr="00F173E9">
        <w:rPr>
          <w:rFonts w:asciiTheme="minorHAnsi" w:hAnsiTheme="minorHAnsi" w:cstheme="minorHAnsi"/>
          <w:color w:val="000000" w:themeColor="text1"/>
          <w:sz w:val="22"/>
          <w:szCs w:val="22"/>
          <w:lang w:val="en-GB"/>
        </w:rPr>
        <w:t>severe anaemia (haemoglobin &lt;9.5 g/dL</w:t>
      </w:r>
      <w:r>
        <w:rPr>
          <w:rFonts w:asciiTheme="minorHAnsi" w:hAnsiTheme="minorHAnsi" w:cstheme="minorHAnsi"/>
          <w:color w:val="000000" w:themeColor="text1"/>
          <w:sz w:val="22"/>
          <w:szCs w:val="22"/>
          <w:lang w:val="en-GB"/>
        </w:rPr>
        <w:t xml:space="preserve">) and </w:t>
      </w:r>
      <w:r w:rsidRPr="00F173E9">
        <w:rPr>
          <w:rFonts w:asciiTheme="minorHAnsi" w:hAnsiTheme="minorHAnsi" w:cstheme="minorHAnsi"/>
          <w:color w:val="000000" w:themeColor="text1"/>
          <w:sz w:val="22"/>
          <w:szCs w:val="22"/>
          <w:lang w:val="en-GB"/>
        </w:rPr>
        <w:t xml:space="preserve">a malignant disease or any concomitant end-stage organ disease or significant acute or chronic, unstable and untreated disease or any condition, which contraindicated, in the investigator’s judgement, entry to the study.  </w:t>
      </w:r>
    </w:p>
    <w:p w14:paraId="123D5B62" w14:textId="77777777" w:rsidR="00230E0A" w:rsidRPr="00F173E9" w:rsidRDefault="00230E0A" w:rsidP="00932F56">
      <w:pPr>
        <w:spacing w:line="360" w:lineRule="auto"/>
        <w:jc w:val="both"/>
        <w:rPr>
          <w:rFonts w:asciiTheme="minorHAnsi" w:hAnsiTheme="minorHAnsi" w:cstheme="minorHAnsi"/>
          <w:color w:val="000000" w:themeColor="text1"/>
          <w:sz w:val="22"/>
          <w:szCs w:val="22"/>
          <w:lang w:val="en-GB"/>
        </w:rPr>
      </w:pPr>
    </w:p>
    <w:p w14:paraId="32C2B3B7" w14:textId="5A985819" w:rsidR="00932F56" w:rsidRDefault="00932F56" w:rsidP="00932F56">
      <w:pPr>
        <w:spacing w:line="360" w:lineRule="auto"/>
        <w:jc w:val="both"/>
        <w:rPr>
          <w:rFonts w:asciiTheme="minorHAnsi" w:hAnsiTheme="minorHAnsi" w:cstheme="minorHAnsi"/>
          <w:sz w:val="22"/>
          <w:szCs w:val="22"/>
        </w:rPr>
      </w:pPr>
      <w:r w:rsidRPr="0070079F">
        <w:rPr>
          <w:rFonts w:asciiTheme="minorHAnsi" w:hAnsiTheme="minorHAnsi" w:cstheme="minorHAnsi"/>
          <w:b/>
          <w:bCs/>
          <w:sz w:val="22"/>
          <w:szCs w:val="22"/>
          <w:u w:val="single"/>
        </w:rPr>
        <w:t>Prospective</w:t>
      </w:r>
      <w:r w:rsidR="000F170D">
        <w:rPr>
          <w:rFonts w:asciiTheme="minorHAnsi" w:hAnsiTheme="minorHAnsi" w:cstheme="minorHAnsi"/>
          <w:b/>
          <w:bCs/>
          <w:sz w:val="22"/>
          <w:szCs w:val="22"/>
          <w:u w:val="single"/>
        </w:rPr>
        <w:t>, randomised, controlled trial procedures</w:t>
      </w:r>
      <w:r w:rsidRPr="00F173E9">
        <w:rPr>
          <w:rFonts w:asciiTheme="minorHAnsi" w:hAnsiTheme="minorHAnsi" w:cstheme="minorHAnsi"/>
          <w:sz w:val="22"/>
          <w:szCs w:val="22"/>
        </w:rPr>
        <w:t xml:space="preserve">. </w:t>
      </w:r>
    </w:p>
    <w:p w14:paraId="7275308B" w14:textId="586BDDF3" w:rsidR="00932F56" w:rsidRDefault="00932F56" w:rsidP="00932F56">
      <w:pPr>
        <w:spacing w:line="360" w:lineRule="auto"/>
        <w:jc w:val="both"/>
        <w:rPr>
          <w:rFonts w:asciiTheme="minorHAnsi" w:hAnsiTheme="minorHAnsi" w:cstheme="minorHAnsi"/>
          <w:color w:val="000000" w:themeColor="text1"/>
          <w:sz w:val="22"/>
          <w:szCs w:val="22"/>
          <w:lang w:val="en-GB"/>
        </w:rPr>
      </w:pPr>
      <w:r w:rsidRPr="00F173E9">
        <w:rPr>
          <w:rFonts w:asciiTheme="minorHAnsi" w:hAnsiTheme="minorHAnsi" w:cstheme="minorHAnsi"/>
          <w:sz w:val="22"/>
          <w:szCs w:val="22"/>
        </w:rPr>
        <w:t>The prospective trial evaluated</w:t>
      </w:r>
      <w:r w:rsidRPr="00F173E9">
        <w:rPr>
          <w:rFonts w:asciiTheme="minorHAnsi" w:hAnsiTheme="minorHAnsi" w:cstheme="minorHAnsi"/>
          <w:color w:val="000000" w:themeColor="text1"/>
          <w:sz w:val="22"/>
          <w:szCs w:val="22"/>
          <w:lang w:val="en-GB"/>
        </w:rPr>
        <w:t xml:space="preserve"> the adherence, tolerability and efficacy </w:t>
      </w:r>
      <w:r>
        <w:rPr>
          <w:rFonts w:asciiTheme="minorHAnsi" w:hAnsiTheme="minorHAnsi" w:cstheme="minorHAnsi"/>
          <w:color w:val="000000" w:themeColor="text1"/>
          <w:sz w:val="22"/>
          <w:szCs w:val="22"/>
          <w:lang w:val="en-GB"/>
        </w:rPr>
        <w:t xml:space="preserve">of IWP overall and </w:t>
      </w:r>
      <w:r w:rsidRPr="00F173E9">
        <w:rPr>
          <w:rFonts w:asciiTheme="minorHAnsi" w:hAnsiTheme="minorHAnsi" w:cstheme="minorHAnsi"/>
          <w:color w:val="000000" w:themeColor="text1"/>
          <w:sz w:val="22"/>
          <w:szCs w:val="22"/>
          <w:lang w:val="en-GB"/>
        </w:rPr>
        <w:t xml:space="preserve">of three different elemental iron doses of </w:t>
      </w:r>
      <w:r>
        <w:rPr>
          <w:rFonts w:asciiTheme="minorHAnsi" w:hAnsiTheme="minorHAnsi" w:cstheme="minorHAnsi"/>
          <w:color w:val="000000" w:themeColor="text1"/>
          <w:sz w:val="22"/>
          <w:szCs w:val="22"/>
          <w:lang w:val="en-GB"/>
        </w:rPr>
        <w:t>IWP in women with a history of intolerance to oral iron, low iron or iron deficiency, with or without anaemia</w:t>
      </w:r>
      <w:r w:rsidRPr="00F173E9">
        <w:rPr>
          <w:rFonts w:asciiTheme="minorHAnsi" w:hAnsiTheme="minorHAnsi" w:cstheme="minorHAnsi"/>
          <w:color w:val="000000" w:themeColor="text1"/>
          <w:sz w:val="22"/>
          <w:szCs w:val="22"/>
          <w:lang w:val="en-GB"/>
        </w:rPr>
        <w:t>.</w:t>
      </w:r>
      <w:r>
        <w:rPr>
          <w:rFonts w:asciiTheme="minorHAnsi" w:hAnsiTheme="minorHAnsi" w:cstheme="minorHAnsi"/>
          <w:color w:val="000000" w:themeColor="text1"/>
          <w:sz w:val="22"/>
          <w:szCs w:val="22"/>
          <w:lang w:val="en-GB"/>
        </w:rPr>
        <w:t xml:space="preserve"> </w:t>
      </w:r>
      <w:r w:rsidR="000F170D" w:rsidRPr="001870DF">
        <w:rPr>
          <w:rFonts w:asciiTheme="minorHAnsi" w:hAnsiTheme="minorHAnsi" w:cstheme="minorHAnsi"/>
          <w:sz w:val="22"/>
          <w:szCs w:val="22"/>
        </w:rPr>
        <w:t xml:space="preserve">Randomisation </w:t>
      </w:r>
      <w:r w:rsidR="000F170D">
        <w:rPr>
          <w:rFonts w:asciiTheme="minorHAnsi" w:hAnsiTheme="minorHAnsi" w:cstheme="minorHAnsi"/>
          <w:sz w:val="22"/>
          <w:szCs w:val="22"/>
        </w:rPr>
        <w:t>was</w:t>
      </w:r>
      <w:r w:rsidR="000F170D" w:rsidRPr="001870DF">
        <w:rPr>
          <w:rFonts w:asciiTheme="minorHAnsi" w:hAnsiTheme="minorHAnsi" w:cstheme="minorHAnsi"/>
          <w:sz w:val="22"/>
          <w:szCs w:val="22"/>
        </w:rPr>
        <w:t xml:space="preserve"> </w:t>
      </w:r>
      <w:r w:rsidR="000F170D">
        <w:rPr>
          <w:rFonts w:asciiTheme="minorHAnsi" w:hAnsiTheme="minorHAnsi" w:cstheme="minorHAnsi"/>
          <w:sz w:val="22"/>
          <w:szCs w:val="22"/>
        </w:rPr>
        <w:t>carried out</w:t>
      </w:r>
      <w:r w:rsidR="000F170D" w:rsidRPr="001870DF">
        <w:rPr>
          <w:rFonts w:asciiTheme="minorHAnsi" w:hAnsiTheme="minorHAnsi" w:cstheme="minorHAnsi"/>
          <w:sz w:val="22"/>
          <w:szCs w:val="22"/>
        </w:rPr>
        <w:t xml:space="preserve"> by a statistician </w:t>
      </w:r>
      <w:r w:rsidR="000F170D">
        <w:rPr>
          <w:rFonts w:asciiTheme="minorHAnsi" w:hAnsiTheme="minorHAnsi" w:cstheme="minorHAnsi"/>
          <w:sz w:val="22"/>
          <w:szCs w:val="22"/>
        </w:rPr>
        <w:t xml:space="preserve">employed by </w:t>
      </w:r>
      <w:proofErr w:type="spellStart"/>
      <w:r w:rsidR="000F170D">
        <w:rPr>
          <w:rFonts w:asciiTheme="minorHAnsi" w:hAnsiTheme="minorHAnsi" w:cstheme="minorHAnsi"/>
          <w:sz w:val="22"/>
          <w:szCs w:val="22"/>
        </w:rPr>
        <w:t>Atlantia</w:t>
      </w:r>
      <w:proofErr w:type="spellEnd"/>
      <w:r w:rsidR="000F170D">
        <w:rPr>
          <w:rFonts w:asciiTheme="minorHAnsi" w:hAnsiTheme="minorHAnsi" w:cstheme="minorHAnsi"/>
          <w:sz w:val="22"/>
          <w:szCs w:val="22"/>
        </w:rPr>
        <w:t xml:space="preserve"> CRO using R software and the Randomisation Code was confidentially maintained by the Managing Director of the company until the study was complete and the database locked. None of the study team or investigators had access to the Randomisation Code. </w:t>
      </w:r>
      <w:r w:rsidR="00FB075C">
        <w:rPr>
          <w:rFonts w:asciiTheme="minorHAnsi" w:hAnsiTheme="minorHAnsi" w:cstheme="minorHAnsi"/>
          <w:color w:val="000000" w:themeColor="text1"/>
          <w:sz w:val="22"/>
          <w:szCs w:val="22"/>
          <w:lang w:val="en-GB"/>
        </w:rPr>
        <w:t xml:space="preserve">Treatment doses were concealed in identical </w:t>
      </w:r>
      <w:proofErr w:type="spellStart"/>
      <w:r w:rsidR="00FB075C">
        <w:rPr>
          <w:rFonts w:asciiTheme="minorHAnsi" w:hAnsiTheme="minorHAnsi" w:cstheme="minorHAnsi"/>
          <w:color w:val="000000" w:themeColor="text1"/>
          <w:sz w:val="22"/>
          <w:szCs w:val="22"/>
          <w:lang w:val="en-GB"/>
        </w:rPr>
        <w:t>hydroxypropylmethyl</w:t>
      </w:r>
      <w:proofErr w:type="spellEnd"/>
      <w:r w:rsidR="00FB075C">
        <w:rPr>
          <w:rFonts w:asciiTheme="minorHAnsi" w:hAnsiTheme="minorHAnsi" w:cstheme="minorHAnsi"/>
          <w:color w:val="000000" w:themeColor="text1"/>
          <w:sz w:val="22"/>
          <w:szCs w:val="22"/>
          <w:lang w:val="en-GB"/>
        </w:rPr>
        <w:t xml:space="preserve"> cellulose hard capsules</w:t>
      </w:r>
      <w:r w:rsidR="001757A1">
        <w:rPr>
          <w:rFonts w:asciiTheme="minorHAnsi" w:hAnsiTheme="minorHAnsi" w:cstheme="minorHAnsi"/>
          <w:color w:val="000000" w:themeColor="text1"/>
          <w:sz w:val="22"/>
          <w:szCs w:val="22"/>
          <w:lang w:val="en-GB"/>
        </w:rPr>
        <w:t xml:space="preserve"> along with matching placebos (lactose) for the evening dose for those </w:t>
      </w:r>
      <w:r w:rsidR="0024303B">
        <w:rPr>
          <w:rFonts w:asciiTheme="minorHAnsi" w:hAnsiTheme="minorHAnsi" w:cstheme="minorHAnsi"/>
          <w:color w:val="000000" w:themeColor="text1"/>
          <w:sz w:val="22"/>
          <w:szCs w:val="22"/>
          <w:lang w:val="en-GB"/>
        </w:rPr>
        <w:t>women</w:t>
      </w:r>
      <w:r w:rsidR="001757A1">
        <w:rPr>
          <w:rFonts w:asciiTheme="minorHAnsi" w:hAnsiTheme="minorHAnsi" w:cstheme="minorHAnsi"/>
          <w:color w:val="000000" w:themeColor="text1"/>
          <w:sz w:val="22"/>
          <w:szCs w:val="22"/>
          <w:lang w:val="en-GB"/>
        </w:rPr>
        <w:t xml:space="preserve"> taking 14mg and 25mg daily</w:t>
      </w:r>
      <w:r w:rsidR="00FB075C">
        <w:rPr>
          <w:rFonts w:asciiTheme="minorHAnsi" w:hAnsiTheme="minorHAnsi" w:cstheme="minorHAnsi"/>
          <w:color w:val="000000" w:themeColor="text1"/>
          <w:sz w:val="22"/>
          <w:szCs w:val="22"/>
          <w:lang w:val="en-GB"/>
        </w:rPr>
        <w:t xml:space="preserve">. </w:t>
      </w:r>
      <w:r w:rsidR="006261F3">
        <w:rPr>
          <w:rFonts w:asciiTheme="minorHAnsi" w:hAnsiTheme="minorHAnsi" w:cstheme="minorHAnsi"/>
          <w:color w:val="000000" w:themeColor="text1"/>
          <w:sz w:val="22"/>
          <w:szCs w:val="22"/>
          <w:lang w:val="en-GB"/>
        </w:rPr>
        <w:t xml:space="preserve">All capsules were blister-packed in aluminium foil. All </w:t>
      </w:r>
      <w:r w:rsidR="0024303B">
        <w:rPr>
          <w:rFonts w:asciiTheme="minorHAnsi" w:hAnsiTheme="minorHAnsi" w:cstheme="minorHAnsi"/>
          <w:color w:val="000000" w:themeColor="text1"/>
          <w:sz w:val="22"/>
          <w:szCs w:val="22"/>
          <w:lang w:val="en-GB"/>
        </w:rPr>
        <w:t>women</w:t>
      </w:r>
      <w:r w:rsidR="006261F3">
        <w:rPr>
          <w:rFonts w:asciiTheme="minorHAnsi" w:hAnsiTheme="minorHAnsi" w:cstheme="minorHAnsi"/>
          <w:color w:val="000000" w:themeColor="text1"/>
          <w:sz w:val="22"/>
          <w:szCs w:val="22"/>
          <w:lang w:val="en-GB"/>
        </w:rPr>
        <w:t xml:space="preserve">, investigators and personnel involved in the study were blinded to treatment allocation. </w:t>
      </w:r>
      <w:r w:rsidR="00FB075C">
        <w:rPr>
          <w:rFonts w:asciiTheme="minorHAnsi" w:hAnsiTheme="minorHAnsi" w:cstheme="minorHAnsi"/>
          <w:color w:val="000000" w:themeColor="text1"/>
          <w:sz w:val="22"/>
          <w:szCs w:val="22"/>
          <w:lang w:val="en-GB"/>
        </w:rPr>
        <w:t xml:space="preserve">All treatments were manufactured in a Good Manufacturing Practice facility at R-Pharm, Munich, Germany.  </w:t>
      </w:r>
      <w:r w:rsidR="001757A1">
        <w:rPr>
          <w:rFonts w:asciiTheme="minorHAnsi" w:hAnsiTheme="minorHAnsi" w:cstheme="minorHAnsi"/>
          <w:color w:val="000000" w:themeColor="text1"/>
          <w:sz w:val="22"/>
          <w:szCs w:val="22"/>
          <w:lang w:val="en-GB"/>
        </w:rPr>
        <w:t xml:space="preserve">Evaluation of </w:t>
      </w:r>
      <w:r w:rsidR="0024303B">
        <w:rPr>
          <w:rFonts w:asciiTheme="minorHAnsi" w:hAnsiTheme="minorHAnsi" w:cstheme="minorHAnsi"/>
          <w:color w:val="000000" w:themeColor="text1"/>
          <w:sz w:val="22"/>
          <w:szCs w:val="22"/>
          <w:lang w:val="en-GB"/>
        </w:rPr>
        <w:t>women</w:t>
      </w:r>
      <w:r>
        <w:rPr>
          <w:rFonts w:asciiTheme="minorHAnsi" w:hAnsiTheme="minorHAnsi" w:cstheme="minorHAnsi"/>
          <w:color w:val="000000" w:themeColor="text1"/>
          <w:sz w:val="22"/>
          <w:szCs w:val="22"/>
          <w:lang w:val="en-GB"/>
        </w:rPr>
        <w:t xml:space="preserve"> was carried out during three clinic visits (baseline, week 6 and week 12) and two phone call visits (weeks 3 and 9). </w:t>
      </w:r>
      <w:r w:rsidRPr="00F173E9">
        <w:rPr>
          <w:rFonts w:asciiTheme="minorHAnsi" w:hAnsiTheme="minorHAnsi" w:cstheme="minorHAnsi"/>
          <w:color w:val="000000" w:themeColor="text1"/>
          <w:sz w:val="22"/>
          <w:szCs w:val="22"/>
          <w:lang w:val="en-GB"/>
        </w:rPr>
        <w:t xml:space="preserve">In addition, there was stratified randomisation </w:t>
      </w:r>
      <w:r w:rsidR="00FB075C">
        <w:rPr>
          <w:rFonts w:asciiTheme="minorHAnsi" w:hAnsiTheme="minorHAnsi" w:cstheme="minorHAnsi"/>
          <w:color w:val="000000" w:themeColor="text1"/>
          <w:sz w:val="22"/>
          <w:szCs w:val="22"/>
          <w:lang w:val="en-GB"/>
        </w:rPr>
        <w:t xml:space="preserve">by a statistician employed by </w:t>
      </w:r>
      <w:proofErr w:type="spellStart"/>
      <w:r w:rsidR="00FB075C">
        <w:rPr>
          <w:rFonts w:asciiTheme="minorHAnsi" w:hAnsiTheme="minorHAnsi" w:cstheme="minorHAnsi"/>
          <w:color w:val="000000" w:themeColor="text1"/>
          <w:sz w:val="22"/>
          <w:szCs w:val="22"/>
          <w:lang w:val="en-GB"/>
        </w:rPr>
        <w:t>Atlantia</w:t>
      </w:r>
      <w:proofErr w:type="spellEnd"/>
      <w:r w:rsidR="00FB075C">
        <w:rPr>
          <w:rFonts w:asciiTheme="minorHAnsi" w:hAnsiTheme="minorHAnsi" w:cstheme="minorHAnsi"/>
          <w:color w:val="000000" w:themeColor="text1"/>
          <w:sz w:val="22"/>
          <w:szCs w:val="22"/>
          <w:lang w:val="en-GB"/>
        </w:rPr>
        <w:t xml:space="preserve"> CRO </w:t>
      </w:r>
      <w:r w:rsidRPr="00F173E9">
        <w:rPr>
          <w:rFonts w:asciiTheme="minorHAnsi" w:hAnsiTheme="minorHAnsi" w:cstheme="minorHAnsi"/>
          <w:color w:val="000000" w:themeColor="text1"/>
          <w:sz w:val="22"/>
          <w:szCs w:val="22"/>
          <w:lang w:val="en-GB"/>
        </w:rPr>
        <w:t xml:space="preserve">to include up to 30 </w:t>
      </w:r>
      <w:r w:rsidR="0024303B">
        <w:rPr>
          <w:rFonts w:asciiTheme="minorHAnsi" w:hAnsiTheme="minorHAnsi" w:cstheme="minorHAnsi"/>
          <w:color w:val="000000" w:themeColor="text1"/>
          <w:sz w:val="22"/>
          <w:szCs w:val="22"/>
          <w:lang w:val="en-GB"/>
        </w:rPr>
        <w:t>women</w:t>
      </w:r>
      <w:r w:rsidRPr="00F173E9">
        <w:rPr>
          <w:rFonts w:asciiTheme="minorHAnsi" w:hAnsiTheme="minorHAnsi" w:cstheme="minorHAnsi"/>
          <w:color w:val="000000" w:themeColor="text1"/>
          <w:sz w:val="22"/>
          <w:szCs w:val="22"/>
          <w:lang w:val="en-GB"/>
        </w:rPr>
        <w:t xml:space="preserve"> with iron deficiency and mild to moderate anaemia as well as up to 30 </w:t>
      </w:r>
      <w:r w:rsidR="0024303B">
        <w:rPr>
          <w:rFonts w:asciiTheme="minorHAnsi" w:hAnsiTheme="minorHAnsi" w:cstheme="minorHAnsi"/>
          <w:color w:val="000000" w:themeColor="text1"/>
          <w:sz w:val="22"/>
          <w:szCs w:val="22"/>
          <w:lang w:val="en-GB"/>
        </w:rPr>
        <w:t>women</w:t>
      </w:r>
      <w:r w:rsidRPr="00F173E9">
        <w:rPr>
          <w:rFonts w:asciiTheme="minorHAnsi" w:hAnsiTheme="minorHAnsi" w:cstheme="minorHAnsi"/>
          <w:color w:val="000000" w:themeColor="text1"/>
          <w:sz w:val="22"/>
          <w:szCs w:val="22"/>
          <w:lang w:val="en-GB"/>
        </w:rPr>
        <w:t xml:space="preserve"> with iron deficiency without anaemia. </w:t>
      </w:r>
      <w:r w:rsidR="00FB075C">
        <w:rPr>
          <w:rFonts w:asciiTheme="minorHAnsi" w:hAnsiTheme="minorHAnsi" w:cstheme="minorHAnsi"/>
          <w:color w:val="000000" w:themeColor="text1"/>
          <w:sz w:val="22"/>
          <w:szCs w:val="22"/>
          <w:lang w:val="en-GB"/>
        </w:rPr>
        <w:t xml:space="preserve">The random allocation sequence was linked to a study number and concealed in the randomisation key. This key was held by the Managing Director of </w:t>
      </w:r>
      <w:proofErr w:type="spellStart"/>
      <w:r w:rsidR="00FB075C">
        <w:rPr>
          <w:rFonts w:asciiTheme="minorHAnsi" w:hAnsiTheme="minorHAnsi" w:cstheme="minorHAnsi"/>
          <w:color w:val="000000" w:themeColor="text1"/>
          <w:sz w:val="22"/>
          <w:szCs w:val="22"/>
          <w:lang w:val="en-GB"/>
        </w:rPr>
        <w:t>Atlantia</w:t>
      </w:r>
      <w:proofErr w:type="spellEnd"/>
      <w:r w:rsidR="00FB075C">
        <w:rPr>
          <w:rFonts w:asciiTheme="minorHAnsi" w:hAnsiTheme="minorHAnsi" w:cstheme="minorHAnsi"/>
          <w:color w:val="000000" w:themeColor="text1"/>
          <w:sz w:val="22"/>
          <w:szCs w:val="22"/>
          <w:lang w:val="en-GB"/>
        </w:rPr>
        <w:t xml:space="preserve"> CRO before and during the recruitment period and was not available to the study team or investigators at any point before database lock. The Managing Director of </w:t>
      </w:r>
      <w:proofErr w:type="spellStart"/>
      <w:r w:rsidR="00FB075C">
        <w:rPr>
          <w:rFonts w:asciiTheme="minorHAnsi" w:hAnsiTheme="minorHAnsi" w:cstheme="minorHAnsi"/>
          <w:color w:val="000000" w:themeColor="text1"/>
          <w:sz w:val="22"/>
          <w:szCs w:val="22"/>
          <w:lang w:val="en-GB"/>
        </w:rPr>
        <w:t>Atlantia</w:t>
      </w:r>
      <w:proofErr w:type="spellEnd"/>
      <w:r w:rsidR="00FB075C">
        <w:rPr>
          <w:rFonts w:asciiTheme="minorHAnsi" w:hAnsiTheme="minorHAnsi" w:cstheme="minorHAnsi"/>
          <w:color w:val="000000" w:themeColor="text1"/>
          <w:sz w:val="22"/>
          <w:szCs w:val="22"/>
          <w:lang w:val="en-GB"/>
        </w:rPr>
        <w:t xml:space="preserve"> CRO assigned </w:t>
      </w:r>
      <w:r w:rsidR="0024303B">
        <w:rPr>
          <w:rFonts w:asciiTheme="minorHAnsi" w:hAnsiTheme="minorHAnsi" w:cstheme="minorHAnsi"/>
          <w:color w:val="000000" w:themeColor="text1"/>
          <w:sz w:val="22"/>
          <w:szCs w:val="22"/>
          <w:lang w:val="en-GB"/>
        </w:rPr>
        <w:t>women</w:t>
      </w:r>
      <w:r w:rsidR="00FB075C">
        <w:rPr>
          <w:rFonts w:asciiTheme="minorHAnsi" w:hAnsiTheme="minorHAnsi" w:cstheme="minorHAnsi"/>
          <w:color w:val="000000" w:themeColor="text1"/>
          <w:sz w:val="22"/>
          <w:szCs w:val="22"/>
          <w:lang w:val="en-GB"/>
        </w:rPr>
        <w:t xml:space="preserve"> to study numbers sequentially, and therefore randomised treatment allocation. The Managing Director of </w:t>
      </w:r>
      <w:proofErr w:type="spellStart"/>
      <w:r w:rsidR="00FB075C">
        <w:rPr>
          <w:rFonts w:asciiTheme="minorHAnsi" w:hAnsiTheme="minorHAnsi" w:cstheme="minorHAnsi"/>
          <w:color w:val="000000" w:themeColor="text1"/>
          <w:sz w:val="22"/>
          <w:szCs w:val="22"/>
          <w:lang w:val="en-GB"/>
        </w:rPr>
        <w:t>Atlantia</w:t>
      </w:r>
      <w:proofErr w:type="spellEnd"/>
      <w:r w:rsidR="00FB075C">
        <w:rPr>
          <w:rFonts w:asciiTheme="minorHAnsi" w:hAnsiTheme="minorHAnsi" w:cstheme="minorHAnsi"/>
          <w:color w:val="000000" w:themeColor="text1"/>
          <w:sz w:val="22"/>
          <w:szCs w:val="22"/>
          <w:lang w:val="en-GB"/>
        </w:rPr>
        <w:t xml:space="preserve"> CRO had no interaction with </w:t>
      </w:r>
      <w:r w:rsidR="0024303B">
        <w:rPr>
          <w:rFonts w:asciiTheme="minorHAnsi" w:hAnsiTheme="minorHAnsi" w:cstheme="minorHAnsi"/>
          <w:color w:val="000000" w:themeColor="text1"/>
          <w:sz w:val="22"/>
          <w:szCs w:val="22"/>
          <w:lang w:val="en-GB"/>
        </w:rPr>
        <w:t>women</w:t>
      </w:r>
      <w:r w:rsidR="00FB075C">
        <w:rPr>
          <w:rFonts w:asciiTheme="minorHAnsi" w:hAnsiTheme="minorHAnsi" w:cstheme="minorHAnsi"/>
          <w:color w:val="000000" w:themeColor="text1"/>
          <w:sz w:val="22"/>
          <w:szCs w:val="22"/>
          <w:lang w:val="en-GB"/>
        </w:rPr>
        <w:t xml:space="preserve"> involved in the study and was part of the study team. </w:t>
      </w:r>
    </w:p>
    <w:p w14:paraId="14D44620" w14:textId="77777777" w:rsidR="00932F56" w:rsidRDefault="00932F56" w:rsidP="00932F56">
      <w:pPr>
        <w:spacing w:line="360" w:lineRule="auto"/>
        <w:jc w:val="both"/>
        <w:rPr>
          <w:rFonts w:asciiTheme="minorHAnsi" w:hAnsiTheme="minorHAnsi" w:cstheme="minorHAnsi"/>
          <w:color w:val="000000" w:themeColor="text1"/>
          <w:sz w:val="22"/>
          <w:szCs w:val="22"/>
          <w:lang w:val="en-GB"/>
        </w:rPr>
      </w:pPr>
    </w:p>
    <w:p w14:paraId="2E92F665" w14:textId="77777777" w:rsidR="00932F56" w:rsidRPr="0070079F" w:rsidRDefault="00932F56" w:rsidP="00932F56">
      <w:pPr>
        <w:spacing w:line="360" w:lineRule="auto"/>
        <w:jc w:val="both"/>
        <w:rPr>
          <w:rFonts w:asciiTheme="minorHAnsi" w:hAnsiTheme="minorHAnsi" w:cstheme="minorHAnsi"/>
          <w:color w:val="000000" w:themeColor="text1"/>
          <w:sz w:val="22"/>
          <w:szCs w:val="22"/>
          <w:lang w:val="en-GB"/>
        </w:rPr>
      </w:pPr>
      <w:r>
        <w:rPr>
          <w:rFonts w:asciiTheme="minorHAnsi" w:hAnsiTheme="minorHAnsi" w:cstheme="minorHAnsi"/>
          <w:sz w:val="22"/>
          <w:szCs w:val="22"/>
        </w:rPr>
        <w:t xml:space="preserve">Eligible women </w:t>
      </w:r>
      <w:r w:rsidRPr="00F173E9">
        <w:rPr>
          <w:rFonts w:asciiTheme="minorHAnsi" w:hAnsiTheme="minorHAnsi" w:cstheme="minorHAnsi"/>
          <w:color w:val="000000" w:themeColor="text1"/>
          <w:sz w:val="22"/>
          <w:szCs w:val="22"/>
          <w:lang w:val="en-GB"/>
        </w:rPr>
        <w:t xml:space="preserve">between 18 and 55 years of age, with a </w:t>
      </w:r>
      <w:r>
        <w:rPr>
          <w:rFonts w:asciiTheme="minorHAnsi" w:hAnsiTheme="minorHAnsi" w:cstheme="minorHAnsi"/>
          <w:color w:val="000000" w:themeColor="text1"/>
          <w:sz w:val="22"/>
          <w:szCs w:val="22"/>
          <w:lang w:val="en-GB"/>
        </w:rPr>
        <w:t xml:space="preserve">self-reported </w:t>
      </w:r>
      <w:r w:rsidRPr="00F173E9">
        <w:rPr>
          <w:rFonts w:asciiTheme="minorHAnsi" w:hAnsiTheme="minorHAnsi" w:cstheme="minorHAnsi"/>
          <w:color w:val="000000" w:themeColor="text1"/>
          <w:sz w:val="22"/>
          <w:szCs w:val="22"/>
          <w:lang w:val="en-GB"/>
        </w:rPr>
        <w:t xml:space="preserve">history of intolerance to oral iron and </w:t>
      </w:r>
      <w:r>
        <w:rPr>
          <w:rFonts w:asciiTheme="minorHAnsi" w:hAnsiTheme="minorHAnsi" w:cstheme="minorHAnsi"/>
          <w:color w:val="000000" w:themeColor="text1"/>
          <w:sz w:val="22"/>
          <w:szCs w:val="22"/>
          <w:lang w:val="en-GB"/>
        </w:rPr>
        <w:t>low iron stores</w:t>
      </w:r>
      <w:r w:rsidRPr="00F173E9">
        <w:rPr>
          <w:rFonts w:asciiTheme="minorHAnsi" w:hAnsiTheme="minorHAnsi" w:cstheme="minorHAnsi"/>
          <w:color w:val="000000" w:themeColor="text1"/>
          <w:sz w:val="22"/>
          <w:szCs w:val="22"/>
          <w:lang w:val="en-GB"/>
        </w:rPr>
        <w:t xml:space="preserve"> (ferritin &lt; 30 µg/L) </w:t>
      </w:r>
      <w:r>
        <w:rPr>
          <w:rFonts w:asciiTheme="minorHAnsi" w:hAnsiTheme="minorHAnsi" w:cstheme="minorHAnsi"/>
          <w:color w:val="000000" w:themeColor="text1"/>
          <w:sz w:val="22"/>
          <w:szCs w:val="22"/>
          <w:lang w:val="en-GB"/>
        </w:rPr>
        <w:t>or iron deficiency (</w:t>
      </w:r>
      <w:r w:rsidRPr="00F173E9">
        <w:rPr>
          <w:rFonts w:asciiTheme="minorHAnsi" w:hAnsiTheme="minorHAnsi" w:cstheme="minorHAnsi"/>
          <w:color w:val="000000" w:themeColor="text1"/>
          <w:sz w:val="22"/>
          <w:szCs w:val="22"/>
          <w:lang w:val="en-GB"/>
        </w:rPr>
        <w:t xml:space="preserve">ferritin &lt; </w:t>
      </w:r>
      <w:r>
        <w:rPr>
          <w:rFonts w:asciiTheme="minorHAnsi" w:hAnsiTheme="minorHAnsi" w:cstheme="minorHAnsi"/>
          <w:color w:val="000000" w:themeColor="text1"/>
          <w:sz w:val="22"/>
          <w:szCs w:val="22"/>
          <w:lang w:val="en-GB"/>
        </w:rPr>
        <w:t>12</w:t>
      </w:r>
      <w:r w:rsidRPr="00F173E9">
        <w:rPr>
          <w:rFonts w:asciiTheme="minorHAnsi" w:hAnsiTheme="minorHAnsi" w:cstheme="minorHAnsi"/>
          <w:color w:val="000000" w:themeColor="text1"/>
          <w:sz w:val="22"/>
          <w:szCs w:val="22"/>
          <w:lang w:val="en-GB"/>
        </w:rPr>
        <w:t xml:space="preserve"> µg/L) with or without mild to moderate anaemia (haemoglobin ≥9.5 g/dL and &lt;12.0 g/dL)</w:t>
      </w:r>
      <w:r>
        <w:rPr>
          <w:rFonts w:asciiTheme="minorHAnsi" w:hAnsiTheme="minorHAnsi" w:cstheme="minorHAnsi"/>
          <w:color w:val="000000" w:themeColor="text1"/>
          <w:sz w:val="22"/>
          <w:szCs w:val="22"/>
          <w:lang w:val="en-GB"/>
        </w:rPr>
        <w:t xml:space="preserve"> were invited to participate in the prospective treatment study</w:t>
      </w:r>
      <w:r w:rsidRPr="00F173E9">
        <w:rPr>
          <w:rFonts w:asciiTheme="minorHAnsi" w:hAnsiTheme="minorHAnsi" w:cstheme="minorHAnsi"/>
          <w:color w:val="000000" w:themeColor="text1"/>
          <w:sz w:val="22"/>
          <w:szCs w:val="22"/>
          <w:lang w:val="en-GB"/>
        </w:rPr>
        <w:t xml:space="preserve">. Once the screening blood results were reviewed and eligibility for the prospective study was confirmed following a washout period of at least </w:t>
      </w:r>
      <w:r>
        <w:rPr>
          <w:rFonts w:asciiTheme="minorHAnsi" w:hAnsiTheme="minorHAnsi" w:cstheme="minorHAnsi"/>
          <w:color w:val="000000" w:themeColor="text1"/>
          <w:sz w:val="22"/>
          <w:szCs w:val="22"/>
          <w:lang w:val="en-GB"/>
        </w:rPr>
        <w:t>one</w:t>
      </w:r>
      <w:r w:rsidRPr="00F173E9">
        <w:rPr>
          <w:rFonts w:asciiTheme="minorHAnsi" w:hAnsiTheme="minorHAnsi" w:cstheme="minorHAnsi"/>
          <w:color w:val="000000" w:themeColor="text1"/>
          <w:sz w:val="22"/>
          <w:szCs w:val="22"/>
          <w:lang w:val="en-GB"/>
        </w:rPr>
        <w:t xml:space="preserve"> week from the previous iron product, the subject returned to the clinic for full clinical assessment</w:t>
      </w:r>
      <w:r>
        <w:rPr>
          <w:rFonts w:asciiTheme="minorHAnsi" w:hAnsiTheme="minorHAnsi" w:cstheme="minorHAnsi"/>
          <w:color w:val="000000" w:themeColor="text1"/>
          <w:sz w:val="22"/>
          <w:szCs w:val="22"/>
          <w:lang w:val="en-GB"/>
        </w:rPr>
        <w:t xml:space="preserve">. </w:t>
      </w:r>
      <w:r w:rsidRPr="00F173E9">
        <w:rPr>
          <w:rFonts w:asciiTheme="minorHAnsi" w:hAnsiTheme="minorHAnsi" w:cstheme="minorHAnsi"/>
          <w:color w:val="000000" w:themeColor="text1"/>
          <w:sz w:val="22"/>
          <w:szCs w:val="22"/>
          <w:lang w:val="en-GB"/>
        </w:rPr>
        <w:t>At visit 2</w:t>
      </w:r>
      <w:r>
        <w:rPr>
          <w:rFonts w:asciiTheme="minorHAnsi" w:hAnsiTheme="minorHAnsi" w:cstheme="minorHAnsi"/>
          <w:color w:val="000000" w:themeColor="text1"/>
          <w:sz w:val="22"/>
          <w:szCs w:val="22"/>
          <w:lang w:val="en-GB"/>
        </w:rPr>
        <w:t xml:space="preserve"> (baseline of the prospective study)</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a</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 xml:space="preserve">fasting </w:t>
      </w:r>
      <w:r w:rsidRPr="00F173E9">
        <w:rPr>
          <w:rFonts w:asciiTheme="minorHAnsi" w:hAnsiTheme="minorHAnsi" w:cstheme="minorHAnsi"/>
          <w:color w:val="000000" w:themeColor="text1"/>
          <w:sz w:val="22"/>
          <w:szCs w:val="22"/>
          <w:lang w:val="en-GB"/>
        </w:rPr>
        <w:t>blood sample was collected</w:t>
      </w:r>
      <w:r>
        <w:rPr>
          <w:rFonts w:asciiTheme="minorHAnsi" w:hAnsiTheme="minorHAnsi" w:cstheme="minorHAnsi"/>
          <w:color w:val="000000" w:themeColor="text1"/>
          <w:sz w:val="22"/>
          <w:szCs w:val="22"/>
          <w:lang w:val="en-GB"/>
        </w:rPr>
        <w:t xml:space="preserve"> </w:t>
      </w:r>
      <w:r w:rsidRPr="00F173E9">
        <w:rPr>
          <w:rFonts w:asciiTheme="minorHAnsi" w:hAnsiTheme="minorHAnsi" w:cstheme="minorHAnsi"/>
          <w:color w:val="000000" w:themeColor="text1"/>
          <w:sz w:val="22"/>
          <w:szCs w:val="22"/>
          <w:lang w:val="en-GB"/>
        </w:rPr>
        <w:t>for evaluation of</w:t>
      </w:r>
      <w:r>
        <w:rPr>
          <w:rFonts w:asciiTheme="minorHAnsi" w:hAnsiTheme="minorHAnsi" w:cstheme="minorHAnsi"/>
          <w:color w:val="000000" w:themeColor="text1"/>
          <w:sz w:val="22"/>
          <w:szCs w:val="22"/>
          <w:lang w:val="en-GB"/>
        </w:rPr>
        <w:t xml:space="preserve"> ferritin, serum iron, </w:t>
      </w:r>
      <w:r>
        <w:rPr>
          <w:rFonts w:asciiTheme="minorHAnsi" w:hAnsiTheme="minorHAnsi" w:cstheme="minorHAnsi"/>
          <w:color w:val="000000" w:themeColor="text1"/>
          <w:sz w:val="22"/>
          <w:szCs w:val="22"/>
          <w:lang w:val="en-GB"/>
        </w:rPr>
        <w:lastRenderedPageBreak/>
        <w:t>unbound iron binding capacity, transferrin saturation,</w:t>
      </w:r>
      <w:r w:rsidRPr="00F173E9">
        <w:rPr>
          <w:rFonts w:asciiTheme="minorHAnsi" w:hAnsiTheme="minorHAnsi" w:cstheme="minorHAnsi"/>
          <w:color w:val="000000" w:themeColor="text1"/>
          <w:sz w:val="22"/>
          <w:szCs w:val="22"/>
          <w:lang w:val="en-GB"/>
        </w:rPr>
        <w:t xml:space="preserve"> and </w:t>
      </w:r>
      <w:r>
        <w:rPr>
          <w:rFonts w:asciiTheme="minorHAnsi" w:hAnsiTheme="minorHAnsi" w:cstheme="minorHAnsi"/>
          <w:color w:val="000000" w:themeColor="text1"/>
          <w:sz w:val="22"/>
          <w:szCs w:val="22"/>
          <w:lang w:val="en-GB"/>
        </w:rPr>
        <w:t>full blood count (including haemoglobin)</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 xml:space="preserve">A </w:t>
      </w:r>
      <w:r w:rsidRPr="00F173E9">
        <w:rPr>
          <w:rFonts w:asciiTheme="minorHAnsi" w:hAnsiTheme="minorHAnsi" w:cstheme="minorHAnsi"/>
          <w:color w:val="000000" w:themeColor="text1"/>
          <w:sz w:val="22"/>
          <w:szCs w:val="22"/>
          <w:lang w:val="en-GB"/>
        </w:rPr>
        <w:t>urine sample was collected, and pregnancy test performed.</w:t>
      </w:r>
      <w:r>
        <w:rPr>
          <w:rFonts w:asciiTheme="minorHAnsi" w:hAnsiTheme="minorHAnsi" w:cstheme="minorHAnsi"/>
          <w:color w:val="000000" w:themeColor="text1"/>
          <w:sz w:val="22"/>
          <w:szCs w:val="22"/>
          <w:lang w:val="en-GB"/>
        </w:rPr>
        <w:t xml:space="preserve"> </w:t>
      </w:r>
      <w:r w:rsidRPr="00F173E9">
        <w:rPr>
          <w:rFonts w:asciiTheme="minorHAnsi" w:hAnsiTheme="minorHAnsi" w:cstheme="minorHAnsi"/>
          <w:color w:val="000000" w:themeColor="text1"/>
          <w:sz w:val="22"/>
          <w:szCs w:val="22"/>
          <w:lang w:val="en-GB"/>
        </w:rPr>
        <w:t xml:space="preserve">Subjects were queried about any changes in their health status and any non-treatment emergent events </w:t>
      </w:r>
      <w:r>
        <w:rPr>
          <w:rFonts w:asciiTheme="minorHAnsi" w:hAnsiTheme="minorHAnsi" w:cstheme="minorHAnsi"/>
          <w:color w:val="000000" w:themeColor="text1"/>
          <w:sz w:val="22"/>
          <w:szCs w:val="22"/>
          <w:lang w:val="en-GB"/>
        </w:rPr>
        <w:t xml:space="preserve">since the screening visit </w:t>
      </w:r>
      <w:r w:rsidRPr="00F173E9">
        <w:rPr>
          <w:rFonts w:asciiTheme="minorHAnsi" w:hAnsiTheme="minorHAnsi" w:cstheme="minorHAnsi"/>
          <w:color w:val="000000" w:themeColor="text1"/>
          <w:sz w:val="22"/>
          <w:szCs w:val="22"/>
          <w:lang w:val="en-GB"/>
        </w:rPr>
        <w:t>and medications were recorded</w:t>
      </w:r>
      <w:r>
        <w:rPr>
          <w:rFonts w:asciiTheme="minorHAnsi" w:hAnsiTheme="minorHAnsi" w:cstheme="minorHAnsi"/>
          <w:color w:val="000000" w:themeColor="text1"/>
          <w:sz w:val="22"/>
          <w:szCs w:val="22"/>
          <w:lang w:val="en-GB"/>
        </w:rPr>
        <w:t>. This included d</w:t>
      </w:r>
      <w:r w:rsidRPr="00F173E9">
        <w:rPr>
          <w:rFonts w:asciiTheme="minorHAnsi" w:hAnsiTheme="minorHAnsi" w:cstheme="minorHAnsi"/>
          <w:color w:val="000000" w:themeColor="text1"/>
          <w:sz w:val="22"/>
          <w:szCs w:val="22"/>
          <w:lang w:val="en-GB"/>
        </w:rPr>
        <w:t>etails of the prior oral iron product</w:t>
      </w:r>
      <w:r>
        <w:rPr>
          <w:rFonts w:asciiTheme="minorHAnsi" w:hAnsiTheme="minorHAnsi" w:cstheme="minorHAnsi"/>
          <w:color w:val="000000" w:themeColor="text1"/>
          <w:sz w:val="22"/>
          <w:szCs w:val="22"/>
          <w:lang w:val="en-GB"/>
        </w:rPr>
        <w:t xml:space="preserve"> taken</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 xml:space="preserve">(dose, form, dosage frequency). Self-reported adherence, persistence, upper adverse GI effects </w:t>
      </w:r>
      <w:r w:rsidRPr="00F173E9">
        <w:rPr>
          <w:rFonts w:asciiTheme="minorHAnsi" w:hAnsiTheme="minorHAnsi" w:cstheme="minorHAnsi"/>
          <w:color w:val="000000" w:themeColor="text1"/>
          <w:sz w:val="22"/>
          <w:szCs w:val="22"/>
        </w:rPr>
        <w:t xml:space="preserve">(stomach pain, nausea, vomiting, eructation, heartburn, indigestion) </w:t>
      </w:r>
      <w:r>
        <w:rPr>
          <w:rFonts w:asciiTheme="minorHAnsi" w:hAnsiTheme="minorHAnsi" w:cstheme="minorHAnsi"/>
          <w:color w:val="000000" w:themeColor="text1"/>
          <w:sz w:val="22"/>
          <w:szCs w:val="22"/>
          <w:lang w:val="en-GB"/>
        </w:rPr>
        <w:t>and lower adverse GI effects (</w:t>
      </w:r>
      <w:r w:rsidRPr="00F173E9">
        <w:rPr>
          <w:rFonts w:asciiTheme="minorHAnsi" w:hAnsiTheme="minorHAnsi" w:cstheme="minorHAnsi"/>
          <w:color w:val="000000" w:themeColor="text1"/>
          <w:sz w:val="22"/>
          <w:szCs w:val="22"/>
        </w:rPr>
        <w:t>bowel habit changes, diarrhoea, constipation, stool discolouration</w:t>
      </w:r>
      <w:r>
        <w:rPr>
          <w:rFonts w:asciiTheme="minorHAnsi" w:hAnsiTheme="minorHAnsi" w:cstheme="minorHAnsi"/>
          <w:color w:val="000000" w:themeColor="text1"/>
          <w:sz w:val="22"/>
          <w:szCs w:val="22"/>
          <w:lang w:val="en-GB"/>
        </w:rPr>
        <w:t xml:space="preserve">) with the prior oral iron product were documented. In addition, </w:t>
      </w:r>
      <w:r w:rsidRPr="00F173E9">
        <w:rPr>
          <w:rFonts w:asciiTheme="minorHAnsi" w:hAnsiTheme="minorHAnsi" w:cstheme="minorHAnsi"/>
          <w:color w:val="000000" w:themeColor="text1"/>
          <w:sz w:val="22"/>
          <w:szCs w:val="22"/>
          <w:lang w:val="en-GB"/>
        </w:rPr>
        <w:t>a</w:t>
      </w:r>
      <w:r w:rsidRPr="00F173E9">
        <w:rPr>
          <w:rFonts w:asciiTheme="minorHAnsi" w:hAnsiTheme="minorHAnsi" w:cstheme="minorHAnsi"/>
          <w:color w:val="000000" w:themeColor="text1"/>
          <w:sz w:val="22"/>
          <w:szCs w:val="22"/>
        </w:rPr>
        <w:t xml:space="preserve"> record was made of intolerance</w:t>
      </w:r>
      <w:r>
        <w:rPr>
          <w:rFonts w:asciiTheme="minorHAnsi" w:hAnsiTheme="minorHAnsi" w:cstheme="minorHAnsi"/>
          <w:color w:val="000000" w:themeColor="text1"/>
          <w:sz w:val="22"/>
          <w:szCs w:val="22"/>
        </w:rPr>
        <w:t xml:space="preserve"> with the prior oral iron product was made</w:t>
      </w:r>
      <w:r w:rsidRPr="00F173E9">
        <w:rPr>
          <w:rFonts w:asciiTheme="minorHAnsi" w:hAnsiTheme="minorHAnsi" w:cstheme="minorHAnsi"/>
          <w:color w:val="000000" w:themeColor="text1"/>
          <w:sz w:val="22"/>
          <w:szCs w:val="22"/>
        </w:rPr>
        <w:t xml:space="preserve"> using the </w:t>
      </w:r>
      <w:r w:rsidRPr="00F173E9">
        <w:rPr>
          <w:rFonts w:asciiTheme="minorHAnsi" w:hAnsiTheme="minorHAnsi" w:cstheme="minorHAnsi"/>
          <w:color w:val="000000" w:themeColor="text1"/>
          <w:sz w:val="22"/>
          <w:szCs w:val="22"/>
          <w:lang w:val="en-GB"/>
        </w:rPr>
        <w:t>Gastrointestinal Symptom Rating Scale (GSRS</w:t>
      </w:r>
      <w:r>
        <w:rPr>
          <w:rFonts w:asciiTheme="minorHAnsi" w:hAnsiTheme="minorHAnsi" w:cstheme="minorHAnsi"/>
          <w:color w:val="000000" w:themeColor="text1"/>
          <w:sz w:val="22"/>
          <w:szCs w:val="22"/>
          <w:lang w:val="en-GB"/>
        </w:rPr>
        <w:t>, details in Reference [14]</w:t>
      </w:r>
      <w:r w:rsidRPr="00F173E9">
        <w:rPr>
          <w:rFonts w:asciiTheme="minorHAnsi" w:hAnsiTheme="minorHAnsi" w:cstheme="minorHAnsi"/>
          <w:color w:val="000000" w:themeColor="text1"/>
          <w:sz w:val="22"/>
          <w:szCs w:val="22"/>
          <w:lang w:val="en-GB"/>
        </w:rPr>
        <w:t>)</w:t>
      </w:r>
      <w:r w:rsidRPr="00F173E9">
        <w:rPr>
          <w:rFonts w:asciiTheme="minorHAnsi" w:hAnsiTheme="minorHAnsi" w:cstheme="minorHAnsi"/>
          <w:color w:val="000000" w:themeColor="text1"/>
          <w:sz w:val="22"/>
          <w:szCs w:val="22"/>
        </w:rPr>
        <w:t xml:space="preserve">. </w:t>
      </w:r>
      <w:r w:rsidRPr="00F173E9">
        <w:rPr>
          <w:rFonts w:asciiTheme="minorHAnsi" w:hAnsiTheme="minorHAnsi" w:cstheme="minorHAnsi"/>
          <w:color w:val="000000" w:themeColor="text1"/>
          <w:sz w:val="22"/>
          <w:szCs w:val="22"/>
          <w:lang w:val="en-GB"/>
        </w:rPr>
        <w:t xml:space="preserve">Subjects completed the following questionnaires:  </w:t>
      </w:r>
      <w:r>
        <w:rPr>
          <w:rFonts w:asciiTheme="minorHAnsi" w:hAnsiTheme="minorHAnsi" w:cstheme="minorHAnsi"/>
          <w:color w:val="000000" w:themeColor="text1"/>
          <w:sz w:val="22"/>
          <w:szCs w:val="22"/>
          <w:lang w:val="en-GB"/>
        </w:rPr>
        <w:t xml:space="preserve">baseline </w:t>
      </w:r>
      <w:r w:rsidRPr="00F173E9">
        <w:rPr>
          <w:rFonts w:asciiTheme="minorHAnsi" w:hAnsiTheme="minorHAnsi" w:cstheme="minorHAnsi"/>
          <w:color w:val="000000" w:themeColor="text1"/>
          <w:sz w:val="22"/>
          <w:szCs w:val="22"/>
          <w:lang w:val="en-GB"/>
        </w:rPr>
        <w:t>GSRS</w:t>
      </w:r>
      <w:r>
        <w:rPr>
          <w:rFonts w:asciiTheme="minorHAnsi" w:hAnsiTheme="minorHAnsi" w:cstheme="minorHAnsi"/>
          <w:color w:val="000000" w:themeColor="text1"/>
          <w:sz w:val="22"/>
          <w:szCs w:val="22"/>
          <w:lang w:val="en-GB"/>
        </w:rPr>
        <w:t xml:space="preserve"> reflecting GI symptoms at least one week after stopping the prior oral iron product</w:t>
      </w:r>
      <w:r w:rsidRPr="00F173E9">
        <w:rPr>
          <w:rFonts w:asciiTheme="minorHAnsi" w:hAnsiTheme="minorHAnsi" w:cstheme="minorHAnsi"/>
          <w:color w:val="000000" w:themeColor="text1"/>
          <w:sz w:val="22"/>
          <w:szCs w:val="22"/>
          <w:lang w:val="en-GB"/>
        </w:rPr>
        <w:t>, Short Form-36 (SF-36)</w:t>
      </w:r>
      <w:r>
        <w:rPr>
          <w:rFonts w:asciiTheme="minorHAnsi" w:hAnsiTheme="minorHAnsi" w:cstheme="minorHAnsi"/>
          <w:color w:val="000000" w:themeColor="text1"/>
          <w:sz w:val="22"/>
          <w:szCs w:val="22"/>
          <w:lang w:val="en-GB"/>
        </w:rPr>
        <w:t xml:space="preserve"> health related quality of life (</w:t>
      </w:r>
      <w:r w:rsidRPr="009E7F52">
        <w:rPr>
          <w:rFonts w:asciiTheme="minorHAnsi" w:hAnsiTheme="minorHAnsi" w:cstheme="minorHAnsi"/>
          <w:color w:val="000000" w:themeColor="text1"/>
          <w:sz w:val="22"/>
          <w:szCs w:val="22"/>
          <w:lang w:val="en-GB"/>
        </w:rPr>
        <w:t>https://www.rand.org/health-care/surveys_tools/mos/36-item-short-form.html</w:t>
      </w:r>
      <w:r>
        <w:rPr>
          <w:rFonts w:asciiTheme="minorHAnsi" w:hAnsiTheme="minorHAnsi" w:cstheme="minorHAnsi"/>
          <w:color w:val="000000" w:themeColor="text1"/>
          <w:sz w:val="22"/>
          <w:szCs w:val="22"/>
          <w:lang w:val="en-GB"/>
        </w:rPr>
        <w:t>)</w:t>
      </w:r>
      <w:r w:rsidRPr="00F173E9">
        <w:rPr>
          <w:rFonts w:asciiTheme="minorHAnsi" w:hAnsiTheme="minorHAnsi" w:cstheme="minorHAnsi"/>
          <w:color w:val="000000" w:themeColor="text1"/>
          <w:sz w:val="22"/>
          <w:szCs w:val="22"/>
          <w:lang w:val="en-GB"/>
        </w:rPr>
        <w:t xml:space="preserve"> and </w:t>
      </w:r>
      <w:r>
        <w:rPr>
          <w:rFonts w:asciiTheme="minorHAnsi" w:hAnsiTheme="minorHAnsi" w:cstheme="minorHAnsi"/>
          <w:color w:val="000000" w:themeColor="text1"/>
          <w:sz w:val="22"/>
          <w:szCs w:val="22"/>
          <w:lang w:val="en-GB"/>
        </w:rPr>
        <w:t xml:space="preserve">a menstrual period questionnaire (details in Supplemental File) including </w:t>
      </w:r>
      <w:r w:rsidRPr="00F173E9">
        <w:rPr>
          <w:rFonts w:asciiTheme="minorHAnsi" w:hAnsiTheme="minorHAnsi" w:cstheme="minorHAnsi"/>
          <w:color w:val="000000" w:themeColor="text1"/>
          <w:sz w:val="22"/>
          <w:szCs w:val="22"/>
          <w:lang w:val="en-GB"/>
        </w:rPr>
        <w:t>the date, duration and blood flow of their last menstrual period.</w:t>
      </w:r>
    </w:p>
    <w:p w14:paraId="57034014" w14:textId="77777777" w:rsidR="00932F56" w:rsidRDefault="00932F56" w:rsidP="00932F56">
      <w:pPr>
        <w:spacing w:line="360" w:lineRule="auto"/>
        <w:jc w:val="both"/>
        <w:rPr>
          <w:rFonts w:asciiTheme="minorHAnsi" w:hAnsiTheme="minorHAnsi" w:cstheme="minorHAnsi"/>
          <w:color w:val="000000" w:themeColor="text1"/>
          <w:sz w:val="22"/>
          <w:szCs w:val="22"/>
          <w:lang w:val="en-GB"/>
        </w:rPr>
      </w:pPr>
    </w:p>
    <w:p w14:paraId="32BE32BB" w14:textId="77777777" w:rsidR="00932F56" w:rsidRPr="00F173E9" w:rsidRDefault="00932F56" w:rsidP="00932F56">
      <w:pPr>
        <w:spacing w:line="360" w:lineRule="auto"/>
        <w:jc w:val="both"/>
        <w:rPr>
          <w:rFonts w:asciiTheme="minorHAnsi" w:hAnsiTheme="minorHAnsi" w:cstheme="minorHAnsi"/>
          <w:color w:val="000000" w:themeColor="text1"/>
          <w:sz w:val="22"/>
          <w:szCs w:val="22"/>
          <w:lang w:val="en-GB"/>
        </w:rPr>
      </w:pPr>
      <w:r w:rsidRPr="00F173E9">
        <w:rPr>
          <w:rFonts w:asciiTheme="minorHAnsi" w:hAnsiTheme="minorHAnsi" w:cstheme="minorHAnsi"/>
          <w:color w:val="000000" w:themeColor="text1"/>
          <w:sz w:val="22"/>
          <w:szCs w:val="22"/>
          <w:lang w:val="en-GB"/>
        </w:rPr>
        <w:t xml:space="preserve">Subjects were randomized into one of three treatment groups, but were blinded as to which </w:t>
      </w:r>
      <w:proofErr w:type="gramStart"/>
      <w:r w:rsidRPr="00F173E9">
        <w:rPr>
          <w:rFonts w:asciiTheme="minorHAnsi" w:hAnsiTheme="minorHAnsi" w:cstheme="minorHAnsi"/>
          <w:color w:val="000000" w:themeColor="text1"/>
          <w:sz w:val="22"/>
          <w:szCs w:val="22"/>
          <w:lang w:val="en-GB"/>
        </w:rPr>
        <w:t>group</w:t>
      </w:r>
      <w:proofErr w:type="gramEnd"/>
      <w:r w:rsidRPr="00F173E9">
        <w:rPr>
          <w:rFonts w:asciiTheme="minorHAnsi" w:hAnsiTheme="minorHAnsi" w:cstheme="minorHAnsi"/>
          <w:color w:val="000000" w:themeColor="text1"/>
          <w:sz w:val="22"/>
          <w:szCs w:val="22"/>
          <w:lang w:val="en-GB"/>
        </w:rPr>
        <w:t xml:space="preserve"> they </w:t>
      </w:r>
      <w:r>
        <w:rPr>
          <w:rFonts w:asciiTheme="minorHAnsi" w:hAnsiTheme="minorHAnsi" w:cstheme="minorHAnsi"/>
          <w:color w:val="000000" w:themeColor="text1"/>
          <w:sz w:val="22"/>
          <w:szCs w:val="22"/>
          <w:lang w:val="en-GB"/>
        </w:rPr>
        <w:t>were</w:t>
      </w:r>
      <w:r w:rsidRPr="00F173E9">
        <w:rPr>
          <w:rFonts w:asciiTheme="minorHAnsi" w:hAnsiTheme="minorHAnsi" w:cstheme="minorHAnsi"/>
          <w:color w:val="000000" w:themeColor="text1"/>
          <w:sz w:val="22"/>
          <w:szCs w:val="22"/>
          <w:lang w:val="en-GB"/>
        </w:rPr>
        <w:t xml:space="preserve"> in using double-blind, double-dummy masking.  Subjects were supplied with a </w:t>
      </w:r>
      <w:r>
        <w:rPr>
          <w:rFonts w:asciiTheme="minorHAnsi" w:hAnsiTheme="minorHAnsi" w:cstheme="minorHAnsi"/>
          <w:color w:val="000000" w:themeColor="text1"/>
          <w:sz w:val="22"/>
          <w:szCs w:val="22"/>
          <w:lang w:val="en-GB"/>
        </w:rPr>
        <w:t>six</w:t>
      </w:r>
      <w:r w:rsidRPr="00F173E9">
        <w:rPr>
          <w:rFonts w:asciiTheme="minorHAnsi" w:hAnsiTheme="minorHAnsi" w:cstheme="minorHAnsi"/>
          <w:color w:val="000000" w:themeColor="text1"/>
          <w:sz w:val="22"/>
          <w:szCs w:val="22"/>
          <w:lang w:val="en-GB"/>
        </w:rPr>
        <w:t>-week supply of study product and instructions of dosing.  Subjects were instructed to follow their habitual diet and exercise routine and to not consume any disallowed medications/supplements (</w:t>
      </w:r>
      <w:proofErr w:type="gramStart"/>
      <w:r w:rsidRPr="00F173E9">
        <w:rPr>
          <w:rFonts w:asciiTheme="minorHAnsi" w:hAnsiTheme="minorHAnsi" w:cstheme="minorHAnsi"/>
          <w:color w:val="000000" w:themeColor="text1"/>
          <w:sz w:val="22"/>
          <w:szCs w:val="22"/>
          <w:lang w:val="en-GB"/>
        </w:rPr>
        <w:t>e.g.</w:t>
      </w:r>
      <w:proofErr w:type="gramEnd"/>
      <w:r w:rsidRPr="00F173E9">
        <w:rPr>
          <w:rFonts w:asciiTheme="minorHAnsi" w:hAnsiTheme="minorHAnsi" w:cstheme="minorHAnsi"/>
          <w:color w:val="000000" w:themeColor="text1"/>
          <w:sz w:val="22"/>
          <w:szCs w:val="22"/>
          <w:lang w:val="en-GB"/>
        </w:rPr>
        <w:t xml:space="preserve"> supplements that can chelate iron) that could interfere with the assessment of the study product for the duration of the study. Subjects were provided with an appointment to return to the study site at week 6.</w:t>
      </w:r>
    </w:p>
    <w:p w14:paraId="45AD0640" w14:textId="77777777" w:rsidR="00932F56" w:rsidRPr="00F173E9" w:rsidRDefault="00932F56" w:rsidP="00932F56">
      <w:pPr>
        <w:spacing w:line="360" w:lineRule="auto"/>
        <w:jc w:val="both"/>
        <w:rPr>
          <w:rFonts w:asciiTheme="minorHAnsi" w:hAnsiTheme="minorHAnsi" w:cstheme="minorHAnsi"/>
          <w:color w:val="000000" w:themeColor="text1"/>
          <w:sz w:val="22"/>
          <w:szCs w:val="22"/>
          <w:lang w:val="en-GB"/>
        </w:rPr>
      </w:pPr>
    </w:p>
    <w:p w14:paraId="1F6D1C16" w14:textId="34B4F67A" w:rsidR="00932F56" w:rsidRPr="00932F56" w:rsidRDefault="00932F56" w:rsidP="00DA6CD1">
      <w:pPr>
        <w:spacing w:line="360" w:lineRule="auto"/>
        <w:jc w:val="both"/>
        <w:rPr>
          <w:rFonts w:asciiTheme="minorHAnsi" w:hAnsiTheme="minorHAnsi" w:cstheme="minorHAnsi"/>
          <w:color w:val="000000" w:themeColor="text1"/>
          <w:sz w:val="22"/>
          <w:szCs w:val="22"/>
          <w:lang w:val="en-GB"/>
        </w:rPr>
      </w:pPr>
      <w:r w:rsidRPr="00F173E9">
        <w:rPr>
          <w:rFonts w:asciiTheme="minorHAnsi" w:hAnsiTheme="minorHAnsi" w:cstheme="minorHAnsi"/>
          <w:color w:val="000000" w:themeColor="text1"/>
          <w:sz w:val="22"/>
          <w:szCs w:val="22"/>
          <w:lang w:val="en-GB"/>
        </w:rPr>
        <w:t xml:space="preserve">At week 3 and 9, during phone visits, all subjects were asked to complete the GSRS questionnaire, and </w:t>
      </w:r>
      <w:r w:rsidRPr="0029728A">
        <w:rPr>
          <w:rFonts w:asciiTheme="minorHAnsi" w:hAnsiTheme="minorHAnsi" w:cstheme="minorHAnsi"/>
          <w:color w:val="000000" w:themeColor="text1"/>
          <w:sz w:val="22"/>
          <w:szCs w:val="22"/>
          <w:lang w:val="en-GB"/>
        </w:rPr>
        <w:t xml:space="preserve">the </w:t>
      </w:r>
      <w:r w:rsidRPr="0070079F">
        <w:rPr>
          <w:rFonts w:asciiTheme="minorHAnsi" w:hAnsiTheme="minorHAnsi" w:cstheme="minorHAnsi"/>
          <w:color w:val="000000" w:themeColor="text1"/>
          <w:sz w:val="22"/>
          <w:szCs w:val="22"/>
          <w:lang w:val="en-GB"/>
        </w:rPr>
        <w:t>menstrual period questionnaire</w:t>
      </w:r>
      <w:r w:rsidRPr="00F173E9">
        <w:rPr>
          <w:rFonts w:asciiTheme="minorHAnsi" w:hAnsiTheme="minorHAnsi" w:cstheme="minorHAnsi"/>
          <w:color w:val="000000" w:themeColor="text1"/>
          <w:sz w:val="22"/>
          <w:szCs w:val="22"/>
          <w:lang w:val="en-GB"/>
        </w:rPr>
        <w:t xml:space="preserve">, to record the date, duration and blood flow of their last menstrual period. </w:t>
      </w:r>
      <w:r>
        <w:rPr>
          <w:rFonts w:asciiTheme="minorHAnsi" w:hAnsiTheme="minorHAnsi" w:cstheme="minorHAnsi"/>
          <w:color w:val="000000" w:themeColor="text1"/>
          <w:sz w:val="22"/>
          <w:szCs w:val="22"/>
          <w:lang w:val="en-GB"/>
        </w:rPr>
        <w:t xml:space="preserve">They also were queried about adverse events and relatedness with IWP (unrelated, </w:t>
      </w:r>
      <w:proofErr w:type="gramStart"/>
      <w:r>
        <w:rPr>
          <w:rFonts w:asciiTheme="minorHAnsi" w:hAnsiTheme="minorHAnsi" w:cstheme="minorHAnsi"/>
          <w:color w:val="000000" w:themeColor="text1"/>
          <w:sz w:val="22"/>
          <w:szCs w:val="22"/>
          <w:lang w:val="en-GB"/>
        </w:rPr>
        <w:t>possibly-related</w:t>
      </w:r>
      <w:proofErr w:type="gramEnd"/>
      <w:r>
        <w:rPr>
          <w:rFonts w:asciiTheme="minorHAnsi" w:hAnsiTheme="minorHAnsi" w:cstheme="minorHAnsi"/>
          <w:color w:val="000000" w:themeColor="text1"/>
          <w:sz w:val="22"/>
          <w:szCs w:val="22"/>
          <w:lang w:val="en-GB"/>
        </w:rPr>
        <w:t xml:space="preserve">, probably-related). </w:t>
      </w:r>
      <w:r w:rsidRPr="00F173E9">
        <w:rPr>
          <w:rFonts w:asciiTheme="minorHAnsi" w:hAnsiTheme="minorHAnsi" w:cstheme="minorHAnsi"/>
          <w:color w:val="000000" w:themeColor="text1"/>
          <w:sz w:val="22"/>
          <w:szCs w:val="22"/>
          <w:lang w:val="en-GB"/>
        </w:rPr>
        <w:t xml:space="preserve">Subjects returned to the clinic site at week 6 and 12.  At each </w:t>
      </w:r>
      <w:r>
        <w:rPr>
          <w:rFonts w:asciiTheme="minorHAnsi" w:hAnsiTheme="minorHAnsi" w:cstheme="minorHAnsi"/>
          <w:color w:val="000000" w:themeColor="text1"/>
          <w:sz w:val="22"/>
          <w:szCs w:val="22"/>
          <w:lang w:val="en-GB"/>
        </w:rPr>
        <w:t xml:space="preserve">clinic </w:t>
      </w:r>
      <w:r w:rsidRPr="00F173E9">
        <w:rPr>
          <w:rFonts w:asciiTheme="minorHAnsi" w:hAnsiTheme="minorHAnsi" w:cstheme="minorHAnsi"/>
          <w:color w:val="000000" w:themeColor="text1"/>
          <w:sz w:val="22"/>
          <w:szCs w:val="22"/>
          <w:lang w:val="en-GB"/>
        </w:rPr>
        <w:t>visit, any changes in health status</w:t>
      </w:r>
      <w:r>
        <w:rPr>
          <w:rFonts w:asciiTheme="minorHAnsi" w:hAnsiTheme="minorHAnsi" w:cstheme="minorHAnsi"/>
          <w:color w:val="000000" w:themeColor="text1"/>
          <w:sz w:val="22"/>
          <w:szCs w:val="22"/>
          <w:lang w:val="en-GB"/>
        </w:rPr>
        <w:t xml:space="preserve">, medications and </w:t>
      </w:r>
      <w:r w:rsidRPr="00F173E9">
        <w:rPr>
          <w:rFonts w:asciiTheme="minorHAnsi" w:hAnsiTheme="minorHAnsi" w:cstheme="minorHAnsi"/>
          <w:color w:val="000000" w:themeColor="text1"/>
          <w:sz w:val="22"/>
          <w:szCs w:val="22"/>
          <w:lang w:val="en-GB"/>
        </w:rPr>
        <w:t>any adverse events</w:t>
      </w:r>
      <w:r>
        <w:rPr>
          <w:rFonts w:asciiTheme="minorHAnsi" w:hAnsiTheme="minorHAnsi" w:cstheme="minorHAnsi"/>
          <w:color w:val="000000" w:themeColor="text1"/>
          <w:sz w:val="22"/>
          <w:szCs w:val="22"/>
          <w:lang w:val="en-GB"/>
        </w:rPr>
        <w:t>, including relatedness with IWP, were documented</w:t>
      </w:r>
      <w:r w:rsidRPr="00F173E9">
        <w:rPr>
          <w:rFonts w:asciiTheme="minorHAnsi" w:hAnsiTheme="minorHAnsi" w:cstheme="minorHAnsi"/>
          <w:color w:val="000000" w:themeColor="text1"/>
          <w:sz w:val="22"/>
          <w:szCs w:val="22"/>
          <w:lang w:val="en-GB"/>
        </w:rPr>
        <w:t xml:space="preserve">.  A </w:t>
      </w:r>
      <w:r>
        <w:rPr>
          <w:rFonts w:asciiTheme="minorHAnsi" w:hAnsiTheme="minorHAnsi" w:cstheme="minorHAnsi"/>
          <w:color w:val="000000" w:themeColor="text1"/>
          <w:sz w:val="22"/>
          <w:szCs w:val="22"/>
          <w:lang w:val="en-GB"/>
        </w:rPr>
        <w:t xml:space="preserve">fasting </w:t>
      </w:r>
      <w:r w:rsidRPr="00F173E9">
        <w:rPr>
          <w:rFonts w:asciiTheme="minorHAnsi" w:hAnsiTheme="minorHAnsi" w:cstheme="minorHAnsi"/>
          <w:color w:val="000000" w:themeColor="text1"/>
          <w:sz w:val="22"/>
          <w:szCs w:val="22"/>
          <w:lang w:val="en-GB"/>
        </w:rPr>
        <w:t xml:space="preserve">blood sample was collected and a full blood count, including </w:t>
      </w:r>
      <w:r>
        <w:rPr>
          <w:rFonts w:asciiTheme="minorHAnsi" w:hAnsiTheme="minorHAnsi" w:cstheme="minorHAnsi"/>
          <w:color w:val="000000" w:themeColor="text1"/>
          <w:sz w:val="22"/>
          <w:szCs w:val="22"/>
          <w:lang w:val="en-GB"/>
        </w:rPr>
        <w:t>f</w:t>
      </w:r>
      <w:r w:rsidRPr="00F173E9">
        <w:rPr>
          <w:rFonts w:asciiTheme="minorHAnsi" w:hAnsiTheme="minorHAnsi" w:cstheme="minorHAnsi"/>
          <w:color w:val="000000" w:themeColor="text1"/>
          <w:sz w:val="22"/>
          <w:szCs w:val="22"/>
          <w:lang w:val="en-GB"/>
        </w:rPr>
        <w:t>erritin</w:t>
      </w:r>
      <w:r>
        <w:rPr>
          <w:rFonts w:asciiTheme="minorHAnsi" w:hAnsiTheme="minorHAnsi" w:cstheme="minorHAnsi"/>
          <w:color w:val="000000" w:themeColor="text1"/>
          <w:sz w:val="22"/>
          <w:szCs w:val="22"/>
          <w:lang w:val="en-GB"/>
        </w:rPr>
        <w:t>, s</w:t>
      </w:r>
      <w:r w:rsidRPr="00F173E9">
        <w:rPr>
          <w:rFonts w:asciiTheme="minorHAnsi" w:hAnsiTheme="minorHAnsi" w:cstheme="minorHAnsi"/>
          <w:color w:val="000000" w:themeColor="text1"/>
          <w:sz w:val="22"/>
          <w:szCs w:val="22"/>
          <w:lang w:val="en-GB"/>
        </w:rPr>
        <w:t>erum iron</w:t>
      </w:r>
      <w:r>
        <w:rPr>
          <w:rFonts w:asciiTheme="minorHAnsi" w:hAnsiTheme="minorHAnsi" w:cstheme="minorHAnsi"/>
          <w:color w:val="000000" w:themeColor="text1"/>
          <w:sz w:val="22"/>
          <w:szCs w:val="22"/>
          <w:lang w:val="en-GB"/>
        </w:rPr>
        <w:t>, t</w:t>
      </w:r>
      <w:r w:rsidRPr="00F173E9">
        <w:rPr>
          <w:rFonts w:asciiTheme="minorHAnsi" w:hAnsiTheme="minorHAnsi" w:cstheme="minorHAnsi"/>
          <w:color w:val="000000" w:themeColor="text1"/>
          <w:sz w:val="22"/>
          <w:szCs w:val="22"/>
          <w:lang w:val="en-GB"/>
        </w:rPr>
        <w:t>ransferrin</w:t>
      </w:r>
      <w:r>
        <w:rPr>
          <w:rFonts w:asciiTheme="minorHAnsi" w:hAnsiTheme="minorHAnsi" w:cstheme="minorHAnsi"/>
          <w:color w:val="000000" w:themeColor="text1"/>
          <w:sz w:val="22"/>
          <w:szCs w:val="22"/>
          <w:lang w:val="en-GB"/>
        </w:rPr>
        <w:t xml:space="preserve"> saturation</w:t>
      </w:r>
      <w:r w:rsidRPr="00F173E9">
        <w:rPr>
          <w:rFonts w:asciiTheme="minorHAnsi" w:hAnsiTheme="minorHAnsi" w:cstheme="minorHAnsi"/>
          <w:color w:val="000000" w:themeColor="text1"/>
          <w:sz w:val="22"/>
          <w:szCs w:val="22"/>
          <w:lang w:val="en-GB"/>
        </w:rPr>
        <w:t xml:space="preserve"> was measured.  Subjects completed the following questionnaires:  </w:t>
      </w:r>
      <w:r>
        <w:rPr>
          <w:rFonts w:asciiTheme="minorHAnsi" w:hAnsiTheme="minorHAnsi" w:cstheme="minorHAnsi"/>
          <w:color w:val="000000" w:themeColor="text1"/>
          <w:sz w:val="22"/>
          <w:szCs w:val="22"/>
          <w:lang w:val="en-GB"/>
        </w:rPr>
        <w:t xml:space="preserve">GSRS, </w:t>
      </w:r>
      <w:r w:rsidRPr="00F173E9">
        <w:rPr>
          <w:rFonts w:asciiTheme="minorHAnsi" w:hAnsiTheme="minorHAnsi" w:cstheme="minorHAnsi"/>
          <w:color w:val="000000" w:themeColor="text1"/>
          <w:sz w:val="22"/>
          <w:szCs w:val="22"/>
          <w:lang w:val="en-GB"/>
        </w:rPr>
        <w:t>the Short Form-36 (SF-36) and the date, duration and blood flow of their last menstrual period using the Menstrual Period Questionnaire. Subjects returned any unused study product and additional product was dispensed at clinic visit 3 (week 6). The adherence based on pill</w:t>
      </w:r>
      <w:r>
        <w:rPr>
          <w:rFonts w:asciiTheme="minorHAnsi" w:hAnsiTheme="minorHAnsi" w:cstheme="minorHAnsi"/>
          <w:color w:val="000000" w:themeColor="text1"/>
          <w:sz w:val="22"/>
          <w:szCs w:val="22"/>
          <w:lang w:val="en-GB"/>
        </w:rPr>
        <w:t>-</w:t>
      </w:r>
      <w:r w:rsidRPr="00F173E9">
        <w:rPr>
          <w:rFonts w:asciiTheme="minorHAnsi" w:hAnsiTheme="minorHAnsi" w:cstheme="minorHAnsi"/>
          <w:color w:val="000000" w:themeColor="text1"/>
          <w:sz w:val="22"/>
          <w:szCs w:val="22"/>
          <w:lang w:val="en-GB"/>
        </w:rPr>
        <w:t xml:space="preserve">count was determined </w:t>
      </w:r>
      <w:r>
        <w:rPr>
          <w:rFonts w:asciiTheme="minorHAnsi" w:hAnsiTheme="minorHAnsi" w:cstheme="minorHAnsi"/>
          <w:color w:val="000000" w:themeColor="text1"/>
          <w:sz w:val="22"/>
          <w:szCs w:val="22"/>
          <w:lang w:val="en-GB"/>
        </w:rPr>
        <w:t>at w</w:t>
      </w:r>
      <w:r w:rsidRPr="00F173E9">
        <w:rPr>
          <w:rFonts w:asciiTheme="minorHAnsi" w:hAnsiTheme="minorHAnsi" w:cstheme="minorHAnsi"/>
          <w:color w:val="000000" w:themeColor="text1"/>
          <w:sz w:val="22"/>
          <w:szCs w:val="22"/>
          <w:lang w:val="en-GB"/>
        </w:rPr>
        <w:t>eek</w:t>
      </w:r>
      <w:r>
        <w:rPr>
          <w:rFonts w:asciiTheme="minorHAnsi" w:hAnsiTheme="minorHAnsi" w:cstheme="minorHAnsi"/>
          <w:color w:val="000000" w:themeColor="text1"/>
          <w:sz w:val="22"/>
          <w:szCs w:val="22"/>
          <w:lang w:val="en-GB"/>
        </w:rPr>
        <w:t>s</w:t>
      </w:r>
      <w:r w:rsidRPr="00F173E9">
        <w:rPr>
          <w:rFonts w:asciiTheme="minorHAnsi" w:hAnsiTheme="minorHAnsi" w:cstheme="minorHAnsi"/>
          <w:color w:val="000000" w:themeColor="text1"/>
          <w:sz w:val="22"/>
          <w:szCs w:val="22"/>
          <w:lang w:val="en-GB"/>
        </w:rPr>
        <w:t xml:space="preserve"> 6</w:t>
      </w:r>
      <w:r>
        <w:rPr>
          <w:rFonts w:asciiTheme="minorHAnsi" w:hAnsiTheme="minorHAnsi" w:cstheme="minorHAnsi"/>
          <w:color w:val="000000" w:themeColor="text1"/>
          <w:sz w:val="22"/>
          <w:szCs w:val="22"/>
          <w:lang w:val="en-GB"/>
        </w:rPr>
        <w:t xml:space="preserve"> and</w:t>
      </w:r>
      <w:r w:rsidRPr="00F173E9">
        <w:rPr>
          <w:rFonts w:asciiTheme="minorHAnsi" w:hAnsiTheme="minorHAnsi" w:cstheme="minorHAnsi"/>
          <w:color w:val="000000" w:themeColor="text1"/>
          <w:sz w:val="22"/>
          <w:szCs w:val="22"/>
          <w:lang w:val="en-GB"/>
        </w:rPr>
        <w:t xml:space="preserve"> 12.  Subjects were instructed to continue following their habitual diet and exercise </w:t>
      </w:r>
      <w:r w:rsidRPr="00F173E9">
        <w:rPr>
          <w:rFonts w:asciiTheme="minorHAnsi" w:hAnsiTheme="minorHAnsi" w:cstheme="minorHAnsi"/>
          <w:color w:val="000000" w:themeColor="text1"/>
          <w:sz w:val="22"/>
          <w:szCs w:val="22"/>
          <w:lang w:val="en-GB"/>
        </w:rPr>
        <w:lastRenderedPageBreak/>
        <w:t>routine and to not consume any disallowed medications/supplements that could interfere with the assessment of the study product for the duration of the study.</w:t>
      </w:r>
    </w:p>
    <w:p w14:paraId="66012F0B" w14:textId="451689BD" w:rsidR="00932F56" w:rsidRDefault="00932F56" w:rsidP="00DA6CD1">
      <w:pPr>
        <w:spacing w:line="360" w:lineRule="auto"/>
        <w:jc w:val="both"/>
        <w:rPr>
          <w:rFonts w:asciiTheme="minorHAnsi" w:hAnsiTheme="minorHAnsi" w:cstheme="minorHAnsi"/>
          <w:b/>
          <w:bCs/>
          <w:color w:val="000000" w:themeColor="text1"/>
          <w:sz w:val="22"/>
          <w:szCs w:val="22"/>
          <w:lang w:val="en-GB"/>
        </w:rPr>
      </w:pPr>
    </w:p>
    <w:p w14:paraId="702A6FE4" w14:textId="77777777" w:rsidR="0063131D" w:rsidRPr="00EE2737" w:rsidRDefault="0063131D" w:rsidP="0063131D">
      <w:pPr>
        <w:spacing w:line="360" w:lineRule="auto"/>
        <w:jc w:val="both"/>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 xml:space="preserve">Sample Size and </w:t>
      </w:r>
      <w:r w:rsidRPr="00EE2737">
        <w:rPr>
          <w:rFonts w:asciiTheme="minorHAnsi" w:hAnsiTheme="minorHAnsi" w:cstheme="minorHAnsi"/>
          <w:b/>
          <w:bCs/>
          <w:color w:val="000000" w:themeColor="text1"/>
          <w:sz w:val="22"/>
          <w:szCs w:val="22"/>
        </w:rPr>
        <w:t>Statistical Analyses</w:t>
      </w:r>
    </w:p>
    <w:p w14:paraId="0873E76F" w14:textId="32A25304" w:rsidR="0091080B" w:rsidRDefault="0091080B" w:rsidP="0091080B">
      <w:pPr>
        <w:spacing w:line="360" w:lineRule="auto"/>
        <w:jc w:val="both"/>
        <w:rPr>
          <w:rFonts w:ascii="Calibri" w:hAnsi="Calibri" w:cs="Calibri"/>
          <w:color w:val="000000"/>
          <w:sz w:val="22"/>
          <w:szCs w:val="22"/>
          <w:shd w:val="clear" w:color="auto" w:fill="FFFFFF"/>
        </w:rPr>
      </w:pPr>
      <w:r w:rsidRPr="006501DD">
        <w:rPr>
          <w:rFonts w:ascii="Calibri" w:hAnsi="Calibri" w:cs="Calibri"/>
          <w:sz w:val="22"/>
          <w:szCs w:val="22"/>
        </w:rPr>
        <w:t xml:space="preserve">We require a minimum of 11 </w:t>
      </w:r>
      <w:r w:rsidR="0024303B">
        <w:rPr>
          <w:rFonts w:ascii="Calibri" w:hAnsi="Calibri" w:cs="Calibri"/>
          <w:sz w:val="22"/>
          <w:szCs w:val="22"/>
        </w:rPr>
        <w:t>women</w:t>
      </w:r>
      <w:r w:rsidRPr="006501DD">
        <w:rPr>
          <w:rFonts w:ascii="Calibri" w:hAnsi="Calibri" w:cs="Calibri"/>
          <w:sz w:val="22"/>
          <w:szCs w:val="22"/>
        </w:rPr>
        <w:t xml:space="preserve"> per group on the assumption that the adherence rate of a population of </w:t>
      </w:r>
      <w:r w:rsidR="0024303B">
        <w:rPr>
          <w:rFonts w:ascii="Calibri" w:hAnsi="Calibri" w:cs="Calibri"/>
          <w:sz w:val="22"/>
          <w:szCs w:val="22"/>
        </w:rPr>
        <w:t>women</w:t>
      </w:r>
      <w:r w:rsidRPr="006501DD">
        <w:rPr>
          <w:rFonts w:ascii="Calibri" w:hAnsi="Calibri" w:cs="Calibri"/>
          <w:sz w:val="22"/>
          <w:szCs w:val="22"/>
        </w:rPr>
        <w:t xml:space="preserve"> with a self-reported history of intolerance to oral iron will double from 40% to 80%, with a two-sided type I error rate of 5% (α =0.05) and power, 1-β = 0.80. This is based on a pilot survey amongst Active Iron users with a self-reported history of intolerance to iron. Only 37% were continuously adherent to oral iron therapy and 87% of these </w:t>
      </w:r>
      <w:r w:rsidR="0024303B">
        <w:rPr>
          <w:rFonts w:ascii="Calibri" w:hAnsi="Calibri" w:cs="Calibri"/>
          <w:sz w:val="22"/>
          <w:szCs w:val="22"/>
        </w:rPr>
        <w:t>women</w:t>
      </w:r>
      <w:r w:rsidRPr="006501DD">
        <w:rPr>
          <w:rFonts w:ascii="Calibri" w:hAnsi="Calibri" w:cs="Calibri"/>
          <w:sz w:val="22"/>
          <w:szCs w:val="22"/>
        </w:rPr>
        <w:t xml:space="preserve"> reported themselves adherent with Active Iron 14mg. This sample size calculation assumes that the tolerability of higher doses will be similar to Active Iron 14mg and at least 11 </w:t>
      </w:r>
      <w:r w:rsidR="0024303B">
        <w:rPr>
          <w:rFonts w:ascii="Calibri" w:hAnsi="Calibri" w:cs="Calibri"/>
          <w:sz w:val="22"/>
          <w:szCs w:val="22"/>
        </w:rPr>
        <w:t>women</w:t>
      </w:r>
      <w:r w:rsidRPr="006501DD">
        <w:rPr>
          <w:rFonts w:ascii="Calibri" w:hAnsi="Calibri" w:cs="Calibri"/>
          <w:sz w:val="22"/>
          <w:szCs w:val="22"/>
        </w:rPr>
        <w:t xml:space="preserve"> overall and in each dose group, regardless of the presence of anaemia, will be required to evaluate the primary objective. An interim evaluation when at least 15 </w:t>
      </w:r>
      <w:r w:rsidR="0024303B">
        <w:rPr>
          <w:rFonts w:ascii="Calibri" w:hAnsi="Calibri" w:cs="Calibri"/>
          <w:sz w:val="22"/>
          <w:szCs w:val="22"/>
        </w:rPr>
        <w:t>women</w:t>
      </w:r>
      <w:r w:rsidRPr="006501DD">
        <w:rPr>
          <w:rFonts w:ascii="Calibri" w:hAnsi="Calibri" w:cs="Calibri"/>
          <w:sz w:val="22"/>
          <w:szCs w:val="22"/>
        </w:rPr>
        <w:t xml:space="preserve"> have completed will be used to confirm this. In addition, each arm is powered on the basis of the expected within group change in haemoglobin using following assumptions: an increase of 1.0 g/dL, standard deviation (σ) = 1.0, a two-sided type I error rate of 5% (α =0.05) and power, 1-β = 0.80. This is based on pilot observational evaluation of five women with mild iron deficiency anaemia at baseline (two pregnant) taking 14mg of study product daily for 12 weeks, the haemoglobin increased from 11.4 ± 0.9 g/dL at baseline to 12.5 ± 0.7 g/dL. Accordingly, we require in a minimum number of 8 subjects with anaemia overall and per arm.  Accounting for potential drop-out, 10 </w:t>
      </w:r>
      <w:r w:rsidR="0024303B">
        <w:rPr>
          <w:rFonts w:ascii="Calibri" w:hAnsi="Calibri" w:cs="Calibri"/>
          <w:sz w:val="22"/>
          <w:szCs w:val="22"/>
        </w:rPr>
        <w:t>women</w:t>
      </w:r>
      <w:r w:rsidRPr="006501DD">
        <w:rPr>
          <w:rFonts w:ascii="Calibri" w:hAnsi="Calibri" w:cs="Calibri"/>
          <w:sz w:val="22"/>
          <w:szCs w:val="22"/>
        </w:rPr>
        <w:t xml:space="preserve"> per arm will be adequate for this endpoint.  Pre-specified subsets (e.g. heavy menstrual bleeding, blood donation) will be assessed unadjusted and </w:t>
      </w:r>
      <w:r w:rsidRPr="006501DD">
        <w:rPr>
          <w:rFonts w:ascii="Calibri" w:hAnsi="Calibri" w:cs="Calibri"/>
          <w:color w:val="000000"/>
          <w:sz w:val="22"/>
          <w:szCs w:val="22"/>
          <w:shd w:val="clear" w:color="auto" w:fill="FFFFFF"/>
        </w:rPr>
        <w:t xml:space="preserve">with adjustment of outcome for baseline characteristics. </w:t>
      </w:r>
    </w:p>
    <w:p w14:paraId="5CEE6ACA" w14:textId="77777777" w:rsidR="0091080B" w:rsidRPr="006501DD" w:rsidRDefault="0091080B" w:rsidP="0091080B">
      <w:pPr>
        <w:spacing w:line="360" w:lineRule="auto"/>
        <w:jc w:val="both"/>
        <w:rPr>
          <w:rFonts w:ascii="Calibri" w:hAnsi="Calibri" w:cs="Calibri"/>
          <w:sz w:val="22"/>
          <w:szCs w:val="22"/>
        </w:rPr>
      </w:pPr>
    </w:p>
    <w:p w14:paraId="7D5C08C2" w14:textId="7CB11FB7" w:rsidR="00050F74" w:rsidRPr="0063131D" w:rsidRDefault="00050F74" w:rsidP="00050F74">
      <w:pPr>
        <w:spacing w:line="360" w:lineRule="auto"/>
        <w:jc w:val="both"/>
        <w:rPr>
          <w:rFonts w:asciiTheme="minorHAnsi" w:hAnsiTheme="minorHAnsi" w:cstheme="minorHAnsi"/>
          <w:color w:val="000000" w:themeColor="text1"/>
          <w:sz w:val="22"/>
          <w:szCs w:val="22"/>
        </w:rPr>
      </w:pPr>
      <w:r w:rsidRPr="00F173E9">
        <w:rPr>
          <w:rFonts w:asciiTheme="minorHAnsi" w:hAnsiTheme="minorHAnsi" w:cstheme="minorHAnsi"/>
          <w:color w:val="000000" w:themeColor="text1"/>
          <w:sz w:val="22"/>
          <w:szCs w:val="22"/>
        </w:rPr>
        <w:t xml:space="preserve">Descriptive data are presented as n (%) as well as  either mean ± SD or median (25th:75th percentile) for normally and non-normally distributed continuous variables, respectively. Shapiro-Wilk’s test used to formally assess normality of the variable data. Frequencies and percentages (in parentheses) summarize categorical variables. </w:t>
      </w:r>
      <w:r w:rsidRPr="00200AE7">
        <w:rPr>
          <w:rFonts w:asciiTheme="minorHAnsi" w:hAnsiTheme="minorHAnsi" w:cstheme="minorHAnsi"/>
          <w:color w:val="000000" w:themeColor="text1"/>
          <w:sz w:val="22"/>
          <w:szCs w:val="22"/>
        </w:rPr>
        <w:t xml:space="preserve">If continuous variables were transformable to normal, they were power-transformed and independent, two sample t-tests were used for analysis of continuous variables. If data were not transformable to normal, non-parametric t-test equivalents (Wilcoxon signed rank and rank sum test, Mann-Whitney test and analysis of covariance [ANCOVA]) were used. Chi-squared (or Fisher Exact) analyses were used to compare categorical variables as appropriate. Repeated marker changes from baseline to </w:t>
      </w:r>
      <w:r>
        <w:rPr>
          <w:rFonts w:asciiTheme="minorHAnsi" w:hAnsiTheme="minorHAnsi" w:cstheme="minorHAnsi"/>
          <w:color w:val="000000" w:themeColor="text1"/>
          <w:sz w:val="22"/>
          <w:szCs w:val="22"/>
        </w:rPr>
        <w:t>12 weeks</w:t>
      </w:r>
      <w:r w:rsidRPr="00200AE7">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(ferritin, haemoglobin, transferrin saturation) </w:t>
      </w:r>
      <w:r w:rsidRPr="00200AE7">
        <w:rPr>
          <w:rFonts w:asciiTheme="minorHAnsi" w:hAnsiTheme="minorHAnsi" w:cstheme="minorHAnsi"/>
          <w:color w:val="000000" w:themeColor="text1"/>
          <w:sz w:val="22"/>
          <w:szCs w:val="22"/>
        </w:rPr>
        <w:t xml:space="preserve">were </w:t>
      </w:r>
      <w:r>
        <w:rPr>
          <w:rFonts w:asciiTheme="minorHAnsi" w:hAnsiTheme="minorHAnsi" w:cstheme="minorHAnsi"/>
          <w:color w:val="000000" w:themeColor="text1"/>
          <w:sz w:val="22"/>
          <w:szCs w:val="22"/>
        </w:rPr>
        <w:t xml:space="preserve">also </w:t>
      </w:r>
      <w:r w:rsidRPr="00200AE7">
        <w:rPr>
          <w:rFonts w:asciiTheme="minorHAnsi" w:hAnsiTheme="minorHAnsi" w:cstheme="minorHAnsi"/>
          <w:color w:val="000000" w:themeColor="text1"/>
          <w:sz w:val="22"/>
          <w:szCs w:val="22"/>
        </w:rPr>
        <w:t xml:space="preserve">analysed using ANOVA with repeated measures models. Primary and secondary outcome measures were performed both with and without adjustment for the effects of </w:t>
      </w:r>
      <w:r>
        <w:rPr>
          <w:rFonts w:asciiTheme="minorHAnsi" w:hAnsiTheme="minorHAnsi" w:cstheme="minorHAnsi"/>
          <w:color w:val="000000" w:themeColor="text1"/>
          <w:sz w:val="22"/>
          <w:szCs w:val="22"/>
        </w:rPr>
        <w:t xml:space="preserve">baseline </w:t>
      </w:r>
      <w:r w:rsidRPr="00200AE7">
        <w:rPr>
          <w:rFonts w:asciiTheme="minorHAnsi" w:hAnsiTheme="minorHAnsi" w:cstheme="minorHAnsi"/>
          <w:color w:val="000000" w:themeColor="text1"/>
          <w:sz w:val="22"/>
          <w:szCs w:val="22"/>
        </w:rPr>
        <w:t xml:space="preserve">age, </w:t>
      </w:r>
      <w:r>
        <w:rPr>
          <w:rFonts w:asciiTheme="minorHAnsi" w:hAnsiTheme="minorHAnsi" w:cstheme="minorHAnsi"/>
          <w:color w:val="000000" w:themeColor="text1"/>
          <w:sz w:val="22"/>
          <w:szCs w:val="22"/>
        </w:rPr>
        <w:t xml:space="preserve">body </w:t>
      </w:r>
      <w:r>
        <w:rPr>
          <w:rFonts w:asciiTheme="minorHAnsi" w:hAnsiTheme="minorHAnsi" w:cstheme="minorHAnsi"/>
          <w:color w:val="000000" w:themeColor="text1"/>
          <w:sz w:val="22"/>
          <w:szCs w:val="22"/>
        </w:rPr>
        <w:lastRenderedPageBreak/>
        <w:t>mass index and systolic blood pressure</w:t>
      </w:r>
      <w:r w:rsidRPr="00200AE7">
        <w:rPr>
          <w:rFonts w:asciiTheme="minorHAnsi" w:hAnsiTheme="minorHAnsi" w:cstheme="minorHAnsi"/>
          <w:color w:val="000000" w:themeColor="text1"/>
          <w:sz w:val="22"/>
          <w:szCs w:val="22"/>
        </w:rPr>
        <w:t xml:space="preserve">. Further models included adjustment for pre-specified baseline outcomes of interest.  Categorical endpoints were analysed using generalized linear modelling with a binomial outcome distribution for prevalence. </w:t>
      </w:r>
      <w:r w:rsidRPr="00F173E9">
        <w:rPr>
          <w:rFonts w:asciiTheme="minorHAnsi" w:hAnsiTheme="minorHAnsi" w:cstheme="minorHAnsi"/>
          <w:color w:val="000000" w:themeColor="text1"/>
          <w:sz w:val="22"/>
          <w:szCs w:val="22"/>
        </w:rPr>
        <w:t xml:space="preserve">A </w:t>
      </w:r>
      <w:r>
        <w:rPr>
          <w:rFonts w:asciiTheme="minorHAnsi" w:hAnsiTheme="minorHAnsi" w:cstheme="minorHAnsi"/>
          <w:color w:val="000000" w:themeColor="text1"/>
          <w:sz w:val="22"/>
          <w:szCs w:val="22"/>
        </w:rPr>
        <w:t>P</w:t>
      </w:r>
      <w:r w:rsidRPr="00F173E9">
        <w:rPr>
          <w:rFonts w:asciiTheme="minorHAnsi" w:hAnsiTheme="minorHAnsi" w:cstheme="minorHAnsi"/>
          <w:color w:val="000000" w:themeColor="text1"/>
          <w:sz w:val="22"/>
          <w:szCs w:val="22"/>
        </w:rPr>
        <w:t>-value of ˂ 0.05 was considered statistically significant.</w:t>
      </w:r>
    </w:p>
    <w:p w14:paraId="3D373D74" w14:textId="77777777" w:rsidR="00E505B6" w:rsidRDefault="00E505B6" w:rsidP="00B43502">
      <w:pPr>
        <w:rPr>
          <w:rFonts w:ascii="Arial" w:hAnsi="Arial" w:cs="Arial"/>
          <w:b/>
          <w:bCs/>
        </w:rPr>
      </w:pPr>
    </w:p>
    <w:p w14:paraId="4B387B4C" w14:textId="77777777" w:rsidR="00E505B6" w:rsidRDefault="00E505B6" w:rsidP="00B43502">
      <w:pPr>
        <w:rPr>
          <w:rFonts w:ascii="Arial" w:hAnsi="Arial" w:cs="Arial"/>
          <w:b/>
          <w:bCs/>
        </w:rPr>
      </w:pPr>
    </w:p>
    <w:p w14:paraId="7EE2461F" w14:textId="2950C735" w:rsidR="00B43502" w:rsidRDefault="00A22202" w:rsidP="00B43502">
      <w:pPr>
        <w:rPr>
          <w:rFonts w:ascii="Arial" w:hAnsi="Arial" w:cs="Arial"/>
          <w:b/>
          <w:bCs/>
        </w:rPr>
      </w:pPr>
      <w:r w:rsidRPr="00A22202">
        <w:rPr>
          <w:rFonts w:ascii="Arial" w:hAnsi="Arial" w:cs="Arial"/>
          <w:b/>
          <w:bCs/>
        </w:rPr>
        <w:t>Additional Data</w:t>
      </w:r>
    </w:p>
    <w:p w14:paraId="31F5D420" w14:textId="77777777" w:rsidR="000E5BC2" w:rsidRDefault="000E5BC2" w:rsidP="00E50F34">
      <w:pPr>
        <w:spacing w:line="360" w:lineRule="auto"/>
        <w:jc w:val="both"/>
        <w:rPr>
          <w:rFonts w:asciiTheme="minorHAnsi" w:hAnsiTheme="minorHAnsi" w:cstheme="minorHAnsi"/>
          <w:b/>
          <w:bCs/>
          <w:color w:val="000000" w:themeColor="text1"/>
          <w:sz w:val="22"/>
          <w:szCs w:val="22"/>
          <w:lang w:val="en-GB"/>
        </w:rPr>
      </w:pPr>
    </w:p>
    <w:p w14:paraId="239E170E" w14:textId="19D20CC2" w:rsidR="00E9551F" w:rsidRPr="00C4560E" w:rsidRDefault="00E9551F" w:rsidP="00E9551F">
      <w:pPr>
        <w:spacing w:line="360" w:lineRule="auto"/>
        <w:jc w:val="both"/>
        <w:rPr>
          <w:rFonts w:asciiTheme="minorHAnsi" w:hAnsiTheme="minorHAnsi" w:cstheme="minorHAnsi"/>
          <w:color w:val="000000" w:themeColor="text1"/>
          <w:sz w:val="22"/>
          <w:szCs w:val="22"/>
          <w:lang w:val="en-GB"/>
        </w:rPr>
      </w:pPr>
      <w:r w:rsidRPr="00C4560E">
        <w:rPr>
          <w:rFonts w:asciiTheme="minorHAnsi" w:hAnsiTheme="minorHAnsi" w:cstheme="minorHAnsi"/>
          <w:b/>
          <w:bCs/>
          <w:color w:val="000000" w:themeColor="text1"/>
          <w:sz w:val="22"/>
          <w:szCs w:val="22"/>
          <w:lang w:val="en-GB"/>
        </w:rPr>
        <w:t>Table S</w:t>
      </w:r>
      <w:r w:rsidR="00B70E26">
        <w:rPr>
          <w:rFonts w:asciiTheme="minorHAnsi" w:hAnsiTheme="minorHAnsi" w:cstheme="minorHAnsi"/>
          <w:b/>
          <w:bCs/>
          <w:color w:val="000000" w:themeColor="text1"/>
          <w:sz w:val="22"/>
          <w:szCs w:val="22"/>
          <w:lang w:val="en-GB"/>
        </w:rPr>
        <w:t>1</w:t>
      </w:r>
      <w:r w:rsidRPr="00C4560E">
        <w:rPr>
          <w:rFonts w:asciiTheme="minorHAnsi" w:hAnsiTheme="minorHAnsi" w:cstheme="minorHAnsi"/>
          <w:color w:val="000000" w:themeColor="text1"/>
          <w:sz w:val="22"/>
          <w:szCs w:val="22"/>
          <w:lang w:val="en-GB"/>
        </w:rPr>
        <w:t xml:space="preserve">. Prior iron products and dose groupings </w:t>
      </w:r>
      <w:r w:rsidR="00CF2989" w:rsidRPr="00CF2989">
        <w:rPr>
          <w:rFonts w:asciiTheme="minorHAnsi" w:hAnsiTheme="minorHAnsi" w:cstheme="minorHAnsi"/>
          <w:color w:val="000000" w:themeColor="text1"/>
          <w:sz w:val="22"/>
          <w:szCs w:val="22"/>
          <w:lang w:val="en-GB"/>
        </w:rPr>
        <w:t>(</w:t>
      </w:r>
      <w:r w:rsidR="00CF2989" w:rsidRPr="00C4560E">
        <w:rPr>
          <w:rFonts w:asciiTheme="minorHAnsi" w:hAnsiTheme="minorHAnsi" w:cstheme="minorHAnsi"/>
          <w:color w:val="000000" w:themeColor="text1"/>
          <w:sz w:val="22"/>
          <w:szCs w:val="22"/>
          <w:lang w:val="en-GB"/>
        </w:rPr>
        <w:t xml:space="preserve">daily elemental iron) </w:t>
      </w:r>
      <w:r w:rsidRPr="00C4560E">
        <w:rPr>
          <w:rFonts w:asciiTheme="minorHAnsi" w:hAnsiTheme="minorHAnsi" w:cstheme="minorHAnsi"/>
          <w:color w:val="000000" w:themeColor="text1"/>
          <w:sz w:val="22"/>
          <w:szCs w:val="22"/>
          <w:lang w:val="en-GB"/>
        </w:rPr>
        <w:t xml:space="preserve">taken by 57 of the 59 participants in the prospective study of </w:t>
      </w:r>
      <w:r w:rsidRPr="00CF2989">
        <w:rPr>
          <w:rFonts w:asciiTheme="minorHAnsi" w:hAnsiTheme="minorHAnsi" w:cstheme="minorHAnsi"/>
          <w:color w:val="000000" w:themeColor="text1"/>
          <w:sz w:val="22"/>
          <w:szCs w:val="22"/>
          <w:lang w:val="en-GB"/>
        </w:rPr>
        <w:t>the i</w:t>
      </w:r>
      <w:r w:rsidRPr="00C4560E">
        <w:rPr>
          <w:rFonts w:asciiTheme="minorHAnsi" w:hAnsiTheme="minorHAnsi" w:cstheme="minorHAnsi"/>
          <w:color w:val="000000" w:themeColor="text1"/>
          <w:sz w:val="22"/>
          <w:szCs w:val="22"/>
          <w:lang w:val="en-GB"/>
        </w:rPr>
        <w:t>ron</w:t>
      </w:r>
      <w:r w:rsidRPr="00CF2989">
        <w:rPr>
          <w:rFonts w:asciiTheme="minorHAnsi" w:hAnsiTheme="minorHAnsi" w:cstheme="minorHAnsi"/>
          <w:color w:val="000000" w:themeColor="text1"/>
          <w:sz w:val="22"/>
          <w:szCs w:val="22"/>
          <w:lang w:val="en-GB"/>
        </w:rPr>
        <w:t>-w</w:t>
      </w:r>
      <w:r w:rsidRPr="00C4560E">
        <w:rPr>
          <w:rFonts w:asciiTheme="minorHAnsi" w:hAnsiTheme="minorHAnsi" w:cstheme="minorHAnsi"/>
          <w:color w:val="000000" w:themeColor="text1"/>
          <w:sz w:val="22"/>
          <w:szCs w:val="22"/>
          <w:lang w:val="en-GB"/>
        </w:rPr>
        <w:t>hey</w:t>
      </w:r>
      <w:r w:rsidRPr="00CF2989">
        <w:rPr>
          <w:rFonts w:asciiTheme="minorHAnsi" w:hAnsiTheme="minorHAnsi" w:cstheme="minorHAnsi"/>
          <w:color w:val="000000" w:themeColor="text1"/>
          <w:sz w:val="22"/>
          <w:szCs w:val="22"/>
          <w:lang w:val="en-GB"/>
        </w:rPr>
        <w:t>-p</w:t>
      </w:r>
      <w:r w:rsidRPr="00C4560E">
        <w:rPr>
          <w:rFonts w:asciiTheme="minorHAnsi" w:hAnsiTheme="minorHAnsi" w:cstheme="minorHAnsi"/>
          <w:color w:val="000000" w:themeColor="text1"/>
          <w:sz w:val="22"/>
          <w:szCs w:val="22"/>
          <w:lang w:val="en-GB"/>
        </w:rPr>
        <w:t>rotein</w:t>
      </w:r>
      <w:r w:rsidRPr="00CF2989">
        <w:rPr>
          <w:rFonts w:asciiTheme="minorHAnsi" w:hAnsiTheme="minorHAnsi" w:cstheme="minorHAnsi"/>
          <w:color w:val="000000" w:themeColor="text1"/>
          <w:sz w:val="22"/>
          <w:szCs w:val="22"/>
          <w:lang w:val="en-GB"/>
        </w:rPr>
        <w:t xml:space="preserve"> formulation</w:t>
      </w:r>
      <w:r w:rsidRPr="00C4560E">
        <w:rPr>
          <w:rFonts w:asciiTheme="minorHAnsi" w:hAnsiTheme="minorHAnsi" w:cstheme="minorHAnsi"/>
          <w:color w:val="000000" w:themeColor="text1"/>
          <w:sz w:val="22"/>
          <w:szCs w:val="22"/>
          <w:lang w:val="en-GB"/>
        </w:rPr>
        <w:t>. The proportion of participants in each dose grouping who reported stopping the prior iron product due to adverse GI effects is shown.  Two additional participants did not know the iron product</w:t>
      </w:r>
      <w:r w:rsidR="00031FE1">
        <w:rPr>
          <w:rFonts w:asciiTheme="minorHAnsi" w:hAnsiTheme="minorHAnsi" w:cstheme="minorHAnsi"/>
          <w:color w:val="000000" w:themeColor="text1"/>
          <w:sz w:val="22"/>
          <w:szCs w:val="22"/>
          <w:lang w:val="en-GB"/>
        </w:rPr>
        <w:t>, one of which reported taking high dose iron. T</w:t>
      </w:r>
      <w:r w:rsidRPr="00C4560E">
        <w:rPr>
          <w:rFonts w:asciiTheme="minorHAnsi" w:hAnsiTheme="minorHAnsi" w:cstheme="minorHAnsi"/>
          <w:color w:val="000000" w:themeColor="text1"/>
          <w:sz w:val="22"/>
          <w:szCs w:val="22"/>
          <w:lang w:val="en-GB"/>
        </w:rPr>
        <w:t xml:space="preserve">hey did not bring the prior iron product to the baseline visit and </w:t>
      </w:r>
      <w:r w:rsidR="00031FE1">
        <w:rPr>
          <w:rFonts w:asciiTheme="minorHAnsi" w:hAnsiTheme="minorHAnsi" w:cstheme="minorHAnsi"/>
          <w:color w:val="000000" w:themeColor="text1"/>
          <w:sz w:val="22"/>
          <w:szCs w:val="22"/>
          <w:lang w:val="en-GB"/>
        </w:rPr>
        <w:t>both</w:t>
      </w:r>
      <w:r>
        <w:rPr>
          <w:rFonts w:asciiTheme="minorHAnsi" w:hAnsiTheme="minorHAnsi" w:cstheme="minorHAnsi"/>
          <w:color w:val="000000" w:themeColor="text1"/>
          <w:sz w:val="22"/>
          <w:szCs w:val="22"/>
          <w:lang w:val="en-GB"/>
        </w:rPr>
        <w:t xml:space="preserve"> </w:t>
      </w:r>
      <w:r w:rsidRPr="00C4560E">
        <w:rPr>
          <w:rFonts w:asciiTheme="minorHAnsi" w:hAnsiTheme="minorHAnsi" w:cstheme="minorHAnsi"/>
          <w:color w:val="000000" w:themeColor="text1"/>
          <w:sz w:val="22"/>
          <w:szCs w:val="22"/>
          <w:lang w:val="en-GB"/>
        </w:rPr>
        <w:t>reported discontinuation of the iron product</w:t>
      </w:r>
      <w:r w:rsidR="006C7A13">
        <w:rPr>
          <w:rFonts w:asciiTheme="minorHAnsi" w:hAnsiTheme="minorHAnsi" w:cstheme="minorHAnsi"/>
          <w:color w:val="000000" w:themeColor="text1"/>
          <w:sz w:val="22"/>
          <w:szCs w:val="22"/>
          <w:lang w:val="en-GB"/>
        </w:rPr>
        <w:t xml:space="preserve"> due to adverse GI effects</w:t>
      </w:r>
      <w:r w:rsidRPr="00C4560E">
        <w:rPr>
          <w:rFonts w:asciiTheme="minorHAnsi" w:hAnsiTheme="minorHAnsi" w:cstheme="minorHAnsi"/>
          <w:color w:val="000000" w:themeColor="text1"/>
          <w:sz w:val="22"/>
          <w:szCs w:val="22"/>
          <w:lang w:val="en-GB"/>
        </w:rPr>
        <w:t xml:space="preserve">. </w:t>
      </w:r>
    </w:p>
    <w:p w14:paraId="02E74084" w14:textId="77777777" w:rsidR="00E9551F" w:rsidRPr="00C4560E" w:rsidRDefault="00E9551F" w:rsidP="00E9551F">
      <w:pPr>
        <w:spacing w:line="360" w:lineRule="auto"/>
        <w:jc w:val="both"/>
        <w:rPr>
          <w:rFonts w:asciiTheme="minorHAnsi" w:hAnsiTheme="minorHAnsi" w:cstheme="minorHAnsi"/>
          <w:color w:val="000000" w:themeColor="text1"/>
          <w:sz w:val="22"/>
          <w:szCs w:val="22"/>
          <w:lang w:val="en-GB"/>
        </w:rPr>
      </w:pPr>
    </w:p>
    <w:tbl>
      <w:tblPr>
        <w:tblW w:w="8080" w:type="dxa"/>
        <w:tblLook w:val="04A0" w:firstRow="1" w:lastRow="0" w:firstColumn="1" w:lastColumn="0" w:noHBand="0" w:noVBand="1"/>
      </w:tblPr>
      <w:tblGrid>
        <w:gridCol w:w="4503"/>
        <w:gridCol w:w="1026"/>
        <w:gridCol w:w="1275"/>
        <w:gridCol w:w="1276"/>
      </w:tblGrid>
      <w:tr w:rsidR="00E9551F" w:rsidRPr="00E9551F" w14:paraId="6102E943" w14:textId="77777777" w:rsidTr="00344831">
        <w:trPr>
          <w:trHeight w:val="320"/>
        </w:trPr>
        <w:tc>
          <w:tcPr>
            <w:tcW w:w="4503" w:type="dxa"/>
            <w:tcBorders>
              <w:top w:val="nil"/>
              <w:left w:val="nil"/>
              <w:bottom w:val="nil"/>
              <w:right w:val="nil"/>
            </w:tcBorders>
            <w:shd w:val="clear" w:color="auto" w:fill="auto"/>
            <w:noWrap/>
            <w:vAlign w:val="bottom"/>
            <w:hideMark/>
          </w:tcPr>
          <w:p w14:paraId="7CA2C5EA" w14:textId="77777777" w:rsidR="00E9551F" w:rsidRPr="00C4560E" w:rsidRDefault="00E9551F" w:rsidP="00344831">
            <w:pPr>
              <w:rPr>
                <w:rFonts w:asciiTheme="minorHAnsi" w:hAnsiTheme="minorHAnsi" w:cstheme="minorHAnsi"/>
                <w:sz w:val="20"/>
                <w:szCs w:val="20"/>
              </w:rPr>
            </w:pPr>
          </w:p>
        </w:tc>
        <w:tc>
          <w:tcPr>
            <w:tcW w:w="1026" w:type="dxa"/>
            <w:tcBorders>
              <w:top w:val="nil"/>
              <w:left w:val="nil"/>
              <w:bottom w:val="nil"/>
              <w:right w:val="nil"/>
            </w:tcBorders>
            <w:shd w:val="clear" w:color="auto" w:fill="auto"/>
            <w:noWrap/>
            <w:vAlign w:val="bottom"/>
            <w:hideMark/>
          </w:tcPr>
          <w:p w14:paraId="0B8FAA88"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 xml:space="preserve">Low dose group, </w:t>
            </w:r>
          </w:p>
          <w:p w14:paraId="218DEC04"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&lt;14 mg</w:t>
            </w:r>
          </w:p>
        </w:tc>
        <w:tc>
          <w:tcPr>
            <w:tcW w:w="1275" w:type="dxa"/>
            <w:tcBorders>
              <w:top w:val="nil"/>
              <w:left w:val="nil"/>
              <w:bottom w:val="nil"/>
              <w:right w:val="nil"/>
            </w:tcBorders>
            <w:shd w:val="clear" w:color="auto" w:fill="auto"/>
            <w:noWrap/>
            <w:vAlign w:val="bottom"/>
            <w:hideMark/>
          </w:tcPr>
          <w:p w14:paraId="5CA4094D"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Medium dose group, 14-65 mg</w:t>
            </w:r>
          </w:p>
        </w:tc>
        <w:tc>
          <w:tcPr>
            <w:tcW w:w="1276" w:type="dxa"/>
            <w:tcBorders>
              <w:top w:val="nil"/>
              <w:left w:val="nil"/>
              <w:bottom w:val="nil"/>
              <w:right w:val="nil"/>
            </w:tcBorders>
            <w:shd w:val="clear" w:color="auto" w:fill="auto"/>
            <w:noWrap/>
            <w:vAlign w:val="bottom"/>
            <w:hideMark/>
          </w:tcPr>
          <w:p w14:paraId="1C05C37D"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High dose group,</w:t>
            </w:r>
          </w:p>
          <w:p w14:paraId="24295732"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 xml:space="preserve"> &gt;65 mg</w:t>
            </w:r>
          </w:p>
        </w:tc>
      </w:tr>
      <w:tr w:rsidR="00E9551F" w:rsidRPr="00E9551F" w14:paraId="7F4BBA97" w14:textId="77777777" w:rsidTr="00344831">
        <w:trPr>
          <w:trHeight w:val="320"/>
        </w:trPr>
        <w:tc>
          <w:tcPr>
            <w:tcW w:w="4503" w:type="dxa"/>
            <w:tcBorders>
              <w:top w:val="nil"/>
              <w:left w:val="nil"/>
              <w:bottom w:val="nil"/>
              <w:right w:val="nil"/>
            </w:tcBorders>
            <w:shd w:val="clear" w:color="auto" w:fill="auto"/>
            <w:noWrap/>
            <w:vAlign w:val="bottom"/>
            <w:hideMark/>
          </w:tcPr>
          <w:p w14:paraId="47BB8FD9"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Ferrous Sulfate</w:t>
            </w:r>
          </w:p>
        </w:tc>
        <w:tc>
          <w:tcPr>
            <w:tcW w:w="1026" w:type="dxa"/>
            <w:tcBorders>
              <w:top w:val="nil"/>
              <w:left w:val="nil"/>
              <w:bottom w:val="nil"/>
              <w:right w:val="nil"/>
            </w:tcBorders>
            <w:shd w:val="clear" w:color="auto" w:fill="auto"/>
            <w:noWrap/>
            <w:vAlign w:val="bottom"/>
            <w:hideMark/>
          </w:tcPr>
          <w:p w14:paraId="018A4FE0"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6</w:t>
            </w:r>
          </w:p>
        </w:tc>
        <w:tc>
          <w:tcPr>
            <w:tcW w:w="1275" w:type="dxa"/>
            <w:tcBorders>
              <w:top w:val="nil"/>
              <w:left w:val="nil"/>
              <w:bottom w:val="nil"/>
              <w:right w:val="nil"/>
            </w:tcBorders>
            <w:shd w:val="clear" w:color="auto" w:fill="auto"/>
            <w:noWrap/>
            <w:vAlign w:val="bottom"/>
            <w:hideMark/>
          </w:tcPr>
          <w:p w14:paraId="32270843"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1</w:t>
            </w:r>
          </w:p>
        </w:tc>
        <w:tc>
          <w:tcPr>
            <w:tcW w:w="1276" w:type="dxa"/>
            <w:tcBorders>
              <w:top w:val="nil"/>
              <w:left w:val="nil"/>
              <w:bottom w:val="nil"/>
              <w:right w:val="nil"/>
            </w:tcBorders>
            <w:shd w:val="clear" w:color="auto" w:fill="auto"/>
            <w:noWrap/>
            <w:vAlign w:val="bottom"/>
            <w:hideMark/>
          </w:tcPr>
          <w:p w14:paraId="1E74BB8C"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5</w:t>
            </w:r>
          </w:p>
        </w:tc>
      </w:tr>
      <w:tr w:rsidR="00E9551F" w:rsidRPr="00E9551F" w14:paraId="394B4CE4" w14:textId="77777777" w:rsidTr="00344831">
        <w:trPr>
          <w:trHeight w:val="320"/>
        </w:trPr>
        <w:tc>
          <w:tcPr>
            <w:tcW w:w="4503" w:type="dxa"/>
            <w:tcBorders>
              <w:top w:val="nil"/>
              <w:left w:val="nil"/>
              <w:bottom w:val="nil"/>
              <w:right w:val="nil"/>
            </w:tcBorders>
            <w:shd w:val="clear" w:color="auto" w:fill="auto"/>
            <w:noWrap/>
            <w:vAlign w:val="bottom"/>
            <w:hideMark/>
          </w:tcPr>
          <w:p w14:paraId="17423B6A"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Ferrous Fumarate</w:t>
            </w:r>
          </w:p>
        </w:tc>
        <w:tc>
          <w:tcPr>
            <w:tcW w:w="1026" w:type="dxa"/>
            <w:tcBorders>
              <w:top w:val="nil"/>
              <w:left w:val="nil"/>
              <w:bottom w:val="nil"/>
              <w:right w:val="nil"/>
            </w:tcBorders>
            <w:shd w:val="clear" w:color="auto" w:fill="auto"/>
            <w:noWrap/>
            <w:vAlign w:val="bottom"/>
            <w:hideMark/>
          </w:tcPr>
          <w:p w14:paraId="62EE19D0" w14:textId="77777777" w:rsidR="00E9551F" w:rsidRPr="00C4560E" w:rsidRDefault="00E9551F" w:rsidP="00344831">
            <w:pPr>
              <w:jc w:val="center"/>
              <w:rPr>
                <w:rFonts w:asciiTheme="minorHAnsi" w:hAnsiTheme="minorHAnsi" w:cstheme="minorHAnsi"/>
                <w:color w:val="000000"/>
                <w:sz w:val="20"/>
                <w:szCs w:val="20"/>
              </w:rPr>
            </w:pPr>
          </w:p>
        </w:tc>
        <w:tc>
          <w:tcPr>
            <w:tcW w:w="1275" w:type="dxa"/>
            <w:tcBorders>
              <w:top w:val="nil"/>
              <w:left w:val="nil"/>
              <w:bottom w:val="nil"/>
              <w:right w:val="nil"/>
            </w:tcBorders>
            <w:shd w:val="clear" w:color="auto" w:fill="auto"/>
            <w:noWrap/>
            <w:vAlign w:val="bottom"/>
            <w:hideMark/>
          </w:tcPr>
          <w:p w14:paraId="63612544"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3</w:t>
            </w:r>
          </w:p>
        </w:tc>
        <w:tc>
          <w:tcPr>
            <w:tcW w:w="1276" w:type="dxa"/>
            <w:tcBorders>
              <w:top w:val="nil"/>
              <w:left w:val="nil"/>
              <w:bottom w:val="nil"/>
              <w:right w:val="nil"/>
            </w:tcBorders>
            <w:shd w:val="clear" w:color="auto" w:fill="auto"/>
            <w:noWrap/>
            <w:vAlign w:val="bottom"/>
            <w:hideMark/>
          </w:tcPr>
          <w:p w14:paraId="20DF8057"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35</w:t>
            </w:r>
          </w:p>
        </w:tc>
      </w:tr>
      <w:tr w:rsidR="00E9551F" w:rsidRPr="00E9551F" w14:paraId="2E6E12B5" w14:textId="77777777" w:rsidTr="00344831">
        <w:trPr>
          <w:trHeight w:val="320"/>
        </w:trPr>
        <w:tc>
          <w:tcPr>
            <w:tcW w:w="4503" w:type="dxa"/>
            <w:tcBorders>
              <w:top w:val="nil"/>
              <w:left w:val="nil"/>
              <w:bottom w:val="nil"/>
              <w:right w:val="nil"/>
            </w:tcBorders>
            <w:shd w:val="clear" w:color="auto" w:fill="auto"/>
            <w:noWrap/>
            <w:vAlign w:val="bottom"/>
            <w:hideMark/>
          </w:tcPr>
          <w:p w14:paraId="18D1A504"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Ferrous Gluconate</w:t>
            </w:r>
          </w:p>
        </w:tc>
        <w:tc>
          <w:tcPr>
            <w:tcW w:w="1026" w:type="dxa"/>
            <w:tcBorders>
              <w:top w:val="nil"/>
              <w:left w:val="nil"/>
              <w:bottom w:val="nil"/>
              <w:right w:val="nil"/>
            </w:tcBorders>
            <w:shd w:val="clear" w:color="auto" w:fill="auto"/>
            <w:noWrap/>
            <w:vAlign w:val="bottom"/>
            <w:hideMark/>
          </w:tcPr>
          <w:p w14:paraId="3DB44A4B"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3</w:t>
            </w:r>
          </w:p>
        </w:tc>
        <w:tc>
          <w:tcPr>
            <w:tcW w:w="1275" w:type="dxa"/>
            <w:tcBorders>
              <w:top w:val="nil"/>
              <w:left w:val="nil"/>
              <w:bottom w:val="nil"/>
              <w:right w:val="nil"/>
            </w:tcBorders>
            <w:shd w:val="clear" w:color="auto" w:fill="auto"/>
            <w:noWrap/>
            <w:vAlign w:val="bottom"/>
            <w:hideMark/>
          </w:tcPr>
          <w:p w14:paraId="4892EFCB" w14:textId="77777777" w:rsidR="00E9551F" w:rsidRPr="00C4560E" w:rsidRDefault="00E9551F" w:rsidP="00344831">
            <w:pPr>
              <w:jc w:val="center"/>
              <w:rPr>
                <w:rFonts w:asciiTheme="minorHAnsi" w:hAnsiTheme="minorHAnsi" w:cstheme="minorHAnsi"/>
                <w:color w:val="000000"/>
                <w:sz w:val="20"/>
                <w:szCs w:val="20"/>
              </w:rPr>
            </w:pPr>
          </w:p>
        </w:tc>
        <w:tc>
          <w:tcPr>
            <w:tcW w:w="1276" w:type="dxa"/>
            <w:tcBorders>
              <w:top w:val="nil"/>
              <w:left w:val="nil"/>
              <w:bottom w:val="nil"/>
              <w:right w:val="nil"/>
            </w:tcBorders>
            <w:shd w:val="clear" w:color="auto" w:fill="auto"/>
            <w:noWrap/>
            <w:vAlign w:val="bottom"/>
            <w:hideMark/>
          </w:tcPr>
          <w:p w14:paraId="480622B3" w14:textId="77777777" w:rsidR="00E9551F" w:rsidRPr="00C4560E" w:rsidRDefault="00E9551F" w:rsidP="00344831">
            <w:pPr>
              <w:jc w:val="center"/>
              <w:rPr>
                <w:rFonts w:asciiTheme="minorHAnsi" w:hAnsiTheme="minorHAnsi" w:cstheme="minorHAnsi"/>
                <w:sz w:val="20"/>
                <w:szCs w:val="20"/>
              </w:rPr>
            </w:pPr>
          </w:p>
        </w:tc>
      </w:tr>
      <w:tr w:rsidR="00E9551F" w:rsidRPr="00E9551F" w14:paraId="5E44A3BF" w14:textId="77777777" w:rsidTr="00344831">
        <w:trPr>
          <w:trHeight w:val="320"/>
        </w:trPr>
        <w:tc>
          <w:tcPr>
            <w:tcW w:w="4503" w:type="dxa"/>
            <w:tcBorders>
              <w:top w:val="nil"/>
              <w:left w:val="nil"/>
              <w:bottom w:val="nil"/>
              <w:right w:val="nil"/>
            </w:tcBorders>
            <w:shd w:val="clear" w:color="auto" w:fill="auto"/>
            <w:noWrap/>
            <w:vAlign w:val="bottom"/>
            <w:hideMark/>
          </w:tcPr>
          <w:p w14:paraId="4FD06FE3"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 xml:space="preserve">Ferrous </w:t>
            </w:r>
            <w:proofErr w:type="spellStart"/>
            <w:r w:rsidRPr="00C4560E">
              <w:rPr>
                <w:rFonts w:asciiTheme="minorHAnsi" w:hAnsiTheme="minorHAnsi" w:cstheme="minorHAnsi"/>
                <w:b/>
                <w:bCs/>
                <w:color w:val="000000"/>
                <w:sz w:val="20"/>
                <w:szCs w:val="20"/>
              </w:rPr>
              <w:t>Bisglycinate</w:t>
            </w:r>
            <w:proofErr w:type="spellEnd"/>
          </w:p>
        </w:tc>
        <w:tc>
          <w:tcPr>
            <w:tcW w:w="1026" w:type="dxa"/>
            <w:tcBorders>
              <w:top w:val="nil"/>
              <w:left w:val="nil"/>
              <w:bottom w:val="nil"/>
              <w:right w:val="nil"/>
            </w:tcBorders>
            <w:shd w:val="clear" w:color="auto" w:fill="auto"/>
            <w:noWrap/>
            <w:vAlign w:val="bottom"/>
            <w:hideMark/>
          </w:tcPr>
          <w:p w14:paraId="0A6131E8"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1</w:t>
            </w:r>
          </w:p>
        </w:tc>
        <w:tc>
          <w:tcPr>
            <w:tcW w:w="1275" w:type="dxa"/>
            <w:tcBorders>
              <w:top w:val="nil"/>
              <w:left w:val="nil"/>
              <w:bottom w:val="nil"/>
              <w:right w:val="nil"/>
            </w:tcBorders>
            <w:shd w:val="clear" w:color="auto" w:fill="auto"/>
            <w:noWrap/>
            <w:vAlign w:val="bottom"/>
            <w:hideMark/>
          </w:tcPr>
          <w:p w14:paraId="4DC44DF9"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1</w:t>
            </w:r>
          </w:p>
        </w:tc>
        <w:tc>
          <w:tcPr>
            <w:tcW w:w="1276" w:type="dxa"/>
            <w:tcBorders>
              <w:top w:val="nil"/>
              <w:left w:val="nil"/>
              <w:bottom w:val="nil"/>
              <w:right w:val="nil"/>
            </w:tcBorders>
            <w:shd w:val="clear" w:color="auto" w:fill="auto"/>
            <w:noWrap/>
            <w:vAlign w:val="bottom"/>
            <w:hideMark/>
          </w:tcPr>
          <w:p w14:paraId="7EF0283D" w14:textId="77777777" w:rsidR="00E9551F" w:rsidRPr="00C4560E" w:rsidRDefault="00E9551F" w:rsidP="00344831">
            <w:pPr>
              <w:jc w:val="center"/>
              <w:rPr>
                <w:rFonts w:asciiTheme="minorHAnsi" w:hAnsiTheme="minorHAnsi" w:cstheme="minorHAnsi"/>
                <w:color w:val="000000"/>
                <w:sz w:val="20"/>
                <w:szCs w:val="20"/>
              </w:rPr>
            </w:pPr>
          </w:p>
        </w:tc>
      </w:tr>
      <w:tr w:rsidR="00E9551F" w:rsidRPr="00E9551F" w14:paraId="4FCCA4BB" w14:textId="77777777" w:rsidTr="00344831">
        <w:trPr>
          <w:trHeight w:val="320"/>
        </w:trPr>
        <w:tc>
          <w:tcPr>
            <w:tcW w:w="4503" w:type="dxa"/>
            <w:tcBorders>
              <w:top w:val="nil"/>
              <w:left w:val="nil"/>
              <w:bottom w:val="nil"/>
              <w:right w:val="nil"/>
            </w:tcBorders>
            <w:shd w:val="clear" w:color="auto" w:fill="auto"/>
            <w:noWrap/>
            <w:vAlign w:val="bottom"/>
            <w:hideMark/>
          </w:tcPr>
          <w:p w14:paraId="0A4AAC55"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Ferric Phosphate</w:t>
            </w:r>
          </w:p>
        </w:tc>
        <w:tc>
          <w:tcPr>
            <w:tcW w:w="1026" w:type="dxa"/>
            <w:tcBorders>
              <w:top w:val="nil"/>
              <w:left w:val="nil"/>
              <w:bottom w:val="nil"/>
              <w:right w:val="nil"/>
            </w:tcBorders>
            <w:shd w:val="clear" w:color="auto" w:fill="auto"/>
            <w:noWrap/>
            <w:vAlign w:val="bottom"/>
            <w:hideMark/>
          </w:tcPr>
          <w:p w14:paraId="6DC1F977" w14:textId="77777777" w:rsidR="00E9551F" w:rsidRPr="00C4560E" w:rsidRDefault="00E9551F" w:rsidP="00344831">
            <w:pPr>
              <w:jc w:val="center"/>
              <w:rPr>
                <w:rFonts w:asciiTheme="minorHAnsi" w:hAnsiTheme="minorHAnsi" w:cstheme="minorHAnsi"/>
                <w:b/>
                <w:bCs/>
                <w:color w:val="000000"/>
                <w:sz w:val="20"/>
                <w:szCs w:val="20"/>
              </w:rPr>
            </w:pPr>
          </w:p>
        </w:tc>
        <w:tc>
          <w:tcPr>
            <w:tcW w:w="1275" w:type="dxa"/>
            <w:tcBorders>
              <w:top w:val="nil"/>
              <w:left w:val="nil"/>
              <w:bottom w:val="nil"/>
              <w:right w:val="nil"/>
            </w:tcBorders>
            <w:shd w:val="clear" w:color="auto" w:fill="auto"/>
            <w:noWrap/>
            <w:vAlign w:val="bottom"/>
            <w:hideMark/>
          </w:tcPr>
          <w:p w14:paraId="458C3A19"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1</w:t>
            </w:r>
          </w:p>
        </w:tc>
        <w:tc>
          <w:tcPr>
            <w:tcW w:w="1276" w:type="dxa"/>
            <w:tcBorders>
              <w:top w:val="nil"/>
              <w:left w:val="nil"/>
              <w:bottom w:val="nil"/>
              <w:right w:val="nil"/>
            </w:tcBorders>
            <w:shd w:val="clear" w:color="auto" w:fill="auto"/>
            <w:noWrap/>
            <w:vAlign w:val="bottom"/>
            <w:hideMark/>
          </w:tcPr>
          <w:p w14:paraId="2F9DB244" w14:textId="77777777" w:rsidR="00E9551F" w:rsidRPr="00C4560E" w:rsidRDefault="00E9551F" w:rsidP="00344831">
            <w:pPr>
              <w:jc w:val="center"/>
              <w:rPr>
                <w:rFonts w:asciiTheme="minorHAnsi" w:hAnsiTheme="minorHAnsi" w:cstheme="minorHAnsi"/>
                <w:color w:val="000000"/>
                <w:sz w:val="20"/>
                <w:szCs w:val="20"/>
              </w:rPr>
            </w:pPr>
          </w:p>
        </w:tc>
      </w:tr>
      <w:tr w:rsidR="00E9551F" w:rsidRPr="00E9551F" w14:paraId="4432DC5C" w14:textId="77777777" w:rsidTr="00344831">
        <w:trPr>
          <w:trHeight w:val="320"/>
        </w:trPr>
        <w:tc>
          <w:tcPr>
            <w:tcW w:w="4503" w:type="dxa"/>
            <w:tcBorders>
              <w:top w:val="nil"/>
              <w:left w:val="nil"/>
              <w:bottom w:val="nil"/>
              <w:right w:val="nil"/>
            </w:tcBorders>
            <w:shd w:val="clear" w:color="auto" w:fill="auto"/>
            <w:noWrap/>
            <w:vAlign w:val="bottom"/>
            <w:hideMark/>
          </w:tcPr>
          <w:p w14:paraId="78D88574"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Ferric Hydroxide</w:t>
            </w:r>
          </w:p>
        </w:tc>
        <w:tc>
          <w:tcPr>
            <w:tcW w:w="1026" w:type="dxa"/>
            <w:tcBorders>
              <w:top w:val="nil"/>
              <w:left w:val="nil"/>
              <w:bottom w:val="nil"/>
              <w:right w:val="nil"/>
            </w:tcBorders>
            <w:shd w:val="clear" w:color="auto" w:fill="auto"/>
            <w:noWrap/>
            <w:vAlign w:val="bottom"/>
            <w:hideMark/>
          </w:tcPr>
          <w:p w14:paraId="2584A615" w14:textId="77777777" w:rsidR="00E9551F" w:rsidRPr="00C4560E" w:rsidRDefault="00E9551F" w:rsidP="00344831">
            <w:pPr>
              <w:jc w:val="center"/>
              <w:rPr>
                <w:rFonts w:asciiTheme="minorHAnsi" w:hAnsiTheme="minorHAnsi" w:cstheme="minorHAnsi"/>
                <w:b/>
                <w:bCs/>
                <w:color w:val="000000"/>
                <w:sz w:val="20"/>
                <w:szCs w:val="20"/>
              </w:rPr>
            </w:pPr>
          </w:p>
        </w:tc>
        <w:tc>
          <w:tcPr>
            <w:tcW w:w="1275" w:type="dxa"/>
            <w:tcBorders>
              <w:top w:val="nil"/>
              <w:left w:val="nil"/>
              <w:bottom w:val="nil"/>
              <w:right w:val="nil"/>
            </w:tcBorders>
            <w:shd w:val="clear" w:color="auto" w:fill="auto"/>
            <w:noWrap/>
            <w:vAlign w:val="bottom"/>
            <w:hideMark/>
          </w:tcPr>
          <w:p w14:paraId="6CE43FAE" w14:textId="77777777" w:rsidR="00E9551F" w:rsidRPr="00C4560E" w:rsidRDefault="00E9551F" w:rsidP="00344831">
            <w:pPr>
              <w:jc w:val="center"/>
              <w:rPr>
                <w:rFonts w:asciiTheme="minorHAnsi" w:hAnsiTheme="minorHAnsi" w:cstheme="minorHAnsi"/>
                <w:color w:val="000000"/>
                <w:sz w:val="20"/>
                <w:szCs w:val="20"/>
              </w:rPr>
            </w:pPr>
            <w:r w:rsidRPr="00C4560E">
              <w:rPr>
                <w:rFonts w:asciiTheme="minorHAnsi" w:hAnsiTheme="minorHAnsi" w:cstheme="minorHAnsi"/>
                <w:color w:val="000000"/>
                <w:sz w:val="20"/>
                <w:szCs w:val="20"/>
              </w:rPr>
              <w:t>1</w:t>
            </w:r>
          </w:p>
        </w:tc>
        <w:tc>
          <w:tcPr>
            <w:tcW w:w="1276" w:type="dxa"/>
            <w:tcBorders>
              <w:top w:val="nil"/>
              <w:left w:val="nil"/>
              <w:bottom w:val="nil"/>
              <w:right w:val="nil"/>
            </w:tcBorders>
            <w:shd w:val="clear" w:color="auto" w:fill="auto"/>
            <w:noWrap/>
            <w:vAlign w:val="bottom"/>
            <w:hideMark/>
          </w:tcPr>
          <w:p w14:paraId="0B6BDE11" w14:textId="77777777" w:rsidR="00E9551F" w:rsidRPr="00C4560E" w:rsidRDefault="00E9551F" w:rsidP="00344831">
            <w:pPr>
              <w:jc w:val="center"/>
              <w:rPr>
                <w:rFonts w:asciiTheme="minorHAnsi" w:hAnsiTheme="minorHAnsi" w:cstheme="minorHAnsi"/>
                <w:color w:val="000000"/>
                <w:sz w:val="20"/>
                <w:szCs w:val="20"/>
              </w:rPr>
            </w:pPr>
          </w:p>
        </w:tc>
      </w:tr>
      <w:tr w:rsidR="00E9551F" w:rsidRPr="00E9551F" w14:paraId="3C61361A" w14:textId="77777777" w:rsidTr="00344831">
        <w:trPr>
          <w:trHeight w:val="320"/>
        </w:trPr>
        <w:tc>
          <w:tcPr>
            <w:tcW w:w="4503" w:type="dxa"/>
            <w:tcBorders>
              <w:top w:val="nil"/>
              <w:left w:val="nil"/>
              <w:bottom w:val="nil"/>
              <w:right w:val="nil"/>
            </w:tcBorders>
            <w:shd w:val="clear" w:color="auto" w:fill="auto"/>
            <w:noWrap/>
            <w:vAlign w:val="bottom"/>
          </w:tcPr>
          <w:p w14:paraId="6E3C9960" w14:textId="77777777"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Total</w:t>
            </w:r>
          </w:p>
        </w:tc>
        <w:tc>
          <w:tcPr>
            <w:tcW w:w="1026" w:type="dxa"/>
            <w:tcBorders>
              <w:top w:val="nil"/>
              <w:left w:val="nil"/>
              <w:bottom w:val="nil"/>
              <w:right w:val="nil"/>
            </w:tcBorders>
            <w:shd w:val="clear" w:color="auto" w:fill="auto"/>
            <w:noWrap/>
            <w:vAlign w:val="bottom"/>
          </w:tcPr>
          <w:p w14:paraId="25D4DD8E"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10</w:t>
            </w:r>
          </w:p>
        </w:tc>
        <w:tc>
          <w:tcPr>
            <w:tcW w:w="1275" w:type="dxa"/>
            <w:tcBorders>
              <w:top w:val="nil"/>
              <w:left w:val="nil"/>
              <w:bottom w:val="nil"/>
              <w:right w:val="nil"/>
            </w:tcBorders>
            <w:shd w:val="clear" w:color="auto" w:fill="auto"/>
            <w:noWrap/>
            <w:vAlign w:val="bottom"/>
          </w:tcPr>
          <w:p w14:paraId="724456CA"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7</w:t>
            </w:r>
          </w:p>
        </w:tc>
        <w:tc>
          <w:tcPr>
            <w:tcW w:w="1276" w:type="dxa"/>
            <w:tcBorders>
              <w:top w:val="nil"/>
              <w:left w:val="nil"/>
              <w:bottom w:val="nil"/>
              <w:right w:val="nil"/>
            </w:tcBorders>
            <w:shd w:val="clear" w:color="auto" w:fill="auto"/>
            <w:noWrap/>
            <w:vAlign w:val="bottom"/>
          </w:tcPr>
          <w:p w14:paraId="42C28B27"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40</w:t>
            </w:r>
          </w:p>
        </w:tc>
      </w:tr>
      <w:tr w:rsidR="00E9551F" w:rsidRPr="00E9551F" w14:paraId="1E1FFB63" w14:textId="77777777" w:rsidTr="00344831">
        <w:trPr>
          <w:trHeight w:val="320"/>
        </w:trPr>
        <w:tc>
          <w:tcPr>
            <w:tcW w:w="4503" w:type="dxa"/>
            <w:tcBorders>
              <w:top w:val="nil"/>
              <w:left w:val="nil"/>
              <w:bottom w:val="nil"/>
              <w:right w:val="nil"/>
            </w:tcBorders>
            <w:shd w:val="clear" w:color="auto" w:fill="auto"/>
            <w:noWrap/>
            <w:vAlign w:val="bottom"/>
            <w:hideMark/>
          </w:tcPr>
          <w:p w14:paraId="7865629A" w14:textId="6A76340F" w:rsidR="00E9551F" w:rsidRPr="00C4560E" w:rsidRDefault="00E9551F" w:rsidP="00344831">
            <w:pP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 xml:space="preserve">Discontinued due to adverse </w:t>
            </w:r>
            <w:r w:rsidR="006C7A13" w:rsidRPr="00A451BC">
              <w:rPr>
                <w:rFonts w:asciiTheme="minorHAnsi" w:hAnsiTheme="minorHAnsi" w:cstheme="minorHAnsi"/>
                <w:b/>
                <w:bCs/>
                <w:color w:val="000000"/>
                <w:sz w:val="20"/>
                <w:szCs w:val="20"/>
              </w:rPr>
              <w:t xml:space="preserve">GI </w:t>
            </w:r>
            <w:r w:rsidRPr="00C4560E">
              <w:rPr>
                <w:rFonts w:asciiTheme="minorHAnsi" w:hAnsiTheme="minorHAnsi" w:cstheme="minorHAnsi"/>
                <w:b/>
                <w:bCs/>
                <w:color w:val="000000"/>
                <w:sz w:val="20"/>
                <w:szCs w:val="20"/>
              </w:rPr>
              <w:t>effects, n (%)</w:t>
            </w:r>
          </w:p>
        </w:tc>
        <w:tc>
          <w:tcPr>
            <w:tcW w:w="1026" w:type="dxa"/>
            <w:tcBorders>
              <w:top w:val="nil"/>
              <w:left w:val="nil"/>
              <w:bottom w:val="nil"/>
              <w:right w:val="nil"/>
            </w:tcBorders>
            <w:shd w:val="clear" w:color="auto" w:fill="auto"/>
            <w:noWrap/>
            <w:vAlign w:val="bottom"/>
            <w:hideMark/>
          </w:tcPr>
          <w:p w14:paraId="6484A202" w14:textId="2B00FB75" w:rsidR="00E9551F" w:rsidRPr="00C4560E" w:rsidRDefault="00E9551F" w:rsidP="00344831">
            <w:pPr>
              <w:jc w:val="center"/>
              <w:rPr>
                <w:rFonts w:asciiTheme="minorHAnsi" w:hAnsiTheme="minorHAnsi" w:cstheme="minorHAnsi"/>
                <w:b/>
                <w:bCs/>
                <w:color w:val="000000"/>
                <w:sz w:val="20"/>
                <w:szCs w:val="20"/>
              </w:rPr>
            </w:pPr>
            <w:r>
              <w:rPr>
                <w:rFonts w:asciiTheme="minorHAnsi" w:hAnsiTheme="minorHAnsi" w:cstheme="minorHAnsi"/>
                <w:b/>
                <w:bCs/>
                <w:color w:val="000000"/>
                <w:sz w:val="20"/>
                <w:szCs w:val="20"/>
              </w:rPr>
              <w:t>8</w:t>
            </w:r>
            <w:r w:rsidRPr="00C4560E">
              <w:rPr>
                <w:rFonts w:asciiTheme="minorHAnsi" w:hAnsiTheme="minorHAnsi" w:cstheme="minorHAnsi"/>
                <w:b/>
                <w:bCs/>
                <w:color w:val="000000"/>
                <w:sz w:val="20"/>
                <w:szCs w:val="20"/>
              </w:rPr>
              <w:t xml:space="preserve"> (</w:t>
            </w:r>
            <w:r>
              <w:rPr>
                <w:rFonts w:asciiTheme="minorHAnsi" w:hAnsiTheme="minorHAnsi" w:cstheme="minorHAnsi"/>
                <w:b/>
                <w:bCs/>
                <w:color w:val="000000"/>
                <w:sz w:val="20"/>
                <w:szCs w:val="20"/>
              </w:rPr>
              <w:t>80</w:t>
            </w:r>
            <w:r w:rsidRPr="00C4560E">
              <w:rPr>
                <w:rFonts w:asciiTheme="minorHAnsi" w:hAnsiTheme="minorHAnsi" w:cstheme="minorHAnsi"/>
                <w:b/>
                <w:bCs/>
                <w:color w:val="000000"/>
                <w:sz w:val="20"/>
                <w:szCs w:val="20"/>
              </w:rPr>
              <w:t>)</w:t>
            </w:r>
          </w:p>
        </w:tc>
        <w:tc>
          <w:tcPr>
            <w:tcW w:w="1275" w:type="dxa"/>
            <w:tcBorders>
              <w:top w:val="nil"/>
              <w:left w:val="nil"/>
              <w:bottom w:val="nil"/>
              <w:right w:val="nil"/>
            </w:tcBorders>
            <w:shd w:val="clear" w:color="auto" w:fill="auto"/>
            <w:noWrap/>
            <w:vAlign w:val="bottom"/>
            <w:hideMark/>
          </w:tcPr>
          <w:p w14:paraId="4F480E80"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5 (71)</w:t>
            </w:r>
          </w:p>
        </w:tc>
        <w:tc>
          <w:tcPr>
            <w:tcW w:w="1276" w:type="dxa"/>
            <w:tcBorders>
              <w:top w:val="nil"/>
              <w:left w:val="nil"/>
              <w:bottom w:val="nil"/>
              <w:right w:val="nil"/>
            </w:tcBorders>
            <w:shd w:val="clear" w:color="auto" w:fill="auto"/>
            <w:noWrap/>
            <w:vAlign w:val="bottom"/>
            <w:hideMark/>
          </w:tcPr>
          <w:p w14:paraId="1A61344C" w14:textId="77777777" w:rsidR="00E9551F" w:rsidRPr="00C4560E" w:rsidRDefault="00E9551F" w:rsidP="00344831">
            <w:pPr>
              <w:jc w:val="center"/>
              <w:rPr>
                <w:rFonts w:asciiTheme="minorHAnsi" w:hAnsiTheme="minorHAnsi" w:cstheme="minorHAnsi"/>
                <w:b/>
                <w:bCs/>
                <w:color w:val="000000"/>
                <w:sz w:val="20"/>
                <w:szCs w:val="20"/>
              </w:rPr>
            </w:pPr>
            <w:r w:rsidRPr="00C4560E">
              <w:rPr>
                <w:rFonts w:asciiTheme="minorHAnsi" w:hAnsiTheme="minorHAnsi" w:cstheme="minorHAnsi"/>
                <w:b/>
                <w:bCs/>
                <w:color w:val="000000"/>
                <w:sz w:val="20"/>
                <w:szCs w:val="20"/>
              </w:rPr>
              <w:t>33 (83)</w:t>
            </w:r>
          </w:p>
        </w:tc>
      </w:tr>
    </w:tbl>
    <w:p w14:paraId="4760A8D3" w14:textId="1DB6F3F3" w:rsidR="009C3D11" w:rsidRDefault="00E9551F" w:rsidP="009C3D11">
      <w:pPr>
        <w:adjustRightInd w:val="0"/>
        <w:snapToGrid w:val="0"/>
        <w:spacing w:line="360" w:lineRule="auto"/>
        <w:rPr>
          <w:rFonts w:asciiTheme="minorHAnsi" w:hAnsiTheme="minorHAnsi" w:cstheme="minorHAnsi"/>
          <w:color w:val="009193"/>
          <w:sz w:val="22"/>
          <w:szCs w:val="22"/>
        </w:rPr>
      </w:pPr>
      <w:r w:rsidRPr="00C4560E">
        <w:rPr>
          <w:rFonts w:asciiTheme="minorHAnsi" w:hAnsiTheme="minorHAnsi" w:cstheme="minorHAnsi"/>
          <w:color w:val="000000"/>
          <w:sz w:val="22"/>
          <w:szCs w:val="22"/>
        </w:rPr>
        <w:br/>
      </w:r>
    </w:p>
    <w:p w14:paraId="7C23F1B5" w14:textId="35AD2599" w:rsidR="00D7659E" w:rsidRPr="00D7659E" w:rsidRDefault="00D7659E" w:rsidP="00D7659E">
      <w:pPr>
        <w:rPr>
          <w:rFonts w:ascii="Calibri" w:hAnsi="Calibri" w:cs="Calibri"/>
          <w:sz w:val="22"/>
          <w:szCs w:val="22"/>
        </w:rPr>
      </w:pPr>
      <w:r w:rsidRPr="00D7659E">
        <w:rPr>
          <w:rFonts w:ascii="Calibri" w:hAnsi="Calibri" w:cs="Calibri"/>
          <w:b/>
          <w:bCs/>
          <w:sz w:val="22"/>
          <w:szCs w:val="22"/>
        </w:rPr>
        <w:t>Table S2</w:t>
      </w:r>
      <w:r>
        <w:rPr>
          <w:rFonts w:ascii="Calibri" w:hAnsi="Calibri" w:cs="Calibri"/>
          <w:sz w:val="22"/>
          <w:szCs w:val="22"/>
        </w:rPr>
        <w:t xml:space="preserve">. </w:t>
      </w:r>
      <w:r w:rsidRPr="00D7659E">
        <w:rPr>
          <w:rFonts w:ascii="Calibri" w:hAnsi="Calibri" w:cs="Calibri"/>
          <w:sz w:val="22"/>
          <w:szCs w:val="22"/>
        </w:rPr>
        <w:t>Multivariable linear regression model on changes in haemoglobin over the 12 week study period</w:t>
      </w:r>
    </w:p>
    <w:p w14:paraId="09FCBA4C" w14:textId="77777777" w:rsidR="00D7659E" w:rsidRPr="00D7659E" w:rsidRDefault="00D7659E" w:rsidP="00D7659E">
      <w:pPr>
        <w:rPr>
          <w:rFonts w:ascii="Calibri" w:hAnsi="Calibri" w:cs="Calibri"/>
          <w:sz w:val="22"/>
          <w:szCs w:val="22"/>
        </w:rPr>
      </w:pPr>
    </w:p>
    <w:tbl>
      <w:tblPr>
        <w:tblStyle w:val="TableGrid"/>
        <w:tblW w:w="9918" w:type="dxa"/>
        <w:tblLook w:val="04A0" w:firstRow="1" w:lastRow="0" w:firstColumn="1" w:lastColumn="0" w:noHBand="0" w:noVBand="1"/>
      </w:tblPr>
      <w:tblGrid>
        <w:gridCol w:w="1800"/>
        <w:gridCol w:w="1217"/>
        <w:gridCol w:w="1231"/>
        <w:gridCol w:w="830"/>
        <w:gridCol w:w="1438"/>
        <w:gridCol w:w="1276"/>
        <w:gridCol w:w="1134"/>
        <w:gridCol w:w="992"/>
      </w:tblGrid>
      <w:tr w:rsidR="00D7659E" w:rsidRPr="00D7659E" w14:paraId="4FA852BA" w14:textId="77777777" w:rsidTr="003E2A34">
        <w:tc>
          <w:tcPr>
            <w:tcW w:w="1800" w:type="dxa"/>
          </w:tcPr>
          <w:p w14:paraId="3F83ADBB" w14:textId="77777777" w:rsidR="00D7659E" w:rsidRPr="00D7659E" w:rsidRDefault="00D7659E" w:rsidP="003E2A34">
            <w:pPr>
              <w:rPr>
                <w:rFonts w:asciiTheme="minorHAnsi" w:hAnsiTheme="minorHAnsi" w:cstheme="minorHAnsi"/>
                <w:sz w:val="22"/>
                <w:szCs w:val="22"/>
              </w:rPr>
            </w:pPr>
          </w:p>
        </w:tc>
        <w:tc>
          <w:tcPr>
            <w:tcW w:w="1217" w:type="dxa"/>
          </w:tcPr>
          <w:p w14:paraId="39ACBAA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Estimate</w:t>
            </w:r>
          </w:p>
        </w:tc>
        <w:tc>
          <w:tcPr>
            <w:tcW w:w="1231" w:type="dxa"/>
          </w:tcPr>
          <w:p w14:paraId="3281325F"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Std. Error</w:t>
            </w:r>
          </w:p>
        </w:tc>
        <w:tc>
          <w:tcPr>
            <w:tcW w:w="830" w:type="dxa"/>
          </w:tcPr>
          <w:p w14:paraId="2176259B"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t value</w:t>
            </w:r>
          </w:p>
        </w:tc>
        <w:tc>
          <w:tcPr>
            <w:tcW w:w="1438" w:type="dxa"/>
          </w:tcPr>
          <w:p w14:paraId="4C8D5C89" w14:textId="77777777" w:rsidR="00D7659E" w:rsidRPr="00D7659E" w:rsidRDefault="00D7659E" w:rsidP="003E2A34">
            <w:pPr>
              <w:rPr>
                <w:rFonts w:asciiTheme="minorHAnsi" w:hAnsiTheme="minorHAnsi" w:cstheme="minorHAnsi"/>
                <w:sz w:val="22"/>
                <w:szCs w:val="22"/>
              </w:rPr>
            </w:pPr>
            <w:proofErr w:type="spellStart"/>
            <w:r w:rsidRPr="00D7659E">
              <w:rPr>
                <w:rFonts w:asciiTheme="minorHAnsi" w:hAnsiTheme="minorHAnsi" w:cstheme="minorHAnsi"/>
                <w:color w:val="000000" w:themeColor="text1"/>
                <w:sz w:val="22"/>
                <w:szCs w:val="22"/>
                <w:lang w:val="en-GB"/>
              </w:rPr>
              <w:t>Pr</w:t>
            </w:r>
            <w:proofErr w:type="spellEnd"/>
            <w:r w:rsidRPr="00D7659E">
              <w:rPr>
                <w:rFonts w:asciiTheme="minorHAnsi" w:hAnsiTheme="minorHAnsi" w:cstheme="minorHAnsi"/>
                <w:color w:val="000000" w:themeColor="text1"/>
                <w:sz w:val="22"/>
                <w:szCs w:val="22"/>
                <w:lang w:val="en-GB"/>
              </w:rPr>
              <w:t>(&gt;|t</w:t>
            </w:r>
            <w:proofErr w:type="gramStart"/>
            <w:r w:rsidRPr="00D7659E">
              <w:rPr>
                <w:rFonts w:asciiTheme="minorHAnsi" w:hAnsiTheme="minorHAnsi" w:cstheme="minorHAnsi"/>
                <w:color w:val="000000" w:themeColor="text1"/>
                <w:sz w:val="22"/>
                <w:szCs w:val="22"/>
                <w:lang w:val="en-GB"/>
              </w:rPr>
              <w:t xml:space="preserve">|)   </w:t>
            </w:r>
            <w:proofErr w:type="gramEnd"/>
            <w:r w:rsidRPr="00D7659E">
              <w:rPr>
                <w:rFonts w:asciiTheme="minorHAnsi" w:hAnsiTheme="minorHAnsi" w:cstheme="minorHAnsi"/>
                <w:color w:val="000000" w:themeColor="text1"/>
                <w:sz w:val="22"/>
                <w:szCs w:val="22"/>
                <w:lang w:val="en-GB"/>
              </w:rPr>
              <w:t xml:space="preserve"> </w:t>
            </w:r>
          </w:p>
        </w:tc>
        <w:tc>
          <w:tcPr>
            <w:tcW w:w="1276" w:type="dxa"/>
          </w:tcPr>
          <w:p w14:paraId="6623DA92"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OR</w:t>
            </w:r>
          </w:p>
        </w:tc>
        <w:tc>
          <w:tcPr>
            <w:tcW w:w="1134" w:type="dxa"/>
          </w:tcPr>
          <w:p w14:paraId="0884F4F9"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2.5 %       </w:t>
            </w:r>
          </w:p>
        </w:tc>
        <w:tc>
          <w:tcPr>
            <w:tcW w:w="992" w:type="dxa"/>
          </w:tcPr>
          <w:p w14:paraId="6FB6B771" w14:textId="77777777" w:rsidR="00D7659E" w:rsidRPr="00D7659E" w:rsidRDefault="00D7659E" w:rsidP="003E2A34">
            <w:pPr>
              <w:spacing w:line="360" w:lineRule="auto"/>
              <w:jc w:val="both"/>
              <w:rPr>
                <w:rFonts w:asciiTheme="minorHAnsi" w:hAnsiTheme="minorHAnsi" w:cstheme="minorHAnsi"/>
                <w:color w:val="000000" w:themeColor="text1"/>
                <w:sz w:val="22"/>
                <w:szCs w:val="22"/>
                <w:lang w:val="en-GB"/>
              </w:rPr>
            </w:pPr>
            <w:r w:rsidRPr="00D7659E">
              <w:rPr>
                <w:rFonts w:asciiTheme="minorHAnsi" w:hAnsiTheme="minorHAnsi" w:cstheme="minorHAnsi"/>
                <w:color w:val="000000" w:themeColor="text1"/>
                <w:sz w:val="22"/>
                <w:szCs w:val="22"/>
                <w:lang w:val="en-GB"/>
              </w:rPr>
              <w:t>97.5 %</w:t>
            </w:r>
          </w:p>
        </w:tc>
      </w:tr>
      <w:tr w:rsidR="00D7659E" w:rsidRPr="00D7659E" w14:paraId="668175C2" w14:textId="77777777" w:rsidTr="003E2A34">
        <w:tc>
          <w:tcPr>
            <w:tcW w:w="1800" w:type="dxa"/>
          </w:tcPr>
          <w:p w14:paraId="077A79F9"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Dose group</w:t>
            </w:r>
          </w:p>
        </w:tc>
        <w:tc>
          <w:tcPr>
            <w:tcW w:w="1217" w:type="dxa"/>
          </w:tcPr>
          <w:p w14:paraId="00A5F51E"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0.015651   </w:t>
            </w:r>
          </w:p>
        </w:tc>
        <w:tc>
          <w:tcPr>
            <w:tcW w:w="1231" w:type="dxa"/>
          </w:tcPr>
          <w:p w14:paraId="79B92117"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0.008723   </w:t>
            </w:r>
          </w:p>
        </w:tc>
        <w:tc>
          <w:tcPr>
            <w:tcW w:w="830" w:type="dxa"/>
          </w:tcPr>
          <w:p w14:paraId="4E375B1A"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1.794   </w:t>
            </w:r>
          </w:p>
        </w:tc>
        <w:tc>
          <w:tcPr>
            <w:tcW w:w="1438" w:type="dxa"/>
          </w:tcPr>
          <w:p w14:paraId="3CAEE177"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0.0817.</w:t>
            </w:r>
          </w:p>
        </w:tc>
        <w:tc>
          <w:tcPr>
            <w:tcW w:w="1276" w:type="dxa"/>
          </w:tcPr>
          <w:p w14:paraId="1C0C771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1.016</w:t>
            </w:r>
          </w:p>
        </w:tc>
        <w:tc>
          <w:tcPr>
            <w:tcW w:w="1134" w:type="dxa"/>
          </w:tcPr>
          <w:p w14:paraId="25414D34"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0.998</w:t>
            </w:r>
          </w:p>
        </w:tc>
        <w:tc>
          <w:tcPr>
            <w:tcW w:w="992" w:type="dxa"/>
          </w:tcPr>
          <w:p w14:paraId="553B7EEF"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1.034</w:t>
            </w:r>
          </w:p>
        </w:tc>
      </w:tr>
      <w:tr w:rsidR="00D7659E" w:rsidRPr="00D7659E" w14:paraId="357CE149" w14:textId="77777777" w:rsidTr="003E2A34">
        <w:tc>
          <w:tcPr>
            <w:tcW w:w="1800" w:type="dxa"/>
          </w:tcPr>
          <w:p w14:paraId="0F8F72A4"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Age</w:t>
            </w:r>
          </w:p>
        </w:tc>
        <w:tc>
          <w:tcPr>
            <w:tcW w:w="1217" w:type="dxa"/>
          </w:tcPr>
          <w:p w14:paraId="0D2DA4EB"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-0.017922   </w:t>
            </w:r>
          </w:p>
        </w:tc>
        <w:tc>
          <w:tcPr>
            <w:tcW w:w="1231" w:type="dxa"/>
          </w:tcPr>
          <w:p w14:paraId="2B1C8CB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0.013549  </w:t>
            </w:r>
          </w:p>
        </w:tc>
        <w:tc>
          <w:tcPr>
            <w:tcW w:w="830" w:type="dxa"/>
          </w:tcPr>
          <w:p w14:paraId="014EE495"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-1.323   </w:t>
            </w:r>
          </w:p>
        </w:tc>
        <w:tc>
          <w:tcPr>
            <w:tcW w:w="1438" w:type="dxa"/>
          </w:tcPr>
          <w:p w14:paraId="4AA3E00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0.1948    </w:t>
            </w:r>
          </w:p>
        </w:tc>
        <w:tc>
          <w:tcPr>
            <w:tcW w:w="1276" w:type="dxa"/>
          </w:tcPr>
          <w:p w14:paraId="0BD6335B"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0.982</w:t>
            </w:r>
          </w:p>
        </w:tc>
        <w:tc>
          <w:tcPr>
            <w:tcW w:w="1134" w:type="dxa"/>
          </w:tcPr>
          <w:p w14:paraId="337CDB9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0.966</w:t>
            </w:r>
          </w:p>
        </w:tc>
        <w:tc>
          <w:tcPr>
            <w:tcW w:w="992" w:type="dxa"/>
          </w:tcPr>
          <w:p w14:paraId="5800E5CD"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1.010</w:t>
            </w:r>
          </w:p>
        </w:tc>
      </w:tr>
      <w:tr w:rsidR="00D7659E" w:rsidRPr="00D7659E" w14:paraId="1E795163" w14:textId="77777777" w:rsidTr="003E2A34">
        <w:tc>
          <w:tcPr>
            <w:tcW w:w="1800" w:type="dxa"/>
          </w:tcPr>
          <w:p w14:paraId="12DB7202"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Baseline Hb</w:t>
            </w:r>
          </w:p>
        </w:tc>
        <w:tc>
          <w:tcPr>
            <w:tcW w:w="1217" w:type="dxa"/>
          </w:tcPr>
          <w:p w14:paraId="07B16AF5"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-0.637077   </w:t>
            </w:r>
          </w:p>
        </w:tc>
        <w:tc>
          <w:tcPr>
            <w:tcW w:w="1231" w:type="dxa"/>
          </w:tcPr>
          <w:p w14:paraId="3C60DD45"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0.120009  </w:t>
            </w:r>
          </w:p>
        </w:tc>
        <w:tc>
          <w:tcPr>
            <w:tcW w:w="830" w:type="dxa"/>
          </w:tcPr>
          <w:p w14:paraId="6B15769B"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-5.309</w:t>
            </w:r>
          </w:p>
        </w:tc>
        <w:tc>
          <w:tcPr>
            <w:tcW w:w="1438" w:type="dxa"/>
          </w:tcPr>
          <w:p w14:paraId="317410A5"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6.83e-06 ***</w:t>
            </w:r>
          </w:p>
        </w:tc>
        <w:tc>
          <w:tcPr>
            <w:tcW w:w="1276" w:type="dxa"/>
          </w:tcPr>
          <w:p w14:paraId="4CAF58FE"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0.529</w:t>
            </w:r>
          </w:p>
        </w:tc>
        <w:tc>
          <w:tcPr>
            <w:tcW w:w="1134" w:type="dxa"/>
          </w:tcPr>
          <w:p w14:paraId="7DF5D3F3"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0.414</w:t>
            </w:r>
          </w:p>
        </w:tc>
        <w:tc>
          <w:tcPr>
            <w:tcW w:w="992" w:type="dxa"/>
          </w:tcPr>
          <w:p w14:paraId="5AD0FCA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0.675</w:t>
            </w:r>
          </w:p>
        </w:tc>
      </w:tr>
      <w:tr w:rsidR="00D7659E" w:rsidRPr="00D7659E" w14:paraId="07818247" w14:textId="77777777" w:rsidTr="003E2A34">
        <w:tc>
          <w:tcPr>
            <w:tcW w:w="1800" w:type="dxa"/>
          </w:tcPr>
          <w:p w14:paraId="2F33F7B7"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Baseline BMI</w:t>
            </w:r>
          </w:p>
        </w:tc>
        <w:tc>
          <w:tcPr>
            <w:tcW w:w="1217" w:type="dxa"/>
          </w:tcPr>
          <w:p w14:paraId="77B2FC85"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0.052517   </w:t>
            </w:r>
          </w:p>
        </w:tc>
        <w:tc>
          <w:tcPr>
            <w:tcW w:w="1231" w:type="dxa"/>
          </w:tcPr>
          <w:p w14:paraId="288E80BD"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0.029795   </w:t>
            </w:r>
          </w:p>
        </w:tc>
        <w:tc>
          <w:tcPr>
            <w:tcW w:w="830" w:type="dxa"/>
          </w:tcPr>
          <w:p w14:paraId="7DEDA767"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1.763   </w:t>
            </w:r>
          </w:p>
        </w:tc>
        <w:tc>
          <w:tcPr>
            <w:tcW w:w="1438" w:type="dxa"/>
          </w:tcPr>
          <w:p w14:paraId="213C04F8"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0.0869.</w:t>
            </w:r>
          </w:p>
        </w:tc>
        <w:tc>
          <w:tcPr>
            <w:tcW w:w="1276" w:type="dxa"/>
          </w:tcPr>
          <w:p w14:paraId="16975CF6"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1.054</w:t>
            </w:r>
          </w:p>
        </w:tc>
        <w:tc>
          <w:tcPr>
            <w:tcW w:w="1134" w:type="dxa"/>
          </w:tcPr>
          <w:p w14:paraId="47D60C0E"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0.992</w:t>
            </w:r>
          </w:p>
        </w:tc>
        <w:tc>
          <w:tcPr>
            <w:tcW w:w="992" w:type="dxa"/>
          </w:tcPr>
          <w:p w14:paraId="799941E2"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1.120</w:t>
            </w:r>
          </w:p>
        </w:tc>
      </w:tr>
      <w:tr w:rsidR="00D7659E" w:rsidRPr="00D7659E" w14:paraId="654121F9" w14:textId="77777777" w:rsidTr="003E2A34">
        <w:tc>
          <w:tcPr>
            <w:tcW w:w="1800" w:type="dxa"/>
          </w:tcPr>
          <w:p w14:paraId="0E6F84FC"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Baseline SBP</w:t>
            </w:r>
          </w:p>
        </w:tc>
        <w:tc>
          <w:tcPr>
            <w:tcW w:w="1217" w:type="dxa"/>
          </w:tcPr>
          <w:p w14:paraId="674D6AF2"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0.019714   </w:t>
            </w:r>
          </w:p>
        </w:tc>
        <w:tc>
          <w:tcPr>
            <w:tcW w:w="1231" w:type="dxa"/>
          </w:tcPr>
          <w:p w14:paraId="200CB6FC"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-0.011606  </w:t>
            </w:r>
          </w:p>
        </w:tc>
        <w:tc>
          <w:tcPr>
            <w:tcW w:w="830" w:type="dxa"/>
          </w:tcPr>
          <w:p w14:paraId="22D498B2"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 xml:space="preserve">-1.699   </w:t>
            </w:r>
          </w:p>
        </w:tc>
        <w:tc>
          <w:tcPr>
            <w:tcW w:w="1438" w:type="dxa"/>
          </w:tcPr>
          <w:p w14:paraId="50F2B284"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color w:val="000000" w:themeColor="text1"/>
                <w:sz w:val="22"/>
                <w:szCs w:val="22"/>
                <w:lang w:val="en-GB"/>
              </w:rPr>
              <w:t>0.0985.</w:t>
            </w:r>
          </w:p>
        </w:tc>
        <w:tc>
          <w:tcPr>
            <w:tcW w:w="1276" w:type="dxa"/>
          </w:tcPr>
          <w:p w14:paraId="09B7413B"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0.980</w:t>
            </w:r>
          </w:p>
        </w:tc>
        <w:tc>
          <w:tcPr>
            <w:tcW w:w="1134" w:type="dxa"/>
          </w:tcPr>
          <w:p w14:paraId="564E2EA7"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0.958</w:t>
            </w:r>
          </w:p>
        </w:tc>
        <w:tc>
          <w:tcPr>
            <w:tcW w:w="992" w:type="dxa"/>
          </w:tcPr>
          <w:p w14:paraId="10609BAE" w14:textId="77777777" w:rsidR="00D7659E" w:rsidRPr="00D7659E" w:rsidRDefault="00D7659E" w:rsidP="003E2A34">
            <w:pPr>
              <w:rPr>
                <w:rFonts w:asciiTheme="minorHAnsi" w:hAnsiTheme="minorHAnsi" w:cstheme="minorHAnsi"/>
                <w:sz w:val="22"/>
                <w:szCs w:val="22"/>
              </w:rPr>
            </w:pPr>
            <w:r w:rsidRPr="00D7659E">
              <w:rPr>
                <w:rFonts w:asciiTheme="minorHAnsi" w:hAnsiTheme="minorHAnsi" w:cstheme="minorHAnsi"/>
                <w:sz w:val="22"/>
                <w:szCs w:val="22"/>
              </w:rPr>
              <w:t>1.004</w:t>
            </w:r>
          </w:p>
        </w:tc>
      </w:tr>
    </w:tbl>
    <w:p w14:paraId="0EC13D67" w14:textId="77777777" w:rsidR="00D7659E" w:rsidRPr="00D7659E" w:rsidRDefault="00D7659E" w:rsidP="00D7659E">
      <w:pPr>
        <w:rPr>
          <w:rFonts w:asciiTheme="minorHAnsi" w:hAnsiTheme="minorHAnsi" w:cstheme="minorHAnsi"/>
          <w:sz w:val="22"/>
          <w:szCs w:val="22"/>
        </w:rPr>
      </w:pPr>
    </w:p>
    <w:p w14:paraId="265D5A22" w14:textId="7950452E" w:rsidR="00D7659E" w:rsidRPr="00D7659E" w:rsidRDefault="00D7659E" w:rsidP="00D7659E">
      <w:pPr>
        <w:spacing w:line="360" w:lineRule="auto"/>
        <w:jc w:val="both"/>
        <w:rPr>
          <w:rFonts w:asciiTheme="minorHAnsi" w:hAnsiTheme="minorHAnsi" w:cstheme="minorHAnsi"/>
          <w:color w:val="000000" w:themeColor="text1"/>
          <w:sz w:val="22"/>
          <w:szCs w:val="22"/>
          <w:lang w:val="en-GB"/>
        </w:rPr>
      </w:pPr>
      <w:proofErr w:type="spellStart"/>
      <w:r w:rsidRPr="00D7659E">
        <w:rPr>
          <w:rFonts w:asciiTheme="minorHAnsi" w:hAnsiTheme="minorHAnsi" w:cstheme="minorHAnsi"/>
          <w:color w:val="000000" w:themeColor="text1"/>
          <w:sz w:val="22"/>
          <w:szCs w:val="22"/>
          <w:lang w:val="en-GB"/>
        </w:rPr>
        <w:t>Signif</w:t>
      </w:r>
      <w:proofErr w:type="spellEnd"/>
      <w:r w:rsidRPr="00D7659E">
        <w:rPr>
          <w:rFonts w:asciiTheme="minorHAnsi" w:hAnsiTheme="minorHAnsi" w:cstheme="minorHAnsi"/>
          <w:color w:val="000000" w:themeColor="text1"/>
          <w:sz w:val="22"/>
          <w:szCs w:val="22"/>
          <w:lang w:val="en-GB"/>
        </w:rPr>
        <w:t>. codes:  0 ‘***’ &lt;0.001 ‘**’ &lt;0.01 ‘*’ &lt;0.05 ‘.’ &lt;0.1. Residuals: Min = -1.</w:t>
      </w:r>
      <w:proofErr w:type="gramStart"/>
      <w:r w:rsidRPr="00D7659E">
        <w:rPr>
          <w:rFonts w:asciiTheme="minorHAnsi" w:hAnsiTheme="minorHAnsi" w:cstheme="minorHAnsi"/>
          <w:color w:val="000000" w:themeColor="text1"/>
          <w:sz w:val="22"/>
          <w:szCs w:val="22"/>
          <w:lang w:val="en-GB"/>
        </w:rPr>
        <w:t>3969 ;</w:t>
      </w:r>
      <w:proofErr w:type="gramEnd"/>
      <w:r w:rsidRPr="00D7659E">
        <w:rPr>
          <w:rFonts w:asciiTheme="minorHAnsi" w:hAnsiTheme="minorHAnsi" w:cstheme="minorHAnsi"/>
          <w:color w:val="000000" w:themeColor="text1"/>
          <w:sz w:val="22"/>
          <w:szCs w:val="22"/>
          <w:lang w:val="en-GB"/>
        </w:rPr>
        <w:t xml:space="preserve">  1Q = -0.5860;  Median = -0.1319;      3Q  = 0.5114;  Max = 1.4576.  Multiple R-squared: 0.5126, Adjusted R-squared:  0.4409, F-statistic: 7.151 on 5 and 34 </w:t>
      </w:r>
      <w:proofErr w:type="gramStart"/>
      <w:r w:rsidRPr="00D7659E">
        <w:rPr>
          <w:rFonts w:asciiTheme="minorHAnsi" w:hAnsiTheme="minorHAnsi" w:cstheme="minorHAnsi"/>
          <w:color w:val="000000" w:themeColor="text1"/>
          <w:sz w:val="22"/>
          <w:szCs w:val="22"/>
          <w:lang w:val="en-GB"/>
        </w:rPr>
        <w:t>DF,  P</w:t>
      </w:r>
      <w:proofErr w:type="gramEnd"/>
      <w:r w:rsidRPr="00D7659E">
        <w:rPr>
          <w:rFonts w:asciiTheme="minorHAnsi" w:hAnsiTheme="minorHAnsi" w:cstheme="minorHAnsi"/>
          <w:color w:val="000000" w:themeColor="text1"/>
          <w:sz w:val="22"/>
          <w:szCs w:val="22"/>
          <w:lang w:val="en-GB"/>
        </w:rPr>
        <w:t>-value: 0.0001</w:t>
      </w:r>
      <w:r>
        <w:rPr>
          <w:rFonts w:asciiTheme="minorHAnsi" w:hAnsiTheme="minorHAnsi" w:cstheme="minorHAnsi"/>
          <w:color w:val="000000" w:themeColor="text1"/>
          <w:sz w:val="22"/>
          <w:szCs w:val="22"/>
          <w:lang w:val="en-GB"/>
        </w:rPr>
        <w:t>2.</w:t>
      </w:r>
    </w:p>
    <w:p w14:paraId="6657894A" w14:textId="77777777" w:rsidR="00D7659E" w:rsidRPr="00D7659E" w:rsidRDefault="00D7659E" w:rsidP="00D7659E">
      <w:pPr>
        <w:spacing w:line="360" w:lineRule="auto"/>
        <w:jc w:val="both"/>
        <w:rPr>
          <w:rFonts w:asciiTheme="minorHAnsi" w:hAnsiTheme="minorHAnsi" w:cstheme="minorHAnsi"/>
          <w:b/>
          <w:bCs/>
          <w:color w:val="000000" w:themeColor="text1"/>
          <w:sz w:val="22"/>
          <w:szCs w:val="22"/>
          <w:lang w:val="en-GB"/>
        </w:rPr>
      </w:pPr>
    </w:p>
    <w:p w14:paraId="0EB97757" w14:textId="77777777" w:rsidR="00D7659E" w:rsidRPr="008B74E4" w:rsidRDefault="00D7659E" w:rsidP="009C3D11">
      <w:pPr>
        <w:adjustRightInd w:val="0"/>
        <w:snapToGrid w:val="0"/>
        <w:spacing w:line="360" w:lineRule="auto"/>
        <w:rPr>
          <w:rFonts w:asciiTheme="minorHAnsi" w:hAnsiTheme="minorHAnsi" w:cstheme="minorHAnsi"/>
          <w:color w:val="009193"/>
          <w:sz w:val="22"/>
          <w:szCs w:val="22"/>
        </w:rPr>
      </w:pPr>
    </w:p>
    <w:p w14:paraId="02B8EBCE" w14:textId="2BA92617" w:rsidR="001F69D3" w:rsidRPr="00F173E9" w:rsidRDefault="001F69D3" w:rsidP="001F69D3">
      <w:pPr>
        <w:spacing w:line="360" w:lineRule="auto"/>
        <w:jc w:val="center"/>
        <w:rPr>
          <w:rFonts w:asciiTheme="minorHAnsi" w:hAnsiTheme="minorHAnsi" w:cstheme="minorHAnsi"/>
          <w:color w:val="000000" w:themeColor="text1"/>
          <w:sz w:val="22"/>
          <w:szCs w:val="22"/>
          <w:lang w:val="en-GB"/>
        </w:rPr>
      </w:pPr>
      <w:r>
        <w:rPr>
          <w:rFonts w:asciiTheme="minorHAnsi" w:hAnsiTheme="minorHAnsi" w:cstheme="minorHAnsi"/>
          <w:noProof/>
          <w:color w:val="000000" w:themeColor="text1"/>
          <w:sz w:val="22"/>
          <w:szCs w:val="22"/>
          <w:lang w:val="en-GB"/>
        </w:rPr>
        <w:drawing>
          <wp:inline distT="0" distB="0" distL="0" distR="0" wp14:anchorId="5473E5CC" wp14:editId="1327031F">
            <wp:extent cx="2250718" cy="194836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rotWithShape="1">
                    <a:blip r:embed="rId6">
                      <a:extLst>
                        <a:ext uri="{28A0092B-C50C-407E-A947-70E740481C1C}">
                          <a14:useLocalDpi xmlns:a14="http://schemas.microsoft.com/office/drawing/2010/main" val="0"/>
                        </a:ext>
                      </a:extLst>
                    </a:blip>
                    <a:srcRect t="10831"/>
                    <a:stretch/>
                  </pic:blipFill>
                  <pic:spPr bwMode="auto">
                    <a:xfrm>
                      <a:off x="0" y="0"/>
                      <a:ext cx="2296027" cy="1987586"/>
                    </a:xfrm>
                    <a:prstGeom prst="rect">
                      <a:avLst/>
                    </a:prstGeom>
                    <a:ln>
                      <a:noFill/>
                    </a:ln>
                    <a:extLst>
                      <a:ext uri="{53640926-AAD7-44D8-BBD7-CCE9431645EC}">
                        <a14:shadowObscured xmlns:a14="http://schemas.microsoft.com/office/drawing/2010/main"/>
                      </a:ext>
                    </a:extLst>
                  </pic:spPr>
                </pic:pic>
              </a:graphicData>
            </a:graphic>
          </wp:inline>
        </w:drawing>
      </w:r>
    </w:p>
    <w:p w14:paraId="0B3AF2BD" w14:textId="77777777" w:rsidR="001F69D3" w:rsidRDefault="001F69D3" w:rsidP="001F69D3">
      <w:pPr>
        <w:spacing w:line="360" w:lineRule="auto"/>
        <w:jc w:val="both"/>
        <w:rPr>
          <w:rFonts w:asciiTheme="minorHAnsi" w:hAnsiTheme="minorHAnsi" w:cstheme="minorHAnsi"/>
          <w:color w:val="000000" w:themeColor="text1"/>
          <w:sz w:val="22"/>
          <w:szCs w:val="22"/>
          <w:lang w:val="en-GB"/>
        </w:rPr>
      </w:pPr>
    </w:p>
    <w:p w14:paraId="6F7EF947" w14:textId="1E3507F7" w:rsidR="001F69D3" w:rsidRDefault="001F69D3" w:rsidP="001F69D3">
      <w:pPr>
        <w:spacing w:line="360" w:lineRule="auto"/>
        <w:jc w:val="both"/>
        <w:rPr>
          <w:rFonts w:asciiTheme="minorHAnsi" w:hAnsiTheme="minorHAnsi" w:cstheme="minorHAnsi"/>
          <w:color w:val="000000" w:themeColor="text1"/>
          <w:sz w:val="22"/>
          <w:szCs w:val="22"/>
          <w:lang w:val="en-GB"/>
        </w:rPr>
      </w:pPr>
      <w:r w:rsidRPr="009146B4">
        <w:rPr>
          <w:rFonts w:asciiTheme="minorHAnsi" w:hAnsiTheme="minorHAnsi" w:cstheme="minorHAnsi"/>
          <w:b/>
          <w:bCs/>
          <w:color w:val="000000" w:themeColor="text1"/>
          <w:sz w:val="22"/>
          <w:szCs w:val="22"/>
          <w:lang w:val="en-GB"/>
        </w:rPr>
        <w:t xml:space="preserve">Figure </w:t>
      </w:r>
      <w:r>
        <w:rPr>
          <w:rFonts w:asciiTheme="minorHAnsi" w:hAnsiTheme="minorHAnsi" w:cstheme="minorHAnsi"/>
          <w:b/>
          <w:bCs/>
          <w:color w:val="000000" w:themeColor="text1"/>
          <w:sz w:val="22"/>
          <w:szCs w:val="22"/>
          <w:lang w:val="en-GB"/>
        </w:rPr>
        <w:t>S</w:t>
      </w:r>
      <w:r w:rsidRPr="009146B4">
        <w:rPr>
          <w:rFonts w:asciiTheme="minorHAnsi" w:hAnsiTheme="minorHAnsi" w:cstheme="minorHAnsi"/>
          <w:b/>
          <w:bCs/>
          <w:color w:val="000000" w:themeColor="text1"/>
          <w:sz w:val="22"/>
          <w:szCs w:val="22"/>
          <w:lang w:val="en-GB"/>
        </w:rPr>
        <w:t>1</w:t>
      </w:r>
      <w:r>
        <w:rPr>
          <w:rFonts w:asciiTheme="minorHAnsi" w:hAnsiTheme="minorHAnsi" w:cstheme="minorHAnsi"/>
          <w:color w:val="000000" w:themeColor="text1"/>
          <w:sz w:val="22"/>
          <w:szCs w:val="22"/>
          <w:lang w:val="en-GB"/>
        </w:rPr>
        <w:t xml:space="preserve">. Median adherence (medication-possession-ratio) per dose group taking IWP over the study period. </w:t>
      </w:r>
      <w:r w:rsidR="000B32CB">
        <w:rPr>
          <w:rFonts w:asciiTheme="minorHAnsi" w:hAnsiTheme="minorHAnsi" w:cstheme="minorHAnsi"/>
          <w:color w:val="000000" w:themeColor="text1"/>
          <w:sz w:val="22"/>
          <w:szCs w:val="22"/>
          <w:lang w:val="en-GB"/>
        </w:rPr>
        <w:t>There was no difference between the three dose groups</w:t>
      </w:r>
      <w:r w:rsidR="0016055E">
        <w:rPr>
          <w:rFonts w:asciiTheme="minorHAnsi" w:hAnsiTheme="minorHAnsi" w:cstheme="minorHAnsi"/>
          <w:color w:val="000000" w:themeColor="text1"/>
          <w:sz w:val="22"/>
          <w:szCs w:val="22"/>
          <w:lang w:val="en-GB"/>
        </w:rPr>
        <w:t>; 95.0% (81.6, 100.4) 14 mg daily dose group; 100.6</w:t>
      </w:r>
      <w:proofErr w:type="gramStart"/>
      <w:r w:rsidR="0016055E">
        <w:rPr>
          <w:rFonts w:asciiTheme="minorHAnsi" w:hAnsiTheme="minorHAnsi" w:cstheme="minorHAnsi"/>
          <w:color w:val="000000" w:themeColor="text1"/>
          <w:sz w:val="22"/>
          <w:szCs w:val="22"/>
          <w:lang w:val="en-GB"/>
        </w:rPr>
        <w:t>%(</w:t>
      </w:r>
      <w:proofErr w:type="gramEnd"/>
      <w:r w:rsidR="0016055E">
        <w:rPr>
          <w:rFonts w:asciiTheme="minorHAnsi" w:hAnsiTheme="minorHAnsi" w:cstheme="minorHAnsi"/>
          <w:color w:val="000000" w:themeColor="text1"/>
          <w:sz w:val="22"/>
          <w:szCs w:val="22"/>
          <w:lang w:val="en-GB"/>
        </w:rPr>
        <w:t>96.1, 103.0) 25mg daily dose group; 95.8% (82.9, 98.5) 50mg daily dose group,</w:t>
      </w:r>
      <w:r w:rsidR="000B32CB">
        <w:rPr>
          <w:rFonts w:asciiTheme="minorHAnsi" w:hAnsiTheme="minorHAnsi" w:cstheme="minorHAnsi"/>
          <w:color w:val="000000" w:themeColor="text1"/>
          <w:sz w:val="22"/>
          <w:szCs w:val="22"/>
          <w:lang w:val="en-GB"/>
        </w:rPr>
        <w:t xml:space="preserve"> </w:t>
      </w:r>
      <w:r w:rsidR="009C5827">
        <w:rPr>
          <w:rFonts w:asciiTheme="minorHAnsi" w:hAnsiTheme="minorHAnsi" w:cstheme="minorHAnsi"/>
          <w:color w:val="000000" w:themeColor="text1"/>
          <w:sz w:val="22"/>
          <w:szCs w:val="22"/>
          <w:lang w:val="en-GB"/>
        </w:rPr>
        <w:t>(Kruskal-Wallis test,</w:t>
      </w:r>
      <w:r w:rsidR="0016055E">
        <w:rPr>
          <w:rFonts w:asciiTheme="minorHAnsi" w:hAnsiTheme="minorHAnsi" w:cstheme="minorHAnsi"/>
          <w:color w:val="000000" w:themeColor="text1"/>
          <w:sz w:val="22"/>
          <w:szCs w:val="22"/>
          <w:lang w:val="en-GB"/>
        </w:rPr>
        <w:t xml:space="preserve"> </w:t>
      </w:r>
      <w:r w:rsidR="009C5827">
        <w:rPr>
          <w:rFonts w:asciiTheme="minorHAnsi" w:hAnsiTheme="minorHAnsi" w:cstheme="minorHAnsi"/>
          <w:color w:val="000000" w:themeColor="text1"/>
          <w:sz w:val="22"/>
          <w:szCs w:val="22"/>
          <w:lang w:val="en-GB"/>
        </w:rPr>
        <w:t xml:space="preserve">P=0.077). </w:t>
      </w:r>
      <w:r>
        <w:rPr>
          <w:rFonts w:asciiTheme="minorHAnsi" w:hAnsiTheme="minorHAnsi" w:cstheme="minorHAnsi"/>
          <w:color w:val="000000" w:themeColor="text1"/>
          <w:sz w:val="22"/>
          <w:szCs w:val="22"/>
          <w:lang w:val="en-GB"/>
        </w:rPr>
        <w:t>Abbreviation: IWP= iron-whey-protein formulation.</w:t>
      </w:r>
    </w:p>
    <w:p w14:paraId="752E079A" w14:textId="49ACF081" w:rsidR="00CF2989" w:rsidRDefault="00CF2989">
      <w:pPr>
        <w:rPr>
          <w:rFonts w:asciiTheme="minorHAnsi" w:hAnsiTheme="minorHAnsi" w:cstheme="minorHAnsi"/>
          <w:b/>
          <w:bCs/>
          <w:color w:val="000000" w:themeColor="text1"/>
          <w:sz w:val="22"/>
          <w:szCs w:val="22"/>
          <w:lang w:val="en-GB"/>
        </w:rPr>
      </w:pPr>
      <w:r>
        <w:rPr>
          <w:rFonts w:asciiTheme="minorHAnsi" w:hAnsiTheme="minorHAnsi" w:cstheme="minorHAnsi"/>
          <w:b/>
          <w:bCs/>
          <w:color w:val="000000" w:themeColor="text1"/>
          <w:sz w:val="22"/>
          <w:szCs w:val="22"/>
          <w:lang w:val="en-GB"/>
        </w:rPr>
        <w:br w:type="page"/>
      </w:r>
    </w:p>
    <w:p w14:paraId="0A93648D" w14:textId="77777777" w:rsidR="001F69D3" w:rsidRDefault="001F69D3" w:rsidP="001F69D3">
      <w:pPr>
        <w:spacing w:line="360" w:lineRule="auto"/>
        <w:jc w:val="both"/>
        <w:rPr>
          <w:rFonts w:asciiTheme="minorHAnsi" w:hAnsiTheme="minorHAnsi" w:cstheme="minorHAnsi"/>
          <w:b/>
          <w:bCs/>
          <w:color w:val="000000" w:themeColor="text1"/>
          <w:sz w:val="22"/>
          <w:szCs w:val="22"/>
          <w:lang w:val="en-GB"/>
        </w:rPr>
      </w:pPr>
    </w:p>
    <w:p w14:paraId="01E68261" w14:textId="77777777" w:rsidR="001F69D3" w:rsidRDefault="001F69D3" w:rsidP="001F69D3">
      <w:pPr>
        <w:spacing w:line="360" w:lineRule="auto"/>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A</w:t>
      </w:r>
      <w:r>
        <w:rPr>
          <w:rFonts w:asciiTheme="minorHAnsi" w:hAnsiTheme="minorHAnsi" w:cstheme="minorHAnsi"/>
          <w:color w:val="000000" w:themeColor="text1"/>
          <w:sz w:val="22"/>
          <w:szCs w:val="22"/>
          <w:lang w:val="en-GB"/>
        </w:rPr>
        <w:tab/>
      </w:r>
      <w:r>
        <w:rPr>
          <w:rFonts w:asciiTheme="minorHAnsi" w:hAnsiTheme="minorHAnsi" w:cstheme="minorHAnsi"/>
          <w:color w:val="000000" w:themeColor="text1"/>
          <w:sz w:val="22"/>
          <w:szCs w:val="22"/>
          <w:lang w:val="en-GB"/>
        </w:rPr>
        <w:tab/>
      </w:r>
      <w:r>
        <w:rPr>
          <w:rFonts w:asciiTheme="minorHAnsi" w:hAnsiTheme="minorHAnsi" w:cstheme="minorHAnsi"/>
          <w:color w:val="000000" w:themeColor="text1"/>
          <w:sz w:val="22"/>
          <w:szCs w:val="22"/>
          <w:lang w:val="en-GB"/>
        </w:rPr>
        <w:tab/>
      </w:r>
      <w:r>
        <w:rPr>
          <w:rFonts w:asciiTheme="minorHAnsi" w:hAnsiTheme="minorHAnsi" w:cstheme="minorHAnsi"/>
          <w:color w:val="000000" w:themeColor="text1"/>
          <w:sz w:val="22"/>
          <w:szCs w:val="22"/>
          <w:lang w:val="en-GB"/>
        </w:rPr>
        <w:tab/>
      </w:r>
      <w:r>
        <w:rPr>
          <w:rFonts w:asciiTheme="minorHAnsi" w:hAnsiTheme="minorHAnsi" w:cstheme="minorHAnsi"/>
          <w:color w:val="000000" w:themeColor="text1"/>
          <w:sz w:val="22"/>
          <w:szCs w:val="22"/>
          <w:lang w:val="en-GB"/>
        </w:rPr>
        <w:tab/>
      </w:r>
      <w:r>
        <w:rPr>
          <w:rFonts w:asciiTheme="minorHAnsi" w:hAnsiTheme="minorHAnsi" w:cstheme="minorHAnsi"/>
          <w:color w:val="000000" w:themeColor="text1"/>
          <w:sz w:val="22"/>
          <w:szCs w:val="22"/>
          <w:lang w:val="en-GB"/>
        </w:rPr>
        <w:tab/>
      </w:r>
      <w:r>
        <w:rPr>
          <w:rFonts w:asciiTheme="minorHAnsi" w:hAnsiTheme="minorHAnsi" w:cstheme="minorHAnsi"/>
          <w:color w:val="000000" w:themeColor="text1"/>
          <w:sz w:val="22"/>
          <w:szCs w:val="22"/>
          <w:lang w:val="en-GB"/>
        </w:rPr>
        <w:tab/>
        <w:t>B</w:t>
      </w:r>
    </w:p>
    <w:p w14:paraId="03247837" w14:textId="77777777" w:rsidR="001F69D3" w:rsidRDefault="001F69D3" w:rsidP="001F69D3">
      <w:pPr>
        <w:spacing w:line="360" w:lineRule="auto"/>
        <w:jc w:val="both"/>
        <w:rPr>
          <w:rFonts w:asciiTheme="minorHAnsi" w:hAnsiTheme="minorHAnsi" w:cstheme="minorHAnsi"/>
          <w:color w:val="000000" w:themeColor="text1"/>
          <w:sz w:val="22"/>
          <w:szCs w:val="22"/>
          <w:lang w:val="en-GB"/>
        </w:rPr>
      </w:pPr>
    </w:p>
    <w:p w14:paraId="29249992" w14:textId="77777777" w:rsidR="001F69D3" w:rsidRDefault="001F69D3" w:rsidP="001F69D3">
      <w:pPr>
        <w:spacing w:line="360" w:lineRule="auto"/>
        <w:jc w:val="center"/>
        <w:rPr>
          <w:rFonts w:asciiTheme="minorHAnsi" w:hAnsiTheme="minorHAnsi" w:cstheme="minorHAnsi"/>
          <w:color w:val="000000" w:themeColor="text1"/>
          <w:sz w:val="22"/>
          <w:szCs w:val="22"/>
          <w:lang w:val="en-GB"/>
        </w:rPr>
      </w:pPr>
      <w:r>
        <w:rPr>
          <w:rFonts w:asciiTheme="minorHAnsi" w:hAnsiTheme="minorHAnsi" w:cstheme="minorHAnsi"/>
          <w:noProof/>
          <w:color w:val="000000" w:themeColor="text1"/>
          <w:sz w:val="22"/>
          <w:szCs w:val="22"/>
          <w:lang w:val="en-GB"/>
        </w:rPr>
        <w:drawing>
          <wp:inline distT="0" distB="0" distL="0" distR="0" wp14:anchorId="251FB101" wp14:editId="4BD63A52">
            <wp:extent cx="2195779" cy="2230452"/>
            <wp:effectExtent l="0" t="0" r="1905"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7">
                      <a:extLst>
                        <a:ext uri="{28A0092B-C50C-407E-A947-70E740481C1C}">
                          <a14:useLocalDpi xmlns:a14="http://schemas.microsoft.com/office/drawing/2010/main" val="0"/>
                        </a:ext>
                      </a:extLst>
                    </a:blip>
                    <a:srcRect t="-1" b="2484"/>
                    <a:stretch/>
                  </pic:blipFill>
                  <pic:spPr bwMode="auto">
                    <a:xfrm>
                      <a:off x="0" y="0"/>
                      <a:ext cx="2202864" cy="2237649"/>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noProof/>
          <w:color w:val="000000" w:themeColor="text1"/>
          <w:sz w:val="22"/>
          <w:szCs w:val="22"/>
          <w:lang w:val="en-GB"/>
        </w:rPr>
        <w:drawing>
          <wp:inline distT="0" distB="0" distL="0" distR="0" wp14:anchorId="74883626" wp14:editId="28925242">
            <wp:extent cx="2298818" cy="2307492"/>
            <wp:effectExtent l="0" t="0" r="0"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8">
                      <a:extLst>
                        <a:ext uri="{28A0092B-C50C-407E-A947-70E740481C1C}">
                          <a14:useLocalDpi xmlns:a14="http://schemas.microsoft.com/office/drawing/2010/main" val="0"/>
                        </a:ext>
                      </a:extLst>
                    </a:blip>
                    <a:stretch>
                      <a:fillRect/>
                    </a:stretch>
                  </pic:blipFill>
                  <pic:spPr>
                    <a:xfrm>
                      <a:off x="0" y="0"/>
                      <a:ext cx="2334798" cy="2343607"/>
                    </a:xfrm>
                    <a:prstGeom prst="rect">
                      <a:avLst/>
                    </a:prstGeom>
                  </pic:spPr>
                </pic:pic>
              </a:graphicData>
            </a:graphic>
          </wp:inline>
        </w:drawing>
      </w:r>
    </w:p>
    <w:p w14:paraId="7C243A5E" w14:textId="18577D13" w:rsidR="001F69D3" w:rsidRDefault="001F69D3" w:rsidP="001F69D3">
      <w:pPr>
        <w:spacing w:line="360" w:lineRule="auto"/>
        <w:jc w:val="both"/>
        <w:rPr>
          <w:rFonts w:asciiTheme="minorHAnsi" w:hAnsiTheme="minorHAnsi" w:cstheme="minorHAnsi"/>
          <w:color w:val="000000" w:themeColor="text1"/>
          <w:sz w:val="22"/>
          <w:szCs w:val="22"/>
          <w:lang w:val="en-GB"/>
        </w:rPr>
      </w:pPr>
      <w:r w:rsidRPr="009146B4">
        <w:rPr>
          <w:rFonts w:asciiTheme="minorHAnsi" w:hAnsiTheme="minorHAnsi" w:cstheme="minorHAnsi"/>
          <w:b/>
          <w:bCs/>
          <w:color w:val="000000" w:themeColor="text1"/>
          <w:sz w:val="22"/>
          <w:szCs w:val="22"/>
          <w:lang w:val="en-GB"/>
        </w:rPr>
        <w:t xml:space="preserve">Figure </w:t>
      </w:r>
      <w:r>
        <w:rPr>
          <w:rFonts w:asciiTheme="minorHAnsi" w:hAnsiTheme="minorHAnsi" w:cstheme="minorHAnsi"/>
          <w:b/>
          <w:bCs/>
          <w:color w:val="000000" w:themeColor="text1"/>
          <w:sz w:val="22"/>
          <w:szCs w:val="22"/>
          <w:lang w:val="en-GB"/>
        </w:rPr>
        <w:t>S</w:t>
      </w:r>
      <w:r w:rsidRPr="009146B4">
        <w:rPr>
          <w:rFonts w:asciiTheme="minorHAnsi" w:hAnsiTheme="minorHAnsi" w:cstheme="minorHAnsi"/>
          <w:b/>
          <w:bCs/>
          <w:color w:val="000000" w:themeColor="text1"/>
          <w:sz w:val="22"/>
          <w:szCs w:val="22"/>
          <w:lang w:val="en-GB"/>
        </w:rPr>
        <w:t>2</w:t>
      </w:r>
      <w:r>
        <w:rPr>
          <w:rFonts w:asciiTheme="minorHAnsi" w:hAnsiTheme="minorHAnsi" w:cstheme="minorHAnsi"/>
          <w:color w:val="000000" w:themeColor="text1"/>
          <w:sz w:val="22"/>
          <w:szCs w:val="22"/>
          <w:lang w:val="en-GB"/>
        </w:rPr>
        <w:t>. The overall Gastrointestinal Symptom Rating Score (GSRS) for other (previous) oral iron product (black circle) and for IWP over the course of the study (A, all P&lt;0.001 versus previous oral iron product) and (B) the average GSRS data by dose group (ANOVA P=</w:t>
      </w:r>
      <w:r w:rsidR="00844F75">
        <w:rPr>
          <w:rFonts w:asciiTheme="minorHAnsi" w:hAnsiTheme="minorHAnsi" w:cstheme="minorHAnsi"/>
          <w:color w:val="000000" w:themeColor="text1"/>
          <w:sz w:val="22"/>
          <w:szCs w:val="22"/>
          <w:lang w:val="en-GB"/>
        </w:rPr>
        <w:t>0.79</w:t>
      </w:r>
      <w:r>
        <w:rPr>
          <w:rFonts w:asciiTheme="minorHAnsi" w:hAnsiTheme="minorHAnsi" w:cstheme="minorHAnsi"/>
          <w:color w:val="000000" w:themeColor="text1"/>
          <w:sz w:val="22"/>
          <w:szCs w:val="22"/>
          <w:lang w:val="en-GB"/>
        </w:rPr>
        <w:t xml:space="preserve">) amongst 59 women with a history of intolerance to oral iron. An GSRS gut symptom score of 15 is a perfect GSRS score reflecting no adverse GI symptoms. Overall, </w:t>
      </w:r>
      <w:r w:rsidR="0024303B">
        <w:rPr>
          <w:rFonts w:asciiTheme="minorHAnsi" w:hAnsiTheme="minorHAnsi" w:cstheme="minorHAnsi"/>
          <w:color w:val="000000" w:themeColor="text1"/>
          <w:sz w:val="22"/>
          <w:szCs w:val="22"/>
          <w:lang w:val="en-GB"/>
        </w:rPr>
        <w:t>women</w:t>
      </w:r>
      <w:r>
        <w:rPr>
          <w:rFonts w:asciiTheme="minorHAnsi" w:hAnsiTheme="minorHAnsi" w:cstheme="minorHAnsi"/>
          <w:color w:val="000000" w:themeColor="text1"/>
          <w:sz w:val="22"/>
          <w:szCs w:val="22"/>
          <w:lang w:val="en-GB"/>
        </w:rPr>
        <w:t xml:space="preserve"> were 4.0 (95%CI 2.3 to 7.0, P&lt;0.0001) more likely to experience constipation and 3.2 (95%CI 1.7 to 6.2, P=0.0002) more likely to experience abdominal pain with the prior oral iron product than with IWP.</w:t>
      </w:r>
    </w:p>
    <w:p w14:paraId="14E01386" w14:textId="77777777" w:rsidR="001F69D3" w:rsidRDefault="001F69D3" w:rsidP="001F69D3">
      <w:pPr>
        <w:spacing w:line="360" w:lineRule="auto"/>
        <w:jc w:val="both"/>
        <w:rPr>
          <w:rFonts w:asciiTheme="minorHAnsi" w:hAnsiTheme="minorHAnsi" w:cstheme="minorHAnsi"/>
          <w:color w:val="000000" w:themeColor="text1"/>
          <w:sz w:val="22"/>
          <w:szCs w:val="22"/>
          <w:lang w:val="en-GB"/>
        </w:rPr>
      </w:pPr>
    </w:p>
    <w:p w14:paraId="7359BA64" w14:textId="77777777" w:rsidR="001F69D3" w:rsidRDefault="001F69D3" w:rsidP="001F69D3">
      <w:pPr>
        <w:spacing w:line="360" w:lineRule="auto"/>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 xml:space="preserve">Abbreviations: IWP= iron-whey-protein formulation; GSRS=Gastrointestinal Symptom Rating Scale gut symptoms score. </w:t>
      </w:r>
    </w:p>
    <w:p w14:paraId="567C2C30" w14:textId="77777777" w:rsidR="00F5161B" w:rsidRDefault="00F5161B" w:rsidP="00F5161B">
      <w:pPr>
        <w:spacing w:line="360" w:lineRule="auto"/>
        <w:jc w:val="both"/>
        <w:rPr>
          <w:rFonts w:asciiTheme="minorHAnsi" w:hAnsiTheme="minorHAnsi" w:cstheme="minorHAnsi"/>
          <w:color w:val="000000" w:themeColor="text1"/>
          <w:sz w:val="22"/>
          <w:szCs w:val="22"/>
          <w:lang w:val="en-GB"/>
        </w:rPr>
      </w:pPr>
    </w:p>
    <w:p w14:paraId="603D8082" w14:textId="69EBEE76" w:rsidR="00F5161B" w:rsidRDefault="00F5161B" w:rsidP="00F5161B">
      <w:pPr>
        <w:spacing w:line="360" w:lineRule="auto"/>
        <w:jc w:val="both"/>
        <w:rPr>
          <w:rFonts w:asciiTheme="minorHAnsi" w:hAnsiTheme="minorHAnsi" w:cstheme="minorHAnsi"/>
          <w:color w:val="000000" w:themeColor="text1"/>
          <w:sz w:val="22"/>
          <w:szCs w:val="22"/>
          <w:lang w:val="en-GB"/>
        </w:rPr>
      </w:pPr>
      <w:r>
        <w:rPr>
          <w:rFonts w:asciiTheme="minorHAnsi" w:hAnsiTheme="minorHAnsi" w:cstheme="minorHAnsi"/>
          <w:b/>
          <w:bCs/>
          <w:color w:val="000000" w:themeColor="text1"/>
          <w:sz w:val="22"/>
          <w:szCs w:val="22"/>
          <w:lang w:val="en-GB"/>
        </w:rPr>
        <w:t xml:space="preserve">Additional Details on </w:t>
      </w:r>
      <w:r w:rsidRPr="00F173E9">
        <w:rPr>
          <w:rFonts w:asciiTheme="minorHAnsi" w:hAnsiTheme="minorHAnsi" w:cstheme="minorHAnsi"/>
          <w:b/>
          <w:bCs/>
          <w:color w:val="000000" w:themeColor="text1"/>
          <w:sz w:val="22"/>
          <w:szCs w:val="22"/>
          <w:lang w:val="en-GB"/>
        </w:rPr>
        <w:t xml:space="preserve">Elicited Adverse Gastrointestinal Effects </w:t>
      </w:r>
      <w:r w:rsidR="00E72EA7">
        <w:rPr>
          <w:rFonts w:asciiTheme="minorHAnsi" w:hAnsiTheme="minorHAnsi" w:cstheme="minorHAnsi"/>
          <w:b/>
          <w:bCs/>
          <w:color w:val="000000" w:themeColor="text1"/>
          <w:sz w:val="22"/>
          <w:szCs w:val="22"/>
          <w:lang w:val="en-GB"/>
        </w:rPr>
        <w:t xml:space="preserve">and Gastrointestinal Symptom Rating Scale </w:t>
      </w:r>
    </w:p>
    <w:p w14:paraId="38B0E87D" w14:textId="36FC61EB" w:rsidR="00F5161B" w:rsidRDefault="00F5161B" w:rsidP="00F5161B">
      <w:pPr>
        <w:spacing w:line="360" w:lineRule="auto"/>
        <w:jc w:val="both"/>
        <w:rPr>
          <w:rFonts w:asciiTheme="minorHAnsi" w:hAnsiTheme="minorHAnsi" w:cstheme="minorHAnsi"/>
          <w:color w:val="000000" w:themeColor="text1"/>
          <w:sz w:val="22"/>
          <w:szCs w:val="22"/>
          <w:lang w:val="en-GB"/>
        </w:rPr>
      </w:pPr>
      <w:r>
        <w:rPr>
          <w:rFonts w:asciiTheme="minorHAnsi" w:hAnsiTheme="minorHAnsi" w:cstheme="minorHAnsi"/>
          <w:color w:val="000000" w:themeColor="text1"/>
          <w:sz w:val="22"/>
          <w:szCs w:val="22"/>
          <w:lang w:val="en-GB"/>
        </w:rPr>
        <w:t>Onl</w:t>
      </w:r>
      <w:r w:rsidRPr="00F173E9">
        <w:rPr>
          <w:rFonts w:asciiTheme="minorHAnsi" w:hAnsiTheme="minorHAnsi" w:cstheme="minorHAnsi"/>
          <w:color w:val="000000" w:themeColor="text1"/>
          <w:sz w:val="22"/>
          <w:szCs w:val="22"/>
          <w:lang w:val="en-GB"/>
        </w:rPr>
        <w:t xml:space="preserve">y one </w:t>
      </w:r>
      <w:r w:rsidR="0024303B">
        <w:rPr>
          <w:rFonts w:asciiTheme="minorHAnsi" w:hAnsiTheme="minorHAnsi" w:cstheme="minorHAnsi"/>
          <w:color w:val="000000" w:themeColor="text1"/>
          <w:sz w:val="22"/>
          <w:szCs w:val="22"/>
          <w:lang w:val="en-GB"/>
        </w:rPr>
        <w:t>woman</w:t>
      </w:r>
      <w:r w:rsidRPr="00F173E9">
        <w:rPr>
          <w:rFonts w:asciiTheme="minorHAnsi" w:hAnsiTheme="minorHAnsi" w:cstheme="minorHAnsi"/>
          <w:color w:val="000000" w:themeColor="text1"/>
          <w:sz w:val="22"/>
          <w:szCs w:val="22"/>
          <w:lang w:val="en-GB"/>
        </w:rPr>
        <w:t xml:space="preserve"> (4.3%) reported adverse GI effects (constipation, dark stools and excess flatulence) that </w:t>
      </w:r>
      <w:r>
        <w:rPr>
          <w:rFonts w:asciiTheme="minorHAnsi" w:hAnsiTheme="minorHAnsi" w:cstheme="minorHAnsi"/>
          <w:color w:val="000000" w:themeColor="text1"/>
          <w:sz w:val="22"/>
          <w:szCs w:val="22"/>
          <w:lang w:val="en-GB"/>
        </w:rPr>
        <w:t>were</w:t>
      </w:r>
      <w:r w:rsidRPr="00F173E9">
        <w:rPr>
          <w:rFonts w:asciiTheme="minorHAnsi" w:hAnsiTheme="minorHAnsi" w:cstheme="minorHAnsi"/>
          <w:color w:val="000000" w:themeColor="text1"/>
          <w:sz w:val="22"/>
          <w:szCs w:val="22"/>
          <w:lang w:val="en-GB"/>
        </w:rPr>
        <w:t xml:space="preserve"> probably related to IWP</w:t>
      </w:r>
      <w:r>
        <w:rPr>
          <w:rFonts w:asciiTheme="minorHAnsi" w:hAnsiTheme="minorHAnsi" w:cstheme="minorHAnsi"/>
          <w:color w:val="000000" w:themeColor="text1"/>
          <w:sz w:val="22"/>
          <w:szCs w:val="22"/>
          <w:lang w:val="en-GB"/>
        </w:rPr>
        <w:t>. In this case, t</w:t>
      </w:r>
      <w:r w:rsidRPr="00F173E9">
        <w:rPr>
          <w:rFonts w:asciiTheme="minorHAnsi" w:hAnsiTheme="minorHAnsi" w:cstheme="minorHAnsi"/>
          <w:color w:val="000000" w:themeColor="text1"/>
          <w:sz w:val="22"/>
          <w:szCs w:val="22"/>
          <w:lang w:val="en-GB"/>
        </w:rPr>
        <w:t xml:space="preserve">he </w:t>
      </w:r>
      <w:r w:rsidR="0024303B">
        <w:rPr>
          <w:rFonts w:asciiTheme="minorHAnsi" w:hAnsiTheme="minorHAnsi" w:cstheme="minorHAnsi"/>
          <w:color w:val="000000" w:themeColor="text1"/>
          <w:sz w:val="22"/>
          <w:szCs w:val="22"/>
          <w:lang w:val="en-GB"/>
        </w:rPr>
        <w:t>woman</w:t>
      </w:r>
      <w:r w:rsidRPr="00F173E9">
        <w:rPr>
          <w:rFonts w:asciiTheme="minorHAnsi" w:hAnsiTheme="minorHAnsi" w:cstheme="minorHAnsi"/>
          <w:color w:val="000000" w:themeColor="text1"/>
          <w:sz w:val="22"/>
          <w:szCs w:val="22"/>
          <w:lang w:val="en-GB"/>
        </w:rPr>
        <w:t xml:space="preserve"> was taking IWP 14mg</w:t>
      </w:r>
      <w:r>
        <w:rPr>
          <w:rFonts w:asciiTheme="minorHAnsi" w:hAnsiTheme="minorHAnsi" w:cstheme="minorHAnsi"/>
          <w:color w:val="000000" w:themeColor="text1"/>
          <w:sz w:val="22"/>
          <w:szCs w:val="22"/>
          <w:lang w:val="en-GB"/>
        </w:rPr>
        <w:t xml:space="preserve">, all </w:t>
      </w:r>
      <w:r w:rsidRPr="00F173E9">
        <w:rPr>
          <w:rFonts w:asciiTheme="minorHAnsi" w:hAnsiTheme="minorHAnsi" w:cstheme="minorHAnsi"/>
          <w:color w:val="000000" w:themeColor="text1"/>
          <w:sz w:val="22"/>
          <w:szCs w:val="22"/>
          <w:lang w:val="en-GB"/>
        </w:rPr>
        <w:t>symptoms</w:t>
      </w:r>
      <w:r>
        <w:rPr>
          <w:rFonts w:asciiTheme="minorHAnsi" w:hAnsiTheme="minorHAnsi" w:cstheme="minorHAnsi"/>
          <w:color w:val="000000" w:themeColor="text1"/>
          <w:sz w:val="22"/>
          <w:szCs w:val="22"/>
          <w:lang w:val="en-GB"/>
        </w:rPr>
        <w:t xml:space="preserve"> were considered </w:t>
      </w:r>
      <w:proofErr w:type="gramStart"/>
      <w:r>
        <w:rPr>
          <w:rFonts w:asciiTheme="minorHAnsi" w:hAnsiTheme="minorHAnsi" w:cstheme="minorHAnsi"/>
          <w:color w:val="000000" w:themeColor="text1"/>
          <w:sz w:val="22"/>
          <w:szCs w:val="22"/>
          <w:lang w:val="en-GB"/>
        </w:rPr>
        <w:t>mild</w:t>
      </w:r>
      <w:proofErr w:type="gramEnd"/>
      <w:r>
        <w:rPr>
          <w:rFonts w:asciiTheme="minorHAnsi" w:hAnsiTheme="minorHAnsi" w:cstheme="minorHAnsi"/>
          <w:color w:val="000000" w:themeColor="text1"/>
          <w:sz w:val="22"/>
          <w:szCs w:val="22"/>
          <w:lang w:val="en-GB"/>
        </w:rPr>
        <w:t xml:space="preserve"> and the </w:t>
      </w:r>
      <w:r w:rsidR="0024303B">
        <w:rPr>
          <w:rFonts w:asciiTheme="minorHAnsi" w:hAnsiTheme="minorHAnsi" w:cstheme="minorHAnsi"/>
          <w:color w:val="000000" w:themeColor="text1"/>
          <w:sz w:val="22"/>
          <w:szCs w:val="22"/>
          <w:lang w:val="en-GB"/>
        </w:rPr>
        <w:t>woman</w:t>
      </w:r>
      <w:r>
        <w:rPr>
          <w:rFonts w:asciiTheme="minorHAnsi" w:hAnsiTheme="minorHAnsi" w:cstheme="minorHAnsi"/>
          <w:color w:val="000000" w:themeColor="text1"/>
          <w:sz w:val="22"/>
          <w:szCs w:val="22"/>
          <w:lang w:val="en-GB"/>
        </w:rPr>
        <w:t xml:space="preserve"> was happy to persist with treatment for 12 weeks</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 xml:space="preserve"> Coupled with the 5 people who withdrew from the study, at least 53 (89.9%) </w:t>
      </w:r>
      <w:r w:rsidR="0024303B">
        <w:rPr>
          <w:rFonts w:asciiTheme="minorHAnsi" w:hAnsiTheme="minorHAnsi" w:cstheme="minorHAnsi"/>
          <w:color w:val="000000" w:themeColor="text1"/>
          <w:sz w:val="22"/>
          <w:szCs w:val="22"/>
          <w:lang w:val="en-GB"/>
        </w:rPr>
        <w:t>women</w:t>
      </w:r>
      <w:r>
        <w:rPr>
          <w:rFonts w:asciiTheme="minorHAnsi" w:hAnsiTheme="minorHAnsi" w:cstheme="minorHAnsi"/>
          <w:color w:val="000000" w:themeColor="text1"/>
          <w:sz w:val="22"/>
          <w:szCs w:val="22"/>
          <w:lang w:val="en-GB"/>
        </w:rPr>
        <w:t xml:space="preserve"> taking IWP were free of adverse GI effects and </w:t>
      </w:r>
      <w:r w:rsidR="0024303B">
        <w:rPr>
          <w:rFonts w:asciiTheme="minorHAnsi" w:hAnsiTheme="minorHAnsi" w:cstheme="minorHAnsi"/>
          <w:color w:val="000000" w:themeColor="text1"/>
          <w:sz w:val="22"/>
          <w:szCs w:val="22"/>
          <w:lang w:val="en-GB"/>
        </w:rPr>
        <w:t>women</w:t>
      </w:r>
      <w:r>
        <w:rPr>
          <w:rFonts w:asciiTheme="minorHAnsi" w:hAnsiTheme="minorHAnsi" w:cstheme="minorHAnsi"/>
          <w:color w:val="000000" w:themeColor="text1"/>
          <w:sz w:val="22"/>
          <w:szCs w:val="22"/>
          <w:lang w:val="en-GB"/>
        </w:rPr>
        <w:t xml:space="preserve"> were at least 9.8 (95%CI 4.6 to 21.0, P&lt;0.0001) times more likely to report adverse GI effects that were probably related to oral iron with the previous oral iron product. In addition, 22 participants</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reported side effects that were “possibly”</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 xml:space="preserve">related to IWP. Most of these </w:t>
      </w:r>
      <w:r w:rsidRPr="00F173E9">
        <w:rPr>
          <w:rFonts w:asciiTheme="minorHAnsi" w:hAnsiTheme="minorHAnsi" w:cstheme="minorHAnsi"/>
          <w:color w:val="000000" w:themeColor="text1"/>
          <w:sz w:val="22"/>
          <w:szCs w:val="22"/>
          <w:lang w:val="en-GB"/>
        </w:rPr>
        <w:t>(n=1</w:t>
      </w:r>
      <w:r>
        <w:rPr>
          <w:rFonts w:asciiTheme="minorHAnsi" w:hAnsiTheme="minorHAnsi" w:cstheme="minorHAnsi"/>
          <w:color w:val="000000" w:themeColor="text1"/>
          <w:sz w:val="22"/>
          <w:szCs w:val="22"/>
          <w:lang w:val="en-GB"/>
        </w:rPr>
        <w:t>7</w:t>
      </w:r>
      <w:r w:rsidRPr="00F173E9">
        <w:rPr>
          <w:rFonts w:asciiTheme="minorHAnsi" w:hAnsiTheme="minorHAnsi" w:cstheme="minorHAnsi"/>
          <w:color w:val="000000" w:themeColor="text1"/>
          <w:sz w:val="22"/>
          <w:szCs w:val="22"/>
          <w:lang w:val="en-GB"/>
        </w:rPr>
        <w:t>, 7</w:t>
      </w:r>
      <w:r>
        <w:rPr>
          <w:rFonts w:asciiTheme="minorHAnsi" w:hAnsiTheme="minorHAnsi" w:cstheme="minorHAnsi"/>
          <w:color w:val="000000" w:themeColor="text1"/>
          <w:sz w:val="22"/>
          <w:szCs w:val="22"/>
          <w:lang w:val="en-GB"/>
        </w:rPr>
        <w:t>7</w:t>
      </w:r>
      <w:r w:rsidRPr="00F173E9">
        <w:rPr>
          <w:rFonts w:asciiTheme="minorHAnsi" w:hAnsiTheme="minorHAnsi" w:cstheme="minorHAnsi"/>
          <w:color w:val="000000" w:themeColor="text1"/>
          <w:sz w:val="22"/>
          <w:szCs w:val="22"/>
          <w:lang w:val="en-GB"/>
        </w:rPr>
        <w:t>.3%) reported mild symptoms, 3 (13.</w:t>
      </w:r>
      <w:r>
        <w:rPr>
          <w:rFonts w:asciiTheme="minorHAnsi" w:hAnsiTheme="minorHAnsi" w:cstheme="minorHAnsi"/>
          <w:color w:val="000000" w:themeColor="text1"/>
          <w:sz w:val="22"/>
          <w:szCs w:val="22"/>
          <w:lang w:val="en-GB"/>
        </w:rPr>
        <w:t>6</w:t>
      </w:r>
      <w:r w:rsidRPr="00F173E9">
        <w:rPr>
          <w:rFonts w:asciiTheme="minorHAnsi" w:hAnsiTheme="minorHAnsi" w:cstheme="minorHAnsi"/>
          <w:color w:val="000000" w:themeColor="text1"/>
          <w:sz w:val="22"/>
          <w:szCs w:val="22"/>
          <w:lang w:val="en-GB"/>
        </w:rPr>
        <w:t xml:space="preserve">%) reported moderate symptoms and 2 </w:t>
      </w:r>
      <w:r w:rsidR="0024303B">
        <w:rPr>
          <w:rFonts w:asciiTheme="minorHAnsi" w:hAnsiTheme="minorHAnsi" w:cstheme="minorHAnsi"/>
          <w:color w:val="000000" w:themeColor="text1"/>
          <w:sz w:val="22"/>
          <w:szCs w:val="22"/>
          <w:lang w:val="en-GB"/>
        </w:rPr>
        <w:t>women</w:t>
      </w:r>
      <w:r w:rsidRPr="00F173E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9</w:t>
      </w:r>
      <w:r w:rsidRPr="00F173E9">
        <w:rPr>
          <w:rFonts w:asciiTheme="minorHAnsi" w:hAnsiTheme="minorHAnsi" w:cstheme="minorHAnsi"/>
          <w:color w:val="000000" w:themeColor="text1"/>
          <w:sz w:val="22"/>
          <w:szCs w:val="22"/>
          <w:lang w:val="en-GB"/>
        </w:rPr>
        <w:t>.</w:t>
      </w:r>
      <w:r>
        <w:rPr>
          <w:rFonts w:asciiTheme="minorHAnsi" w:hAnsiTheme="minorHAnsi" w:cstheme="minorHAnsi"/>
          <w:color w:val="000000" w:themeColor="text1"/>
          <w:sz w:val="22"/>
          <w:szCs w:val="22"/>
          <w:lang w:val="en-GB"/>
        </w:rPr>
        <w:t>1</w:t>
      </w:r>
      <w:r w:rsidRPr="00F173E9">
        <w:rPr>
          <w:rFonts w:asciiTheme="minorHAnsi" w:hAnsiTheme="minorHAnsi" w:cstheme="minorHAnsi"/>
          <w:color w:val="000000" w:themeColor="text1"/>
          <w:sz w:val="22"/>
          <w:szCs w:val="22"/>
          <w:lang w:val="en-GB"/>
        </w:rPr>
        <w:t>%) reported severe symptoms</w:t>
      </w:r>
      <w:r>
        <w:rPr>
          <w:rFonts w:asciiTheme="minorHAnsi" w:hAnsiTheme="minorHAnsi" w:cstheme="minorHAnsi"/>
          <w:color w:val="000000" w:themeColor="text1"/>
          <w:sz w:val="22"/>
          <w:szCs w:val="22"/>
          <w:lang w:val="en-GB"/>
        </w:rPr>
        <w:t xml:space="preserve">. </w:t>
      </w:r>
      <w:r w:rsidR="00E72EA7">
        <w:rPr>
          <w:rFonts w:asciiTheme="minorHAnsi" w:hAnsiTheme="minorHAnsi" w:cstheme="minorHAnsi"/>
          <w:color w:val="000000" w:themeColor="text1"/>
          <w:sz w:val="22"/>
          <w:szCs w:val="22"/>
          <w:lang w:val="en-GB"/>
        </w:rPr>
        <w:t xml:space="preserve"> </w:t>
      </w:r>
      <w:r w:rsidRPr="008F6F55">
        <w:rPr>
          <w:rFonts w:asciiTheme="minorHAnsi" w:hAnsiTheme="minorHAnsi" w:cstheme="minorHAnsi"/>
          <w:color w:val="000000" w:themeColor="text1"/>
          <w:sz w:val="22"/>
          <w:szCs w:val="22"/>
          <w:lang w:val="en-GB"/>
        </w:rPr>
        <w:t>Overall, using reliable change index with 95% confidence,</w:t>
      </w:r>
      <w:r>
        <w:rPr>
          <w:rFonts w:asciiTheme="minorHAnsi" w:hAnsiTheme="minorHAnsi" w:cstheme="minorHAnsi"/>
          <w:color w:val="000000" w:themeColor="text1"/>
          <w:sz w:val="22"/>
          <w:szCs w:val="22"/>
          <w:lang w:val="en-GB"/>
        </w:rPr>
        <w:t>[</w:t>
      </w:r>
      <w:r w:rsidR="00501417">
        <w:rPr>
          <w:rFonts w:asciiTheme="minorHAnsi" w:hAnsiTheme="minorHAnsi" w:cstheme="minorHAnsi"/>
          <w:color w:val="000000" w:themeColor="text1"/>
          <w:sz w:val="22"/>
          <w:szCs w:val="22"/>
          <w:lang w:val="en-GB"/>
        </w:rPr>
        <w:t>21</w:t>
      </w:r>
      <w:r>
        <w:rPr>
          <w:rFonts w:asciiTheme="minorHAnsi" w:hAnsiTheme="minorHAnsi" w:cstheme="minorHAnsi"/>
          <w:color w:val="000000" w:themeColor="text1"/>
          <w:sz w:val="22"/>
          <w:szCs w:val="22"/>
          <w:lang w:val="en-GB"/>
        </w:rPr>
        <w:t>]</w:t>
      </w:r>
      <w:r w:rsidRPr="008F6F55">
        <w:rPr>
          <w:rFonts w:asciiTheme="minorHAnsi" w:hAnsiTheme="minorHAnsi" w:cstheme="minorHAnsi"/>
          <w:color w:val="000000" w:themeColor="text1"/>
          <w:sz w:val="22"/>
          <w:szCs w:val="22"/>
          <w:lang w:val="en-GB"/>
        </w:rPr>
        <w:t xml:space="preserve"> 45 (81.8%) </w:t>
      </w:r>
      <w:r w:rsidRPr="008F6F55">
        <w:rPr>
          <w:rFonts w:asciiTheme="minorHAnsi" w:hAnsiTheme="minorHAnsi" w:cstheme="minorHAnsi"/>
          <w:color w:val="000000" w:themeColor="text1"/>
          <w:sz w:val="22"/>
          <w:szCs w:val="22"/>
          <w:lang w:val="en-GB"/>
        </w:rPr>
        <w:lastRenderedPageBreak/>
        <w:t xml:space="preserve">women had an improvement in GSRS using IWP compared to the previous iron product. </w:t>
      </w:r>
      <w:r>
        <w:rPr>
          <w:rFonts w:asciiTheme="minorHAnsi" w:hAnsiTheme="minorHAnsi" w:cstheme="minorHAnsi"/>
          <w:color w:val="000000" w:themeColor="text1"/>
          <w:sz w:val="22"/>
          <w:szCs w:val="22"/>
          <w:lang w:val="en-GB"/>
        </w:rPr>
        <w:t xml:space="preserve">Using </w:t>
      </w:r>
      <w:r w:rsidRPr="00AC39FE">
        <w:rPr>
          <w:rFonts w:asciiTheme="minorHAnsi" w:hAnsiTheme="minorHAnsi" w:cstheme="minorHAnsi"/>
          <w:color w:val="000000" w:themeColor="text1"/>
          <w:sz w:val="22"/>
          <w:szCs w:val="22"/>
          <w:lang w:val="en-GB"/>
        </w:rPr>
        <w:t>reliable change index with 95% confidence</w:t>
      </w:r>
      <w:r>
        <w:rPr>
          <w:rFonts w:asciiTheme="minorHAnsi" w:hAnsiTheme="minorHAnsi" w:cstheme="minorHAnsi"/>
          <w:color w:val="000000" w:themeColor="text1"/>
          <w:sz w:val="22"/>
          <w:szCs w:val="22"/>
          <w:lang w:val="en-GB"/>
        </w:rPr>
        <w:t>,</w:t>
      </w:r>
      <w:r w:rsidDel="004F3339">
        <w:rPr>
          <w:rFonts w:asciiTheme="minorHAnsi" w:hAnsiTheme="minorHAnsi" w:cstheme="minorHAnsi"/>
          <w:color w:val="000000" w:themeColor="text1"/>
          <w:sz w:val="22"/>
          <w:szCs w:val="22"/>
          <w:lang w:val="en-GB"/>
        </w:rPr>
        <w:t xml:space="preserve"> </w:t>
      </w:r>
      <w:r>
        <w:rPr>
          <w:rFonts w:asciiTheme="minorHAnsi" w:hAnsiTheme="minorHAnsi" w:cstheme="minorHAnsi"/>
          <w:color w:val="000000" w:themeColor="text1"/>
          <w:sz w:val="22"/>
          <w:szCs w:val="22"/>
          <w:lang w:val="en-GB"/>
        </w:rPr>
        <w:t xml:space="preserve">more women who previously took higher dose oral iron (&gt;60mg elemental iron, n=35, 83.3%) had improved gut-symptom-scores on IWP compared versus those taking lower dose oral iron </w:t>
      </w:r>
      <w:r w:rsidRPr="00C02C39">
        <w:rPr>
          <w:rFonts w:asciiTheme="minorHAnsi" w:hAnsiTheme="minorHAnsi" w:cstheme="minorHAnsi"/>
          <w:color w:val="000000" w:themeColor="text1"/>
          <w:sz w:val="22"/>
          <w:szCs w:val="22"/>
          <w:lang w:val="en-GB"/>
        </w:rPr>
        <w:t>previously (</w:t>
      </w:r>
      <w:r>
        <w:rPr>
          <w:rFonts w:asciiTheme="minorHAnsi" w:hAnsiTheme="minorHAnsi" w:cstheme="minorHAnsi"/>
          <w:color w:val="000000" w:themeColor="text1"/>
          <w:sz w:val="22"/>
          <w:szCs w:val="22"/>
          <w:lang w:val="en-GB"/>
        </w:rPr>
        <w:t>n=</w:t>
      </w:r>
      <w:r w:rsidRPr="000E4F69">
        <w:rPr>
          <w:rFonts w:asciiTheme="minorHAnsi" w:hAnsiTheme="minorHAnsi" w:cstheme="minorHAnsi"/>
          <w:color w:val="000000" w:themeColor="text1"/>
          <w:sz w:val="22"/>
          <w:szCs w:val="22"/>
          <w:lang w:val="en-GB"/>
        </w:rPr>
        <w:t>10, 58.8%, P=0.045</w:t>
      </w:r>
      <w:r w:rsidRPr="00C02C39">
        <w:rPr>
          <w:rFonts w:asciiTheme="minorHAnsi" w:hAnsiTheme="minorHAnsi" w:cstheme="minorHAnsi"/>
          <w:color w:val="000000" w:themeColor="text1"/>
          <w:sz w:val="22"/>
          <w:szCs w:val="22"/>
          <w:lang w:val="en-GB"/>
        </w:rPr>
        <w:t>)</w:t>
      </w:r>
      <w:r>
        <w:rPr>
          <w:rFonts w:asciiTheme="minorHAnsi" w:hAnsiTheme="minorHAnsi" w:cstheme="minorHAnsi"/>
          <w:color w:val="000000" w:themeColor="text1"/>
          <w:sz w:val="22"/>
          <w:szCs w:val="22"/>
          <w:lang w:val="en-GB"/>
        </w:rPr>
        <w:t xml:space="preserve">. Accounting for three further women who withdrew due to adverse GI effects and one woman lost to follow up, these data show 4.25 (95%CI 2.15 to 8.39, P&lt;0.0001) more </w:t>
      </w:r>
      <w:r w:rsidR="0024303B">
        <w:rPr>
          <w:rFonts w:asciiTheme="minorHAnsi" w:hAnsiTheme="minorHAnsi" w:cstheme="minorHAnsi"/>
          <w:color w:val="000000" w:themeColor="text1"/>
          <w:sz w:val="22"/>
          <w:szCs w:val="22"/>
          <w:lang w:val="en-GB"/>
        </w:rPr>
        <w:t>women</w:t>
      </w:r>
      <w:r>
        <w:rPr>
          <w:rFonts w:asciiTheme="minorHAnsi" w:hAnsiTheme="minorHAnsi" w:cstheme="minorHAnsi"/>
          <w:color w:val="000000" w:themeColor="text1"/>
          <w:sz w:val="22"/>
          <w:szCs w:val="22"/>
          <w:lang w:val="en-GB"/>
        </w:rPr>
        <w:t xml:space="preserve"> had adverse GI effects when taking the previous oral iron product. </w:t>
      </w:r>
    </w:p>
    <w:p w14:paraId="67E993CD" w14:textId="77777777" w:rsidR="002573D9" w:rsidRPr="00E41E05" w:rsidRDefault="002573D9">
      <w:pPr>
        <w:rPr>
          <w:color w:val="000000" w:themeColor="text1"/>
        </w:rPr>
      </w:pPr>
    </w:p>
    <w:p w14:paraId="7BE5D4D3" w14:textId="77777777" w:rsidR="006376D0" w:rsidRPr="00E41E05" w:rsidRDefault="006376D0" w:rsidP="006376D0">
      <w:pPr>
        <w:spacing w:line="360" w:lineRule="auto"/>
        <w:jc w:val="both"/>
        <w:rPr>
          <w:rFonts w:asciiTheme="minorHAnsi" w:hAnsiTheme="minorHAnsi" w:cstheme="minorHAnsi"/>
          <w:color w:val="000000" w:themeColor="text1"/>
          <w:sz w:val="22"/>
          <w:szCs w:val="22"/>
          <w:lang w:val="en-GB"/>
        </w:rPr>
      </w:pPr>
    </w:p>
    <w:p w14:paraId="3B2291D9" w14:textId="77777777" w:rsidR="006376D0" w:rsidRPr="00E41E05" w:rsidRDefault="006376D0" w:rsidP="006376D0">
      <w:pPr>
        <w:spacing w:line="360" w:lineRule="auto"/>
        <w:jc w:val="both"/>
        <w:rPr>
          <w:rFonts w:asciiTheme="minorHAnsi" w:hAnsiTheme="minorHAnsi" w:cstheme="minorHAnsi"/>
          <w:color w:val="000000" w:themeColor="text1"/>
          <w:sz w:val="22"/>
          <w:szCs w:val="22"/>
          <w:lang w:val="en-GB"/>
        </w:rPr>
      </w:pPr>
      <w:r w:rsidRPr="00E41E05">
        <w:rPr>
          <w:noProof/>
          <w:color w:val="000000" w:themeColor="text1"/>
        </w:rPr>
        <w:drawing>
          <wp:inline distT="0" distB="0" distL="0" distR="0" wp14:anchorId="563734A4" wp14:editId="1EEB63DA">
            <wp:extent cx="3092926" cy="260873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extLst>
                        <a:ext uri="{28A0092B-C50C-407E-A947-70E740481C1C}">
                          <a14:useLocalDpi xmlns:a14="http://schemas.microsoft.com/office/drawing/2010/main" val="0"/>
                        </a:ext>
                      </a:extLst>
                    </a:blip>
                    <a:stretch>
                      <a:fillRect/>
                    </a:stretch>
                  </pic:blipFill>
                  <pic:spPr>
                    <a:xfrm>
                      <a:off x="0" y="0"/>
                      <a:ext cx="3097996" cy="2613006"/>
                    </a:xfrm>
                    <a:prstGeom prst="rect">
                      <a:avLst/>
                    </a:prstGeom>
                  </pic:spPr>
                </pic:pic>
              </a:graphicData>
            </a:graphic>
          </wp:inline>
        </w:drawing>
      </w:r>
    </w:p>
    <w:p w14:paraId="3841FA97" w14:textId="21E2FE12" w:rsidR="006376D0" w:rsidRDefault="006376D0" w:rsidP="006376D0">
      <w:pPr>
        <w:spacing w:line="360" w:lineRule="auto"/>
        <w:jc w:val="both"/>
        <w:rPr>
          <w:rFonts w:asciiTheme="minorHAnsi" w:hAnsiTheme="minorHAnsi" w:cstheme="minorHAnsi"/>
          <w:color w:val="000000" w:themeColor="text1"/>
          <w:sz w:val="22"/>
          <w:szCs w:val="22"/>
          <w:lang w:val="en-GB"/>
        </w:rPr>
      </w:pPr>
      <w:r w:rsidRPr="002573D9">
        <w:rPr>
          <w:rFonts w:asciiTheme="minorHAnsi" w:hAnsiTheme="minorHAnsi" w:cstheme="minorHAnsi"/>
          <w:b/>
          <w:bCs/>
          <w:color w:val="000000" w:themeColor="text1"/>
          <w:sz w:val="22"/>
          <w:szCs w:val="22"/>
          <w:lang w:val="en-GB"/>
        </w:rPr>
        <w:t>Figure S</w:t>
      </w:r>
      <w:r w:rsidR="001F69D3">
        <w:rPr>
          <w:rFonts w:asciiTheme="minorHAnsi" w:hAnsiTheme="minorHAnsi" w:cstheme="minorHAnsi"/>
          <w:b/>
          <w:bCs/>
          <w:color w:val="000000" w:themeColor="text1"/>
          <w:sz w:val="22"/>
          <w:szCs w:val="22"/>
          <w:lang w:val="en-GB"/>
        </w:rPr>
        <w:t>3</w:t>
      </w:r>
      <w:r w:rsidRPr="00E41E05">
        <w:rPr>
          <w:rFonts w:asciiTheme="minorHAnsi" w:hAnsiTheme="minorHAnsi" w:cstheme="minorHAnsi"/>
          <w:color w:val="000000" w:themeColor="text1"/>
          <w:sz w:val="22"/>
          <w:szCs w:val="22"/>
          <w:lang w:val="en-GB"/>
        </w:rPr>
        <w:t xml:space="preserve">. Detailed SF-36 data </w:t>
      </w:r>
      <w:r>
        <w:rPr>
          <w:rFonts w:asciiTheme="minorHAnsi" w:hAnsiTheme="minorHAnsi" w:cstheme="minorHAnsi"/>
          <w:color w:val="000000" w:themeColor="text1"/>
          <w:sz w:val="22"/>
          <w:szCs w:val="22"/>
          <w:lang w:val="en-GB"/>
        </w:rPr>
        <w:t xml:space="preserve">at baseline </w:t>
      </w:r>
      <w:r w:rsidRPr="00E41E05">
        <w:rPr>
          <w:rFonts w:asciiTheme="minorHAnsi" w:hAnsiTheme="minorHAnsi" w:cstheme="minorHAnsi"/>
          <w:color w:val="000000" w:themeColor="text1"/>
          <w:sz w:val="22"/>
          <w:szCs w:val="22"/>
          <w:lang w:val="en-GB"/>
        </w:rPr>
        <w:t xml:space="preserve">broken down according to the 8-health related quality of life </w:t>
      </w:r>
      <w:r w:rsidRPr="00E41E05">
        <w:rPr>
          <w:rFonts w:asciiTheme="minorHAnsi" w:hAnsiTheme="minorHAnsi" w:cstheme="minorHAnsi"/>
          <w:color w:val="000000" w:themeColor="text1"/>
          <w:sz w:val="22"/>
          <w:szCs w:val="22"/>
        </w:rPr>
        <w:t>concepts: physical functioning, bodily pain, role limitations due to physical health problems, role limitations due to personal or emotional problems, emotional well-being, social functioning, energy/fatigue, and general health perceptions.</w:t>
      </w:r>
      <w:r w:rsidRPr="00E41E05">
        <w:rPr>
          <w:rFonts w:asciiTheme="minorHAnsi" w:hAnsiTheme="minorHAnsi" w:cstheme="minorHAnsi"/>
          <w:color w:val="000000" w:themeColor="text1"/>
          <w:sz w:val="22"/>
          <w:szCs w:val="22"/>
          <w:lang w:val="en-GB"/>
        </w:rPr>
        <w:t xml:space="preserve"> Using ANOVA, there were significant differences across the domains (P&lt;0.0001) and SF-36 Energy/Fatigue domain scores in this population (60</w:t>
      </w:r>
      <w:r>
        <w:rPr>
          <w:rFonts w:asciiTheme="minorHAnsi" w:hAnsiTheme="minorHAnsi" w:cstheme="minorHAnsi"/>
          <w:color w:val="000000" w:themeColor="text1"/>
          <w:sz w:val="22"/>
          <w:szCs w:val="22"/>
          <w:lang w:val="en-GB"/>
        </w:rPr>
        <w:t>.1</w:t>
      </w:r>
      <w:r w:rsidRPr="00E41E05">
        <w:rPr>
          <w:rFonts w:asciiTheme="minorHAnsi" w:hAnsiTheme="minorHAnsi" w:cstheme="minorHAnsi"/>
          <w:color w:val="000000" w:themeColor="text1"/>
          <w:sz w:val="22"/>
          <w:szCs w:val="22"/>
          <w:lang w:val="en-GB"/>
        </w:rPr>
        <w:t xml:space="preserve"> </w:t>
      </w:r>
      <m:oMath>
        <m:r>
          <w:rPr>
            <w:rFonts w:ascii="Cambria Math" w:hAnsi="Cambria Math" w:cstheme="minorHAnsi"/>
            <w:color w:val="000000" w:themeColor="text1"/>
            <w:sz w:val="22"/>
            <w:szCs w:val="22"/>
            <w:lang w:val="en-GB"/>
          </w:rPr>
          <m:t xml:space="preserve">± </m:t>
        </m:r>
      </m:oMath>
      <w:r>
        <w:rPr>
          <w:rFonts w:asciiTheme="minorHAnsi" w:hAnsiTheme="minorHAnsi" w:cstheme="minorHAnsi"/>
          <w:color w:val="000000" w:themeColor="text1"/>
          <w:sz w:val="22"/>
          <w:szCs w:val="22"/>
          <w:lang w:val="en-GB"/>
        </w:rPr>
        <w:t>3.</w:t>
      </w:r>
      <w:r w:rsidRPr="00E41E05">
        <w:rPr>
          <w:rFonts w:asciiTheme="minorHAnsi" w:hAnsiTheme="minorHAnsi" w:cstheme="minorHAnsi"/>
          <w:color w:val="000000" w:themeColor="text1"/>
          <w:sz w:val="22"/>
          <w:szCs w:val="22"/>
          <w:lang w:val="en-GB"/>
        </w:rPr>
        <w:t xml:space="preserve">4%) were significantly impaired compared to all the other domain scores at baseline (all P&lt;0.001).  </w:t>
      </w:r>
    </w:p>
    <w:p w14:paraId="6B8F504D" w14:textId="18FC1ADC" w:rsidR="009A1EFB" w:rsidRDefault="009A1EFB" w:rsidP="009A1EFB"/>
    <w:p w14:paraId="0027DE0D" w14:textId="77777777" w:rsidR="00EC0F5F" w:rsidRDefault="00EC0F5F" w:rsidP="00EC0F5F">
      <w:pPr>
        <w:spacing w:line="360" w:lineRule="auto"/>
        <w:jc w:val="both"/>
        <w:rPr>
          <w:rFonts w:asciiTheme="minorHAnsi" w:hAnsiTheme="minorHAnsi" w:cstheme="minorHAnsi"/>
          <w:b/>
          <w:bCs/>
          <w:color w:val="000000" w:themeColor="text1"/>
          <w:sz w:val="22"/>
          <w:szCs w:val="22"/>
          <w:lang w:val="en-GB"/>
        </w:rPr>
      </w:pPr>
    </w:p>
    <w:p w14:paraId="7EED1A0A" w14:textId="4980CF78" w:rsidR="00733BF7" w:rsidRDefault="00733BF7" w:rsidP="00733BF7">
      <w:pPr>
        <w:spacing w:line="360" w:lineRule="auto"/>
        <w:jc w:val="center"/>
        <w:rPr>
          <w:rFonts w:asciiTheme="minorHAnsi" w:hAnsiTheme="minorHAnsi" w:cstheme="minorHAnsi"/>
          <w:b/>
          <w:color w:val="000000" w:themeColor="text1"/>
          <w:sz w:val="22"/>
          <w:szCs w:val="22"/>
        </w:rPr>
      </w:pPr>
      <w:r>
        <w:rPr>
          <w:rFonts w:asciiTheme="minorHAnsi" w:hAnsiTheme="minorHAnsi" w:cstheme="minorHAnsi"/>
          <w:noProof/>
          <w:color w:val="000000" w:themeColor="text1"/>
          <w:sz w:val="22"/>
          <w:szCs w:val="22"/>
          <w:lang w:val="en-GB"/>
        </w:rPr>
        <w:lastRenderedPageBreak/>
        <w:drawing>
          <wp:inline distT="0" distB="0" distL="0" distR="0" wp14:anchorId="062A46FF" wp14:editId="1EF24E73">
            <wp:extent cx="2290273" cy="2136449"/>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0">
                      <a:extLst>
                        <a:ext uri="{28A0092B-C50C-407E-A947-70E740481C1C}">
                          <a14:useLocalDpi xmlns:a14="http://schemas.microsoft.com/office/drawing/2010/main" val="0"/>
                        </a:ext>
                      </a:extLst>
                    </a:blip>
                    <a:stretch>
                      <a:fillRect/>
                    </a:stretch>
                  </pic:blipFill>
                  <pic:spPr>
                    <a:xfrm>
                      <a:off x="0" y="0"/>
                      <a:ext cx="2304089" cy="2149337"/>
                    </a:xfrm>
                    <a:prstGeom prst="rect">
                      <a:avLst/>
                    </a:prstGeom>
                  </pic:spPr>
                </pic:pic>
              </a:graphicData>
            </a:graphic>
          </wp:inline>
        </w:drawing>
      </w:r>
    </w:p>
    <w:p w14:paraId="690CF235" w14:textId="77777777" w:rsidR="00733BF7" w:rsidRPr="003B2943" w:rsidRDefault="00733BF7" w:rsidP="00733BF7">
      <w:pPr>
        <w:spacing w:line="360" w:lineRule="auto"/>
        <w:jc w:val="both"/>
        <w:rPr>
          <w:rFonts w:asciiTheme="minorHAnsi" w:hAnsiTheme="minorHAnsi" w:cstheme="minorHAnsi"/>
          <w:color w:val="000000" w:themeColor="text1"/>
          <w:sz w:val="22"/>
          <w:szCs w:val="22"/>
          <w:lang w:val="en-GB"/>
        </w:rPr>
      </w:pPr>
    </w:p>
    <w:p w14:paraId="3C8B21E2" w14:textId="6ADCAAB3" w:rsidR="001F69D3" w:rsidRDefault="00733BF7" w:rsidP="00733BF7">
      <w:pPr>
        <w:spacing w:line="360" w:lineRule="auto"/>
        <w:jc w:val="both"/>
        <w:rPr>
          <w:rFonts w:asciiTheme="minorHAnsi" w:hAnsiTheme="minorHAnsi" w:cstheme="minorHAnsi"/>
          <w:color w:val="000000" w:themeColor="text1"/>
          <w:sz w:val="22"/>
          <w:szCs w:val="22"/>
          <w:lang w:val="en-GB"/>
        </w:rPr>
      </w:pPr>
      <w:r w:rsidRPr="00986E8B">
        <w:rPr>
          <w:rFonts w:asciiTheme="minorHAnsi" w:hAnsiTheme="minorHAnsi" w:cstheme="minorHAnsi"/>
          <w:b/>
          <w:bCs/>
          <w:color w:val="000000" w:themeColor="text1"/>
          <w:sz w:val="22"/>
          <w:szCs w:val="22"/>
          <w:lang w:val="en-GB"/>
        </w:rPr>
        <w:t xml:space="preserve">Figure </w:t>
      </w:r>
      <w:r>
        <w:rPr>
          <w:rFonts w:asciiTheme="minorHAnsi" w:hAnsiTheme="minorHAnsi" w:cstheme="minorHAnsi"/>
          <w:b/>
          <w:bCs/>
          <w:color w:val="000000" w:themeColor="text1"/>
          <w:sz w:val="22"/>
          <w:szCs w:val="22"/>
          <w:lang w:val="en-GB"/>
        </w:rPr>
        <w:t>S</w:t>
      </w:r>
      <w:r w:rsidR="001F69D3">
        <w:rPr>
          <w:rFonts w:asciiTheme="minorHAnsi" w:hAnsiTheme="minorHAnsi" w:cstheme="minorHAnsi"/>
          <w:b/>
          <w:bCs/>
          <w:color w:val="000000" w:themeColor="text1"/>
          <w:sz w:val="22"/>
          <w:szCs w:val="22"/>
          <w:lang w:val="en-GB"/>
        </w:rPr>
        <w:t>4</w:t>
      </w:r>
      <w:r w:rsidR="00F5014A">
        <w:rPr>
          <w:rFonts w:asciiTheme="minorHAnsi" w:hAnsiTheme="minorHAnsi" w:cstheme="minorHAnsi"/>
          <w:b/>
          <w:bCs/>
          <w:color w:val="000000" w:themeColor="text1"/>
          <w:sz w:val="22"/>
          <w:szCs w:val="22"/>
          <w:lang w:val="en-GB"/>
        </w:rPr>
        <w:t xml:space="preserve"> </w:t>
      </w:r>
      <w:r w:rsidR="001F69D3">
        <w:rPr>
          <w:rFonts w:asciiTheme="minorHAnsi" w:hAnsiTheme="minorHAnsi" w:cstheme="minorHAnsi"/>
          <w:color w:val="000000" w:themeColor="text1"/>
          <w:sz w:val="22"/>
          <w:szCs w:val="22"/>
          <w:lang w:val="en-GB"/>
        </w:rPr>
        <w:t>Changes in m</w:t>
      </w:r>
      <w:r>
        <w:rPr>
          <w:rFonts w:asciiTheme="minorHAnsi" w:hAnsiTheme="minorHAnsi" w:cstheme="minorHAnsi"/>
          <w:color w:val="000000" w:themeColor="text1"/>
          <w:sz w:val="22"/>
          <w:szCs w:val="22"/>
          <w:lang w:val="en-GB"/>
        </w:rPr>
        <w:t xml:space="preserve">ean SF-36 Energy/Fatigue from baseline to 12 weeks in each IWP dose group in women with iron deficiency anaemia with a history of intolerance to oral iron. </w:t>
      </w:r>
      <w:r w:rsidR="001F69D3">
        <w:rPr>
          <w:rFonts w:asciiTheme="minorHAnsi" w:hAnsiTheme="minorHAnsi" w:cstheme="minorHAnsi"/>
          <w:color w:val="000000" w:themeColor="text1"/>
          <w:sz w:val="22"/>
          <w:szCs w:val="22"/>
          <w:lang w:val="en-GB"/>
        </w:rPr>
        <w:t xml:space="preserve"> SF-36 Energy/Fatigue scores increased overall from </w:t>
      </w:r>
      <w:r w:rsidR="001F69D3" w:rsidRPr="001F69D3">
        <w:rPr>
          <w:rFonts w:asciiTheme="minorHAnsi" w:hAnsiTheme="minorHAnsi" w:cstheme="minorHAnsi"/>
          <w:color w:val="000000" w:themeColor="text1"/>
          <w:sz w:val="22"/>
          <w:szCs w:val="22"/>
          <w:lang w:val="en-GB"/>
        </w:rPr>
        <w:t>60.9 ± 3.4%</w:t>
      </w:r>
      <w:r w:rsidR="001F69D3">
        <w:rPr>
          <w:rFonts w:asciiTheme="minorHAnsi" w:hAnsiTheme="minorHAnsi" w:cstheme="minorHAnsi"/>
          <w:color w:val="000000" w:themeColor="text1"/>
          <w:sz w:val="22"/>
          <w:szCs w:val="22"/>
          <w:lang w:val="en-GB"/>
        </w:rPr>
        <w:t xml:space="preserve"> </w:t>
      </w:r>
      <w:r w:rsidR="001F69D3" w:rsidRPr="001F69D3">
        <w:rPr>
          <w:rFonts w:asciiTheme="minorHAnsi" w:hAnsiTheme="minorHAnsi" w:cstheme="minorHAnsi"/>
          <w:color w:val="000000" w:themeColor="text1"/>
          <w:sz w:val="22"/>
          <w:szCs w:val="22"/>
          <w:lang w:val="en-GB"/>
        </w:rPr>
        <w:t>to 71.2 ± 2.6 % (T-Test, P=0.0007</w:t>
      </w:r>
      <w:r w:rsidR="001F69D3">
        <w:rPr>
          <w:rFonts w:asciiTheme="minorHAnsi" w:hAnsiTheme="minorHAnsi" w:cstheme="minorHAnsi"/>
          <w:color w:val="000000" w:themeColor="text1"/>
          <w:sz w:val="22"/>
          <w:szCs w:val="22"/>
          <w:lang w:val="en-GB"/>
        </w:rPr>
        <w:t xml:space="preserve">). Abbreviations: IWP= iron-whey-protein formulation; SF-36 = short form 36 health related quality of life score. </w:t>
      </w:r>
    </w:p>
    <w:p w14:paraId="69193668" w14:textId="77777777" w:rsidR="001F69D3" w:rsidRDefault="001F69D3" w:rsidP="00733BF7">
      <w:pPr>
        <w:spacing w:line="360" w:lineRule="auto"/>
        <w:jc w:val="both"/>
        <w:rPr>
          <w:rFonts w:asciiTheme="minorHAnsi" w:hAnsiTheme="minorHAnsi" w:cstheme="minorHAnsi"/>
          <w:color w:val="000000" w:themeColor="text1"/>
          <w:sz w:val="22"/>
          <w:szCs w:val="22"/>
          <w:lang w:val="en-GB"/>
        </w:rPr>
      </w:pPr>
    </w:p>
    <w:p w14:paraId="23937D5A" w14:textId="77777777" w:rsidR="00733BF7" w:rsidRDefault="00733BF7" w:rsidP="00733BF7">
      <w:pPr>
        <w:spacing w:line="360" w:lineRule="auto"/>
        <w:jc w:val="both"/>
        <w:rPr>
          <w:rFonts w:asciiTheme="minorHAnsi" w:hAnsiTheme="minorHAnsi" w:cstheme="minorHAnsi"/>
          <w:color w:val="000000" w:themeColor="text1"/>
          <w:sz w:val="22"/>
          <w:szCs w:val="22"/>
          <w:lang w:val="en-GB"/>
        </w:rPr>
      </w:pPr>
    </w:p>
    <w:p w14:paraId="2023F71B" w14:textId="77777777" w:rsidR="00EC0F5F" w:rsidRPr="00E41E05" w:rsidRDefault="00EC0F5F" w:rsidP="005402C3">
      <w:pPr>
        <w:spacing w:line="360" w:lineRule="auto"/>
        <w:jc w:val="both"/>
        <w:rPr>
          <w:rFonts w:asciiTheme="minorHAnsi" w:hAnsiTheme="minorHAnsi" w:cstheme="minorHAnsi"/>
          <w:color w:val="000000" w:themeColor="text1"/>
          <w:sz w:val="22"/>
          <w:szCs w:val="22"/>
          <w:lang w:val="en-GB"/>
        </w:rPr>
      </w:pPr>
    </w:p>
    <w:p w14:paraId="65CD78CA" w14:textId="09553AF2" w:rsidR="0019537A" w:rsidRPr="00E41E05" w:rsidRDefault="0019537A" w:rsidP="00D675F4">
      <w:pPr>
        <w:spacing w:line="360" w:lineRule="auto"/>
        <w:jc w:val="both"/>
        <w:rPr>
          <w:rFonts w:asciiTheme="minorHAnsi" w:hAnsiTheme="minorHAnsi" w:cstheme="minorHAnsi"/>
          <w:color w:val="000000" w:themeColor="text1"/>
          <w:sz w:val="22"/>
          <w:szCs w:val="22"/>
          <w:lang w:val="en-GB"/>
        </w:rPr>
      </w:pPr>
    </w:p>
    <w:p w14:paraId="0235102B" w14:textId="77777777" w:rsidR="001C7DB5" w:rsidRPr="0070079F" w:rsidRDefault="001C7DB5" w:rsidP="001C7DB5">
      <w:pPr>
        <w:spacing w:line="360" w:lineRule="auto"/>
        <w:jc w:val="both"/>
        <w:rPr>
          <w:rFonts w:asciiTheme="minorHAnsi" w:hAnsiTheme="minorHAnsi" w:cstheme="minorHAnsi"/>
          <w:color w:val="000000" w:themeColor="text1"/>
          <w:sz w:val="22"/>
          <w:szCs w:val="22"/>
          <w:highlight w:val="yellow"/>
        </w:rPr>
      </w:pPr>
    </w:p>
    <w:p w14:paraId="48B9EA75" w14:textId="508AEFEF" w:rsidR="003538F8" w:rsidRDefault="003538F8">
      <w:pPr>
        <w:rPr>
          <w:rFonts w:asciiTheme="minorHAnsi" w:hAnsiTheme="minorHAnsi" w:cstheme="minorHAnsi"/>
          <w:b/>
          <w:bCs/>
          <w:color w:val="000000" w:themeColor="text1"/>
          <w:sz w:val="22"/>
          <w:szCs w:val="22"/>
          <w:lang w:val="en-GB"/>
        </w:rPr>
      </w:pPr>
      <w:r>
        <w:rPr>
          <w:rFonts w:asciiTheme="minorHAnsi" w:hAnsiTheme="minorHAnsi" w:cstheme="minorHAnsi"/>
          <w:b/>
          <w:bCs/>
          <w:color w:val="000000" w:themeColor="text1"/>
          <w:sz w:val="22"/>
          <w:szCs w:val="22"/>
          <w:lang w:val="en-GB"/>
        </w:rPr>
        <w:br w:type="page"/>
      </w:r>
    </w:p>
    <w:p w14:paraId="7D23860D" w14:textId="77777777" w:rsidR="001C7DB5" w:rsidRDefault="001C7DB5" w:rsidP="001C7DB5">
      <w:pPr>
        <w:spacing w:line="360" w:lineRule="auto"/>
        <w:jc w:val="both"/>
        <w:rPr>
          <w:rFonts w:asciiTheme="minorHAnsi" w:hAnsiTheme="minorHAnsi" w:cstheme="minorHAnsi"/>
          <w:b/>
          <w:bCs/>
          <w:color w:val="000000" w:themeColor="text1"/>
          <w:sz w:val="22"/>
          <w:szCs w:val="22"/>
          <w:lang w:val="en-GB"/>
        </w:rPr>
      </w:pPr>
    </w:p>
    <w:p w14:paraId="1F64641F" w14:textId="77777777" w:rsidR="001C7DB5" w:rsidRPr="00B43502" w:rsidRDefault="001C7DB5" w:rsidP="001C7DB5">
      <w:pPr>
        <w:spacing w:line="360" w:lineRule="auto"/>
        <w:jc w:val="both"/>
        <w:rPr>
          <w:rFonts w:asciiTheme="minorHAnsi" w:hAnsiTheme="minorHAnsi" w:cstheme="minorHAnsi"/>
          <w:b/>
          <w:bCs/>
          <w:color w:val="000000" w:themeColor="text1"/>
          <w:sz w:val="22"/>
          <w:szCs w:val="22"/>
          <w:lang w:val="en-GB"/>
        </w:rPr>
      </w:pPr>
      <w:r w:rsidRPr="00B43502">
        <w:rPr>
          <w:rFonts w:asciiTheme="minorHAnsi" w:hAnsiTheme="minorHAnsi" w:cstheme="minorHAnsi"/>
          <w:b/>
          <w:bCs/>
          <w:color w:val="000000" w:themeColor="text1"/>
          <w:sz w:val="22"/>
          <w:szCs w:val="22"/>
          <w:lang w:val="en-GB"/>
        </w:rPr>
        <w:t>Menstrual Period Questionnaire</w:t>
      </w:r>
    </w:p>
    <w:p w14:paraId="6961CD08" w14:textId="77777777" w:rsidR="001C7DB5" w:rsidRPr="00AA6921" w:rsidRDefault="001C7DB5" w:rsidP="001C7DB5">
      <w:pPr>
        <w:spacing w:line="360" w:lineRule="auto"/>
        <w:jc w:val="center"/>
        <w:rPr>
          <w:rFonts w:asciiTheme="majorHAnsi" w:hAnsiTheme="majorHAnsi" w:cs="Arial"/>
          <w:b/>
        </w:rPr>
      </w:pPr>
      <w:r w:rsidRPr="00AA6921">
        <w:rPr>
          <w:rFonts w:asciiTheme="majorHAnsi" w:hAnsiTheme="majorHAnsi" w:cs="Arial"/>
          <w:b/>
        </w:rPr>
        <w:t>MENSTRUAL PERIOD QUESTIONNAIRE</w:t>
      </w:r>
    </w:p>
    <w:p w14:paraId="68038897"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Do you suffer from heavy periods</w:t>
      </w:r>
      <w:r>
        <w:rPr>
          <w:rFonts w:asciiTheme="majorHAnsi" w:hAnsiTheme="majorHAnsi" w:cs="Arial"/>
        </w:rPr>
        <w:t>?</w:t>
      </w:r>
    </w:p>
    <w:p w14:paraId="6A9BFD24"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7D4B4AAE"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 xml:space="preserve">How long does your menstrual period usually last? </w:t>
      </w:r>
    </w:p>
    <w:p w14:paraId="4C7CF809" w14:textId="77777777" w:rsidR="001C7DB5" w:rsidRPr="00AA6921" w:rsidRDefault="001C7DB5" w:rsidP="001C7DB5">
      <w:pPr>
        <w:spacing w:line="360" w:lineRule="auto"/>
        <w:ind w:firstLine="720"/>
        <w:rPr>
          <w:rFonts w:asciiTheme="majorHAnsi" w:hAnsiTheme="majorHAnsi" w:cs="Arial"/>
        </w:rPr>
      </w:pPr>
      <w:r w:rsidRPr="00AA6921">
        <w:rPr>
          <w:rFonts w:ascii="Segoe UI Symbol" w:eastAsia="MS Gothic" w:hAnsi="Segoe UI Symbol" w:cs="Segoe UI Symbol"/>
        </w:rPr>
        <w:t>☐</w:t>
      </w:r>
      <w:r w:rsidRPr="00AA6921">
        <w:rPr>
          <w:rFonts w:asciiTheme="majorHAnsi" w:hAnsiTheme="majorHAnsi" w:cs="Arial"/>
        </w:rPr>
        <w:t xml:space="preserve"> less than 3 days </w:t>
      </w:r>
    </w:p>
    <w:p w14:paraId="714450CD" w14:textId="77777777" w:rsidR="001C7DB5" w:rsidRPr="00AA6921" w:rsidRDefault="001C7DB5" w:rsidP="001C7DB5">
      <w:pPr>
        <w:spacing w:line="360" w:lineRule="auto"/>
        <w:ind w:left="720"/>
        <w:rPr>
          <w:rFonts w:asciiTheme="majorHAnsi"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w:t>
      </w:r>
      <w:r w:rsidRPr="00AA6921">
        <w:rPr>
          <w:rFonts w:asciiTheme="majorHAnsi" w:hAnsiTheme="majorHAnsi" w:cs="Arial"/>
        </w:rPr>
        <w:t>3 to 7 days</w:t>
      </w:r>
      <w:r w:rsidRPr="00AA6921">
        <w:rPr>
          <w:rFonts w:asciiTheme="majorHAnsi" w:hAnsiTheme="majorHAnsi" w:cs="Arial"/>
        </w:rPr>
        <w:br/>
      </w:r>
      <w:r w:rsidRPr="00AA6921">
        <w:rPr>
          <w:rFonts w:ascii="Segoe UI Symbol" w:eastAsia="MS Gothic" w:hAnsi="Segoe UI Symbol" w:cs="Segoe UI Symbol"/>
        </w:rPr>
        <w:t>☐</w:t>
      </w:r>
      <w:r w:rsidRPr="00AA6921">
        <w:rPr>
          <w:rFonts w:asciiTheme="majorHAnsi" w:eastAsia="MS Gothic" w:hAnsiTheme="majorHAnsi" w:cs="Arial"/>
        </w:rPr>
        <w:t xml:space="preserve"> </w:t>
      </w:r>
      <w:r w:rsidRPr="00AA6921">
        <w:rPr>
          <w:rFonts w:asciiTheme="majorHAnsi" w:hAnsiTheme="majorHAnsi" w:cs="Arial"/>
        </w:rPr>
        <w:t xml:space="preserve">more than 8 days </w:t>
      </w:r>
    </w:p>
    <w:p w14:paraId="64DCB903"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 xml:space="preserve">Do you experience menstrual flow that soaks through one or more pads or tampons every hour? </w:t>
      </w:r>
    </w:p>
    <w:p w14:paraId="02B2A1B4"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19F2224D"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 xml:space="preserve">Do you need to use double sanitary protection to control your menstrual flow? </w:t>
      </w:r>
    </w:p>
    <w:p w14:paraId="791AA862"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0EBAA23A"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 xml:space="preserve">Do you experience menstrual flow that includes large blood clots? </w:t>
      </w:r>
    </w:p>
    <w:p w14:paraId="28EE50D5"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599FB2F9"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 xml:space="preserve">Does your menstrual flow </w:t>
      </w:r>
      <w:proofErr w:type="spellStart"/>
      <w:r w:rsidRPr="00AA6921">
        <w:rPr>
          <w:rFonts w:asciiTheme="majorHAnsi" w:hAnsiTheme="majorHAnsi" w:cs="Arial"/>
        </w:rPr>
        <w:t>inferfere</w:t>
      </w:r>
      <w:proofErr w:type="spellEnd"/>
      <w:r w:rsidRPr="00AA6921">
        <w:rPr>
          <w:rFonts w:asciiTheme="majorHAnsi" w:hAnsiTheme="majorHAnsi" w:cs="Arial"/>
        </w:rPr>
        <w:t xml:space="preserve"> with your regular lifestyle? </w:t>
      </w:r>
    </w:p>
    <w:p w14:paraId="5EA1F21E"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05D245D0"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 xml:space="preserve">Do you experience pain during your period? </w:t>
      </w:r>
    </w:p>
    <w:p w14:paraId="6ECCF907"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487A71C9"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Do you have other symptoms like easy bruising?</w:t>
      </w:r>
    </w:p>
    <w:p w14:paraId="1C6C09C2" w14:textId="77777777" w:rsidR="001C7DB5" w:rsidRPr="00B43502"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77BF13DE" w14:textId="77777777" w:rsidR="001C7DB5" w:rsidRPr="00AA6921" w:rsidRDefault="001C7DB5" w:rsidP="001C7DB5">
      <w:pPr>
        <w:spacing w:line="360" w:lineRule="auto"/>
        <w:rPr>
          <w:rFonts w:asciiTheme="majorHAnsi" w:hAnsiTheme="majorHAnsi" w:cs="Arial"/>
        </w:rPr>
      </w:pPr>
      <w:r w:rsidRPr="00AA6921">
        <w:rPr>
          <w:rFonts w:asciiTheme="majorHAnsi" w:hAnsiTheme="majorHAnsi" w:cs="Arial"/>
        </w:rPr>
        <w:t>Do you take medications during your period</w:t>
      </w:r>
      <w:r>
        <w:rPr>
          <w:rFonts w:asciiTheme="majorHAnsi" w:hAnsiTheme="majorHAnsi" w:cs="Arial"/>
        </w:rPr>
        <w:t>?</w:t>
      </w:r>
      <w:r w:rsidRPr="00AA6921">
        <w:rPr>
          <w:rFonts w:asciiTheme="majorHAnsi" w:hAnsiTheme="majorHAnsi" w:cs="Arial"/>
        </w:rPr>
        <w:t xml:space="preserve"> </w:t>
      </w:r>
    </w:p>
    <w:p w14:paraId="786A14EB" w14:textId="77777777" w:rsidR="001C7DB5" w:rsidRPr="00AA6921" w:rsidRDefault="001C7DB5" w:rsidP="001C7DB5">
      <w:pPr>
        <w:spacing w:line="360" w:lineRule="auto"/>
        <w:ind w:firstLine="720"/>
        <w:rPr>
          <w:rFonts w:asciiTheme="majorHAnsi" w:eastAsia="MS Gothic" w:hAnsiTheme="majorHAnsi" w:cs="Arial"/>
        </w:rPr>
      </w:pPr>
      <w:r w:rsidRPr="00AA6921">
        <w:rPr>
          <w:rFonts w:ascii="Segoe UI Symbol" w:eastAsia="MS Gothic" w:hAnsi="Segoe UI Symbol" w:cs="Segoe UI Symbol"/>
        </w:rPr>
        <w:t>☐</w:t>
      </w:r>
      <w:r w:rsidRPr="00AA6921">
        <w:rPr>
          <w:rFonts w:asciiTheme="majorHAnsi" w:eastAsia="MS Gothic" w:hAnsiTheme="majorHAnsi" w:cs="Arial"/>
        </w:rPr>
        <w:t xml:space="preserve"> Yes</w:t>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Theme="majorHAnsi" w:eastAsia="MS Gothic" w:hAnsiTheme="majorHAnsi" w:cs="Arial"/>
        </w:rPr>
        <w:tab/>
      </w:r>
      <w:r w:rsidRPr="00AA6921">
        <w:rPr>
          <w:rFonts w:ascii="Segoe UI Symbol" w:eastAsia="MS Gothic" w:hAnsi="Segoe UI Symbol" w:cs="Segoe UI Symbol"/>
        </w:rPr>
        <w:t>☐</w:t>
      </w:r>
      <w:r w:rsidRPr="00AA6921">
        <w:rPr>
          <w:rFonts w:asciiTheme="majorHAnsi" w:eastAsia="MS Gothic" w:hAnsiTheme="majorHAnsi" w:cs="Arial"/>
        </w:rPr>
        <w:t xml:space="preserve"> No</w:t>
      </w:r>
    </w:p>
    <w:p w14:paraId="18B18385" w14:textId="77777777" w:rsidR="001C7DB5" w:rsidRPr="00AA6921" w:rsidRDefault="001C7DB5" w:rsidP="001C7DB5">
      <w:pPr>
        <w:spacing w:line="360" w:lineRule="auto"/>
        <w:rPr>
          <w:rFonts w:asciiTheme="majorHAnsi" w:eastAsia="MS Gothic" w:hAnsiTheme="majorHAnsi" w:cs="Arial"/>
        </w:rPr>
      </w:pPr>
      <w:r w:rsidRPr="00AA6921">
        <w:rPr>
          <w:rFonts w:asciiTheme="majorHAnsi" w:eastAsia="MS Gothic" w:hAnsiTheme="majorHAnsi" w:cs="Arial"/>
        </w:rPr>
        <w:t>If yes, please give details _______________________________________________________________________________________________________________________________________________________________________________________________________________________________________________________</w:t>
      </w:r>
    </w:p>
    <w:p w14:paraId="6D0F3A70" w14:textId="77777777" w:rsidR="001C7DB5" w:rsidRDefault="001C7DB5" w:rsidP="001C7DB5">
      <w:pPr>
        <w:rPr>
          <w:rFonts w:ascii="Arial" w:hAnsi="Arial" w:cs="Arial"/>
        </w:rPr>
      </w:pPr>
    </w:p>
    <w:p w14:paraId="7C41D292" w14:textId="77777777" w:rsidR="001C7DB5" w:rsidRDefault="001C7DB5" w:rsidP="001C7DB5">
      <w:pPr>
        <w:rPr>
          <w:rFonts w:ascii="Arial" w:hAnsi="Arial" w:cs="Arial"/>
        </w:rPr>
      </w:pPr>
      <w:r>
        <w:rPr>
          <w:rFonts w:ascii="Arial" w:hAnsi="Arial" w:cs="Arial"/>
          <w:noProof/>
        </w:rPr>
        <w:lastRenderedPageBreak/>
        <w:drawing>
          <wp:inline distT="0" distB="0" distL="0" distR="0" wp14:anchorId="171666F6" wp14:editId="51789926">
            <wp:extent cx="5727700" cy="2985434"/>
            <wp:effectExtent l="0" t="0" r="0" b="0"/>
            <wp:docPr id="5" name="Picture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2985434"/>
                    </a:xfrm>
                    <a:prstGeom prst="rect">
                      <a:avLst/>
                    </a:prstGeom>
                    <a:noFill/>
                    <a:ln>
                      <a:noFill/>
                    </a:ln>
                  </pic:spPr>
                </pic:pic>
              </a:graphicData>
            </a:graphic>
          </wp:inline>
        </w:drawing>
      </w:r>
    </w:p>
    <w:p w14:paraId="04381CDC" w14:textId="77777777" w:rsidR="001C7DB5" w:rsidRPr="008F0C2B" w:rsidRDefault="001C7DB5" w:rsidP="001C7DB5">
      <w:pPr>
        <w:ind w:left="-1800"/>
        <w:rPr>
          <w:rFonts w:ascii="Arial" w:hAnsi="Arial" w:cs="Arial"/>
        </w:rPr>
      </w:pPr>
      <w:r w:rsidRPr="008F0C2B">
        <w:rPr>
          <w:rFonts w:ascii="Arial" w:hAnsi="Arial" w:cs="Arial"/>
        </w:rPr>
        <w:br/>
      </w:r>
    </w:p>
    <w:p w14:paraId="77B7D419" w14:textId="77777777" w:rsidR="001C7DB5" w:rsidRDefault="001C7DB5" w:rsidP="001C7DB5">
      <w:pPr>
        <w:rPr>
          <w:rFonts w:ascii="Arial" w:hAnsi="Arial" w:cs="Arial"/>
          <w:b/>
          <w:bCs/>
        </w:rPr>
      </w:pPr>
    </w:p>
    <w:p w14:paraId="6250BB6A" w14:textId="77777777" w:rsidR="001C7DB5" w:rsidRDefault="001C7DB5" w:rsidP="001C7DB5">
      <w:pPr>
        <w:rPr>
          <w:rFonts w:ascii="Arial" w:hAnsi="Arial" w:cs="Arial"/>
          <w:b/>
          <w:bCs/>
        </w:rPr>
      </w:pPr>
    </w:p>
    <w:p w14:paraId="4E32C6EB" w14:textId="77777777" w:rsidR="001C7DB5" w:rsidRDefault="001C7DB5" w:rsidP="001C7DB5">
      <w:pPr>
        <w:rPr>
          <w:rFonts w:ascii="Arial" w:hAnsi="Arial" w:cs="Arial"/>
          <w:b/>
          <w:bCs/>
        </w:rPr>
      </w:pPr>
    </w:p>
    <w:p w14:paraId="0D06176A" w14:textId="77777777" w:rsidR="001C7DB5" w:rsidRDefault="001C7DB5" w:rsidP="001C7DB5">
      <w:pPr>
        <w:rPr>
          <w:rFonts w:ascii="Arial" w:hAnsi="Arial" w:cs="Arial"/>
          <w:b/>
          <w:bCs/>
        </w:rPr>
      </w:pPr>
    </w:p>
    <w:p w14:paraId="3DBD0284" w14:textId="77777777" w:rsidR="001C7DB5" w:rsidRDefault="001C7DB5" w:rsidP="001C7DB5">
      <w:pPr>
        <w:rPr>
          <w:rFonts w:ascii="Arial" w:hAnsi="Arial" w:cs="Arial"/>
          <w:b/>
          <w:bCs/>
        </w:rPr>
      </w:pPr>
    </w:p>
    <w:p w14:paraId="16482023" w14:textId="77777777" w:rsidR="002573D9" w:rsidRDefault="002573D9" w:rsidP="002573D9">
      <w:pPr>
        <w:spacing w:line="360" w:lineRule="auto"/>
        <w:jc w:val="both"/>
        <w:rPr>
          <w:rFonts w:asciiTheme="minorHAnsi" w:hAnsiTheme="minorHAnsi" w:cstheme="minorHAnsi"/>
          <w:b/>
          <w:color w:val="000000" w:themeColor="text1"/>
          <w:sz w:val="22"/>
          <w:szCs w:val="22"/>
        </w:rPr>
      </w:pPr>
    </w:p>
    <w:p w14:paraId="0328AE3A" w14:textId="4652E62A" w:rsidR="00A05F71" w:rsidRDefault="00A05F71" w:rsidP="00A05F71">
      <w:pPr>
        <w:spacing w:line="360" w:lineRule="auto"/>
        <w:jc w:val="both"/>
        <w:rPr>
          <w:rFonts w:asciiTheme="minorHAnsi" w:hAnsiTheme="minorHAnsi" w:cstheme="minorHAnsi"/>
          <w:color w:val="000000" w:themeColor="text1"/>
          <w:sz w:val="22"/>
          <w:szCs w:val="22"/>
          <w:lang w:val="en-GB"/>
        </w:rPr>
      </w:pPr>
    </w:p>
    <w:p w14:paraId="4AB0A7BC" w14:textId="77777777" w:rsidR="00A05F71" w:rsidRDefault="00A05F71" w:rsidP="00A05F71">
      <w:pPr>
        <w:spacing w:line="360" w:lineRule="auto"/>
        <w:jc w:val="both"/>
        <w:rPr>
          <w:rFonts w:asciiTheme="minorHAnsi" w:hAnsiTheme="minorHAnsi" w:cstheme="minorHAnsi"/>
          <w:b/>
          <w:bCs/>
          <w:color w:val="000000" w:themeColor="text1"/>
          <w:sz w:val="22"/>
          <w:szCs w:val="22"/>
          <w:lang w:val="en-GB"/>
        </w:rPr>
      </w:pPr>
    </w:p>
    <w:p w14:paraId="4D7D2368" w14:textId="761FA7C5" w:rsidR="002573D9" w:rsidRDefault="002573D9" w:rsidP="002573D9">
      <w:pPr>
        <w:spacing w:line="360" w:lineRule="auto"/>
        <w:jc w:val="both"/>
        <w:rPr>
          <w:rFonts w:asciiTheme="minorHAnsi" w:hAnsiTheme="minorHAnsi" w:cstheme="minorHAnsi"/>
          <w:color w:val="000000" w:themeColor="text1"/>
          <w:sz w:val="22"/>
          <w:szCs w:val="22"/>
          <w:lang w:val="en-GB"/>
        </w:rPr>
      </w:pPr>
    </w:p>
    <w:p w14:paraId="08AC52BA" w14:textId="724C3B59" w:rsidR="0019537A" w:rsidRDefault="0019537A" w:rsidP="00603A5D">
      <w:pPr>
        <w:rPr>
          <w:color w:val="000000" w:themeColor="text1"/>
        </w:rPr>
      </w:pPr>
    </w:p>
    <w:p w14:paraId="435D8063" w14:textId="1519189F" w:rsidR="00131BEB" w:rsidRDefault="00131BEB" w:rsidP="00603A5D">
      <w:pPr>
        <w:rPr>
          <w:color w:val="000000" w:themeColor="text1"/>
        </w:rPr>
      </w:pPr>
    </w:p>
    <w:p w14:paraId="7ED24C0C" w14:textId="77777777" w:rsidR="004B07B0" w:rsidRPr="00E41E05" w:rsidRDefault="004B07B0" w:rsidP="00603A5D">
      <w:pPr>
        <w:rPr>
          <w:color w:val="000000" w:themeColor="text1"/>
        </w:rPr>
      </w:pPr>
    </w:p>
    <w:sectPr w:rsidR="004B07B0" w:rsidRPr="00E41E05" w:rsidSect="00143D1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1E721C"/>
    <w:multiLevelType w:val="hybridMultilevel"/>
    <w:tmpl w:val="9348B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36664F"/>
    <w:multiLevelType w:val="hybridMultilevel"/>
    <w:tmpl w:val="5EEC127E"/>
    <w:lvl w:ilvl="0" w:tplc="08090001">
      <w:start w:val="1"/>
      <w:numFmt w:val="bullet"/>
      <w:lvlText w:val=""/>
      <w:lvlJc w:val="left"/>
      <w:pPr>
        <w:ind w:left="779" w:hanging="360"/>
      </w:pPr>
      <w:rPr>
        <w:rFonts w:ascii="Symbol" w:hAnsi="Symbol" w:hint="default"/>
      </w:rPr>
    </w:lvl>
    <w:lvl w:ilvl="1" w:tplc="08090003" w:tentative="1">
      <w:start w:val="1"/>
      <w:numFmt w:val="bullet"/>
      <w:lvlText w:val="o"/>
      <w:lvlJc w:val="left"/>
      <w:pPr>
        <w:ind w:left="1499" w:hanging="360"/>
      </w:pPr>
      <w:rPr>
        <w:rFonts w:ascii="Courier New" w:hAnsi="Courier New" w:cs="Courier New" w:hint="default"/>
      </w:rPr>
    </w:lvl>
    <w:lvl w:ilvl="2" w:tplc="08090005" w:tentative="1">
      <w:start w:val="1"/>
      <w:numFmt w:val="bullet"/>
      <w:lvlText w:val=""/>
      <w:lvlJc w:val="left"/>
      <w:pPr>
        <w:ind w:left="2219" w:hanging="360"/>
      </w:pPr>
      <w:rPr>
        <w:rFonts w:ascii="Wingdings" w:hAnsi="Wingdings" w:hint="default"/>
      </w:rPr>
    </w:lvl>
    <w:lvl w:ilvl="3" w:tplc="08090001" w:tentative="1">
      <w:start w:val="1"/>
      <w:numFmt w:val="bullet"/>
      <w:lvlText w:val=""/>
      <w:lvlJc w:val="left"/>
      <w:pPr>
        <w:ind w:left="2939" w:hanging="360"/>
      </w:pPr>
      <w:rPr>
        <w:rFonts w:ascii="Symbol" w:hAnsi="Symbol" w:hint="default"/>
      </w:rPr>
    </w:lvl>
    <w:lvl w:ilvl="4" w:tplc="08090003" w:tentative="1">
      <w:start w:val="1"/>
      <w:numFmt w:val="bullet"/>
      <w:lvlText w:val="o"/>
      <w:lvlJc w:val="left"/>
      <w:pPr>
        <w:ind w:left="3659" w:hanging="360"/>
      </w:pPr>
      <w:rPr>
        <w:rFonts w:ascii="Courier New" w:hAnsi="Courier New" w:cs="Courier New" w:hint="default"/>
      </w:rPr>
    </w:lvl>
    <w:lvl w:ilvl="5" w:tplc="08090005" w:tentative="1">
      <w:start w:val="1"/>
      <w:numFmt w:val="bullet"/>
      <w:lvlText w:val=""/>
      <w:lvlJc w:val="left"/>
      <w:pPr>
        <w:ind w:left="4379" w:hanging="360"/>
      </w:pPr>
      <w:rPr>
        <w:rFonts w:ascii="Wingdings" w:hAnsi="Wingdings" w:hint="default"/>
      </w:rPr>
    </w:lvl>
    <w:lvl w:ilvl="6" w:tplc="08090001" w:tentative="1">
      <w:start w:val="1"/>
      <w:numFmt w:val="bullet"/>
      <w:lvlText w:val=""/>
      <w:lvlJc w:val="left"/>
      <w:pPr>
        <w:ind w:left="5099" w:hanging="360"/>
      </w:pPr>
      <w:rPr>
        <w:rFonts w:ascii="Symbol" w:hAnsi="Symbol" w:hint="default"/>
      </w:rPr>
    </w:lvl>
    <w:lvl w:ilvl="7" w:tplc="08090003" w:tentative="1">
      <w:start w:val="1"/>
      <w:numFmt w:val="bullet"/>
      <w:lvlText w:val="o"/>
      <w:lvlJc w:val="left"/>
      <w:pPr>
        <w:ind w:left="5819" w:hanging="360"/>
      </w:pPr>
      <w:rPr>
        <w:rFonts w:ascii="Courier New" w:hAnsi="Courier New" w:cs="Courier New" w:hint="default"/>
      </w:rPr>
    </w:lvl>
    <w:lvl w:ilvl="8" w:tplc="08090005" w:tentative="1">
      <w:start w:val="1"/>
      <w:numFmt w:val="bullet"/>
      <w:lvlText w:val=""/>
      <w:lvlJc w:val="left"/>
      <w:pPr>
        <w:ind w:left="653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55C"/>
    <w:rsid w:val="00015958"/>
    <w:rsid w:val="00031FE1"/>
    <w:rsid w:val="00050F74"/>
    <w:rsid w:val="00063BE6"/>
    <w:rsid w:val="000B32CB"/>
    <w:rsid w:val="000B6735"/>
    <w:rsid w:val="000B7798"/>
    <w:rsid w:val="000B7CB8"/>
    <w:rsid w:val="000D3437"/>
    <w:rsid w:val="000E5BC2"/>
    <w:rsid w:val="000F170D"/>
    <w:rsid w:val="001131E6"/>
    <w:rsid w:val="001245F5"/>
    <w:rsid w:val="00131BEB"/>
    <w:rsid w:val="00140BE4"/>
    <w:rsid w:val="00143D14"/>
    <w:rsid w:val="0016055E"/>
    <w:rsid w:val="001741C1"/>
    <w:rsid w:val="001757A1"/>
    <w:rsid w:val="001775A8"/>
    <w:rsid w:val="0019537A"/>
    <w:rsid w:val="001A2C90"/>
    <w:rsid w:val="001A3CEA"/>
    <w:rsid w:val="001C7DB5"/>
    <w:rsid w:val="001F5296"/>
    <w:rsid w:val="001F69D3"/>
    <w:rsid w:val="002069D0"/>
    <w:rsid w:val="00230E0A"/>
    <w:rsid w:val="00240234"/>
    <w:rsid w:val="0024303B"/>
    <w:rsid w:val="00246182"/>
    <w:rsid w:val="002573D9"/>
    <w:rsid w:val="00273771"/>
    <w:rsid w:val="00276CBA"/>
    <w:rsid w:val="002D6A9B"/>
    <w:rsid w:val="002D6F06"/>
    <w:rsid w:val="002D73BF"/>
    <w:rsid w:val="00332D33"/>
    <w:rsid w:val="00344831"/>
    <w:rsid w:val="003538F8"/>
    <w:rsid w:val="00381D93"/>
    <w:rsid w:val="003A24F1"/>
    <w:rsid w:val="003A63BB"/>
    <w:rsid w:val="0040355C"/>
    <w:rsid w:val="00425EC3"/>
    <w:rsid w:val="00436E43"/>
    <w:rsid w:val="00442DDC"/>
    <w:rsid w:val="00457B34"/>
    <w:rsid w:val="00492D25"/>
    <w:rsid w:val="004962A8"/>
    <w:rsid w:val="004B07B0"/>
    <w:rsid w:val="004D2575"/>
    <w:rsid w:val="004D2A50"/>
    <w:rsid w:val="004D5783"/>
    <w:rsid w:val="004E2F1C"/>
    <w:rsid w:val="00501417"/>
    <w:rsid w:val="00506D00"/>
    <w:rsid w:val="00531B19"/>
    <w:rsid w:val="005402C3"/>
    <w:rsid w:val="00547137"/>
    <w:rsid w:val="005640C1"/>
    <w:rsid w:val="0059450E"/>
    <w:rsid w:val="00603A5D"/>
    <w:rsid w:val="006261F3"/>
    <w:rsid w:val="0063131D"/>
    <w:rsid w:val="006376D0"/>
    <w:rsid w:val="00650DD0"/>
    <w:rsid w:val="00667943"/>
    <w:rsid w:val="00677442"/>
    <w:rsid w:val="00697948"/>
    <w:rsid w:val="006C0164"/>
    <w:rsid w:val="006C57B5"/>
    <w:rsid w:val="006C7A13"/>
    <w:rsid w:val="006D1AE2"/>
    <w:rsid w:val="006F6BBC"/>
    <w:rsid w:val="006F79E7"/>
    <w:rsid w:val="00713D0A"/>
    <w:rsid w:val="00722FDF"/>
    <w:rsid w:val="00733BF7"/>
    <w:rsid w:val="00753800"/>
    <w:rsid w:val="007612B4"/>
    <w:rsid w:val="007A655A"/>
    <w:rsid w:val="007B1D94"/>
    <w:rsid w:val="007B40BA"/>
    <w:rsid w:val="007C5F80"/>
    <w:rsid w:val="00842ECD"/>
    <w:rsid w:val="00844F75"/>
    <w:rsid w:val="00853B05"/>
    <w:rsid w:val="008575AE"/>
    <w:rsid w:val="00862744"/>
    <w:rsid w:val="00862E81"/>
    <w:rsid w:val="008736C0"/>
    <w:rsid w:val="00896545"/>
    <w:rsid w:val="00897594"/>
    <w:rsid w:val="008B0ABC"/>
    <w:rsid w:val="008E2A67"/>
    <w:rsid w:val="0090015A"/>
    <w:rsid w:val="00902B57"/>
    <w:rsid w:val="0091080B"/>
    <w:rsid w:val="009133A4"/>
    <w:rsid w:val="00917E42"/>
    <w:rsid w:val="00932F56"/>
    <w:rsid w:val="00947C72"/>
    <w:rsid w:val="00952685"/>
    <w:rsid w:val="00996F7A"/>
    <w:rsid w:val="009A1EFB"/>
    <w:rsid w:val="009C3D11"/>
    <w:rsid w:val="009C5827"/>
    <w:rsid w:val="009C6EFF"/>
    <w:rsid w:val="009D3999"/>
    <w:rsid w:val="00A05F71"/>
    <w:rsid w:val="00A20DA9"/>
    <w:rsid w:val="00A22202"/>
    <w:rsid w:val="00A45B1A"/>
    <w:rsid w:val="00A536F2"/>
    <w:rsid w:val="00AC4165"/>
    <w:rsid w:val="00B13648"/>
    <w:rsid w:val="00B26F58"/>
    <w:rsid w:val="00B43502"/>
    <w:rsid w:val="00B458B4"/>
    <w:rsid w:val="00B70E26"/>
    <w:rsid w:val="00B74844"/>
    <w:rsid w:val="00B81C28"/>
    <w:rsid w:val="00B90AB5"/>
    <w:rsid w:val="00BA6589"/>
    <w:rsid w:val="00BD17EA"/>
    <w:rsid w:val="00BF380C"/>
    <w:rsid w:val="00C4560E"/>
    <w:rsid w:val="00C52E8D"/>
    <w:rsid w:val="00C67668"/>
    <w:rsid w:val="00C92311"/>
    <w:rsid w:val="00CB06D2"/>
    <w:rsid w:val="00CC1A78"/>
    <w:rsid w:val="00CE0E38"/>
    <w:rsid w:val="00CF2989"/>
    <w:rsid w:val="00D21993"/>
    <w:rsid w:val="00D24776"/>
    <w:rsid w:val="00D511D1"/>
    <w:rsid w:val="00D557F3"/>
    <w:rsid w:val="00D675F4"/>
    <w:rsid w:val="00D7659E"/>
    <w:rsid w:val="00DA3075"/>
    <w:rsid w:val="00DA6CD1"/>
    <w:rsid w:val="00DB51E6"/>
    <w:rsid w:val="00E20642"/>
    <w:rsid w:val="00E229F5"/>
    <w:rsid w:val="00E41E05"/>
    <w:rsid w:val="00E505B6"/>
    <w:rsid w:val="00E50F34"/>
    <w:rsid w:val="00E72EA7"/>
    <w:rsid w:val="00E73519"/>
    <w:rsid w:val="00E9551F"/>
    <w:rsid w:val="00EB288D"/>
    <w:rsid w:val="00EC0F5F"/>
    <w:rsid w:val="00ED58B2"/>
    <w:rsid w:val="00EE6494"/>
    <w:rsid w:val="00F12C62"/>
    <w:rsid w:val="00F131D3"/>
    <w:rsid w:val="00F26BEC"/>
    <w:rsid w:val="00F5014A"/>
    <w:rsid w:val="00F5161B"/>
    <w:rsid w:val="00F62843"/>
    <w:rsid w:val="00FA6375"/>
    <w:rsid w:val="00FB075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A2724"/>
  <w15:chartTrackingRefBased/>
  <w15:docId w15:val="{99B3B674-1223-9443-8B21-A868EC95A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CD1"/>
    <w:rPr>
      <w:rFonts w:ascii="Times New Roman" w:eastAsia="Times New Roman" w:hAnsi="Times New Roman" w:cs="Times New Roman"/>
      <w:lang w:eastAsia="en-GB"/>
    </w:rPr>
  </w:style>
  <w:style w:type="paragraph" w:styleId="Heading2">
    <w:name w:val="heading 2"/>
    <w:basedOn w:val="Normal"/>
    <w:next w:val="Normal"/>
    <w:link w:val="Heading2Char"/>
    <w:uiPriority w:val="9"/>
    <w:semiHidden/>
    <w:unhideWhenUsed/>
    <w:qFormat/>
    <w:rsid w:val="00063BE6"/>
    <w:pPr>
      <w:keepNext/>
      <w:keepLines/>
      <w:spacing w:before="200" w:line="276" w:lineRule="auto"/>
      <w:outlineLvl w:val="1"/>
    </w:pPr>
    <w:rPr>
      <w:rFonts w:ascii="Cambria" w:hAnsi="Cambria"/>
      <w:b/>
      <w:bCs/>
      <w:color w:val="4F81BD"/>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537A"/>
    <w:rPr>
      <w:color w:val="0563C1" w:themeColor="hyperlink"/>
      <w:u w:val="single"/>
    </w:rPr>
  </w:style>
  <w:style w:type="character" w:styleId="UnresolvedMention">
    <w:name w:val="Unresolved Mention"/>
    <w:basedOn w:val="DefaultParagraphFont"/>
    <w:uiPriority w:val="99"/>
    <w:semiHidden/>
    <w:unhideWhenUsed/>
    <w:rsid w:val="0019537A"/>
    <w:rPr>
      <w:color w:val="605E5C"/>
      <w:shd w:val="clear" w:color="auto" w:fill="E1DFDD"/>
    </w:rPr>
  </w:style>
  <w:style w:type="character" w:styleId="CommentReference">
    <w:name w:val="annotation reference"/>
    <w:basedOn w:val="DefaultParagraphFont"/>
    <w:uiPriority w:val="99"/>
    <w:semiHidden/>
    <w:unhideWhenUsed/>
    <w:rsid w:val="008575AE"/>
    <w:rPr>
      <w:sz w:val="16"/>
      <w:szCs w:val="16"/>
    </w:rPr>
  </w:style>
  <w:style w:type="paragraph" w:styleId="CommentText">
    <w:name w:val="annotation text"/>
    <w:basedOn w:val="Normal"/>
    <w:link w:val="CommentTextChar"/>
    <w:uiPriority w:val="99"/>
    <w:semiHidden/>
    <w:unhideWhenUsed/>
    <w:rsid w:val="008575A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8575AE"/>
    <w:rPr>
      <w:sz w:val="20"/>
      <w:szCs w:val="20"/>
    </w:rPr>
  </w:style>
  <w:style w:type="character" w:customStyle="1" w:styleId="Heading2Char">
    <w:name w:val="Heading 2 Char"/>
    <w:basedOn w:val="DefaultParagraphFont"/>
    <w:link w:val="Heading2"/>
    <w:uiPriority w:val="9"/>
    <w:semiHidden/>
    <w:rsid w:val="00063BE6"/>
    <w:rPr>
      <w:rFonts w:ascii="Cambria" w:eastAsia="Times New Roman" w:hAnsi="Cambria" w:cs="Times New Roman"/>
      <w:b/>
      <w:bCs/>
      <w:color w:val="4F81BD"/>
      <w:sz w:val="26"/>
      <w:szCs w:val="26"/>
      <w:lang w:val="en-US"/>
    </w:rPr>
  </w:style>
  <w:style w:type="character" w:styleId="PlaceholderText">
    <w:name w:val="Placeholder Text"/>
    <w:basedOn w:val="DefaultParagraphFont"/>
    <w:uiPriority w:val="99"/>
    <w:semiHidden/>
    <w:rsid w:val="00A20DA9"/>
    <w:rPr>
      <w:color w:val="808080"/>
    </w:rPr>
  </w:style>
  <w:style w:type="paragraph" w:styleId="ListParagraph">
    <w:name w:val="List Paragraph"/>
    <w:basedOn w:val="Normal"/>
    <w:uiPriority w:val="34"/>
    <w:qFormat/>
    <w:rsid w:val="004962A8"/>
    <w:pPr>
      <w:ind w:left="720"/>
      <w:contextualSpacing/>
    </w:pPr>
  </w:style>
  <w:style w:type="paragraph" w:styleId="Revision">
    <w:name w:val="Revision"/>
    <w:hidden/>
    <w:uiPriority w:val="99"/>
    <w:semiHidden/>
    <w:rsid w:val="00697948"/>
    <w:rPr>
      <w:rFonts w:ascii="Times New Roman" w:eastAsia="Times New Roman" w:hAnsi="Times New Roman" w:cs="Times New Roman"/>
      <w:lang w:eastAsia="en-GB"/>
    </w:rPr>
  </w:style>
  <w:style w:type="table" w:styleId="TableGrid">
    <w:name w:val="Table Grid"/>
    <w:basedOn w:val="TableNormal"/>
    <w:uiPriority w:val="39"/>
    <w:rsid w:val="000E5B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04816">
      <w:bodyDiv w:val="1"/>
      <w:marLeft w:val="0"/>
      <w:marRight w:val="0"/>
      <w:marTop w:val="0"/>
      <w:marBottom w:val="0"/>
      <w:divBdr>
        <w:top w:val="none" w:sz="0" w:space="0" w:color="auto"/>
        <w:left w:val="none" w:sz="0" w:space="0" w:color="auto"/>
        <w:bottom w:val="none" w:sz="0" w:space="0" w:color="auto"/>
        <w:right w:val="none" w:sz="0" w:space="0" w:color="auto"/>
      </w:divBdr>
    </w:div>
    <w:div w:id="26565997">
      <w:bodyDiv w:val="1"/>
      <w:marLeft w:val="0"/>
      <w:marRight w:val="0"/>
      <w:marTop w:val="0"/>
      <w:marBottom w:val="0"/>
      <w:divBdr>
        <w:top w:val="none" w:sz="0" w:space="0" w:color="auto"/>
        <w:left w:val="none" w:sz="0" w:space="0" w:color="auto"/>
        <w:bottom w:val="none" w:sz="0" w:space="0" w:color="auto"/>
        <w:right w:val="none" w:sz="0" w:space="0" w:color="auto"/>
      </w:divBdr>
    </w:div>
    <w:div w:id="94064026">
      <w:bodyDiv w:val="1"/>
      <w:marLeft w:val="0"/>
      <w:marRight w:val="0"/>
      <w:marTop w:val="0"/>
      <w:marBottom w:val="0"/>
      <w:divBdr>
        <w:top w:val="none" w:sz="0" w:space="0" w:color="auto"/>
        <w:left w:val="none" w:sz="0" w:space="0" w:color="auto"/>
        <w:bottom w:val="none" w:sz="0" w:space="0" w:color="auto"/>
        <w:right w:val="none" w:sz="0" w:space="0" w:color="auto"/>
      </w:divBdr>
    </w:div>
    <w:div w:id="619917800">
      <w:bodyDiv w:val="1"/>
      <w:marLeft w:val="0"/>
      <w:marRight w:val="0"/>
      <w:marTop w:val="0"/>
      <w:marBottom w:val="0"/>
      <w:divBdr>
        <w:top w:val="none" w:sz="0" w:space="0" w:color="auto"/>
        <w:left w:val="none" w:sz="0" w:space="0" w:color="auto"/>
        <w:bottom w:val="none" w:sz="0" w:space="0" w:color="auto"/>
        <w:right w:val="none" w:sz="0" w:space="0" w:color="auto"/>
      </w:divBdr>
    </w:div>
    <w:div w:id="731273601">
      <w:bodyDiv w:val="1"/>
      <w:marLeft w:val="0"/>
      <w:marRight w:val="0"/>
      <w:marTop w:val="0"/>
      <w:marBottom w:val="0"/>
      <w:divBdr>
        <w:top w:val="none" w:sz="0" w:space="0" w:color="auto"/>
        <w:left w:val="none" w:sz="0" w:space="0" w:color="auto"/>
        <w:bottom w:val="none" w:sz="0" w:space="0" w:color="auto"/>
        <w:right w:val="none" w:sz="0" w:space="0" w:color="auto"/>
      </w:divBdr>
    </w:div>
    <w:div w:id="849100277">
      <w:bodyDiv w:val="1"/>
      <w:marLeft w:val="0"/>
      <w:marRight w:val="0"/>
      <w:marTop w:val="0"/>
      <w:marBottom w:val="0"/>
      <w:divBdr>
        <w:top w:val="none" w:sz="0" w:space="0" w:color="auto"/>
        <w:left w:val="none" w:sz="0" w:space="0" w:color="auto"/>
        <w:bottom w:val="none" w:sz="0" w:space="0" w:color="auto"/>
        <w:right w:val="none" w:sz="0" w:space="0" w:color="auto"/>
      </w:divBdr>
    </w:div>
    <w:div w:id="892038373">
      <w:bodyDiv w:val="1"/>
      <w:marLeft w:val="0"/>
      <w:marRight w:val="0"/>
      <w:marTop w:val="0"/>
      <w:marBottom w:val="0"/>
      <w:divBdr>
        <w:top w:val="none" w:sz="0" w:space="0" w:color="auto"/>
        <w:left w:val="none" w:sz="0" w:space="0" w:color="auto"/>
        <w:bottom w:val="none" w:sz="0" w:space="0" w:color="auto"/>
        <w:right w:val="none" w:sz="0" w:space="0" w:color="auto"/>
      </w:divBdr>
    </w:div>
    <w:div w:id="1286421692">
      <w:bodyDiv w:val="1"/>
      <w:marLeft w:val="0"/>
      <w:marRight w:val="0"/>
      <w:marTop w:val="0"/>
      <w:marBottom w:val="0"/>
      <w:divBdr>
        <w:top w:val="none" w:sz="0" w:space="0" w:color="auto"/>
        <w:left w:val="none" w:sz="0" w:space="0" w:color="auto"/>
        <w:bottom w:val="none" w:sz="0" w:space="0" w:color="auto"/>
        <w:right w:val="none" w:sz="0" w:space="0" w:color="auto"/>
      </w:divBdr>
    </w:div>
    <w:div w:id="1420826733">
      <w:bodyDiv w:val="1"/>
      <w:marLeft w:val="0"/>
      <w:marRight w:val="0"/>
      <w:marTop w:val="0"/>
      <w:marBottom w:val="0"/>
      <w:divBdr>
        <w:top w:val="none" w:sz="0" w:space="0" w:color="auto"/>
        <w:left w:val="none" w:sz="0" w:space="0" w:color="auto"/>
        <w:bottom w:val="none" w:sz="0" w:space="0" w:color="auto"/>
        <w:right w:val="none" w:sz="0" w:space="0" w:color="auto"/>
      </w:divBdr>
    </w:div>
    <w:div w:id="1461532918">
      <w:bodyDiv w:val="1"/>
      <w:marLeft w:val="0"/>
      <w:marRight w:val="0"/>
      <w:marTop w:val="0"/>
      <w:marBottom w:val="0"/>
      <w:divBdr>
        <w:top w:val="none" w:sz="0" w:space="0" w:color="auto"/>
        <w:left w:val="none" w:sz="0" w:space="0" w:color="auto"/>
        <w:bottom w:val="none" w:sz="0" w:space="0" w:color="auto"/>
        <w:right w:val="none" w:sz="0" w:space="0" w:color="auto"/>
      </w:divBdr>
    </w:div>
    <w:div w:id="1471555982">
      <w:bodyDiv w:val="1"/>
      <w:marLeft w:val="0"/>
      <w:marRight w:val="0"/>
      <w:marTop w:val="0"/>
      <w:marBottom w:val="0"/>
      <w:divBdr>
        <w:top w:val="none" w:sz="0" w:space="0" w:color="auto"/>
        <w:left w:val="none" w:sz="0" w:space="0" w:color="auto"/>
        <w:bottom w:val="none" w:sz="0" w:space="0" w:color="auto"/>
        <w:right w:val="none" w:sz="0" w:space="0" w:color="auto"/>
      </w:divBdr>
    </w:div>
    <w:div w:id="1498883972">
      <w:bodyDiv w:val="1"/>
      <w:marLeft w:val="0"/>
      <w:marRight w:val="0"/>
      <w:marTop w:val="0"/>
      <w:marBottom w:val="0"/>
      <w:divBdr>
        <w:top w:val="none" w:sz="0" w:space="0" w:color="auto"/>
        <w:left w:val="none" w:sz="0" w:space="0" w:color="auto"/>
        <w:bottom w:val="none" w:sz="0" w:space="0" w:color="auto"/>
        <w:right w:val="none" w:sz="0" w:space="0" w:color="auto"/>
      </w:divBdr>
    </w:div>
    <w:div w:id="1586112162">
      <w:bodyDiv w:val="1"/>
      <w:marLeft w:val="0"/>
      <w:marRight w:val="0"/>
      <w:marTop w:val="0"/>
      <w:marBottom w:val="0"/>
      <w:divBdr>
        <w:top w:val="none" w:sz="0" w:space="0" w:color="auto"/>
        <w:left w:val="none" w:sz="0" w:space="0" w:color="auto"/>
        <w:bottom w:val="none" w:sz="0" w:space="0" w:color="auto"/>
        <w:right w:val="none" w:sz="0" w:space="0" w:color="auto"/>
      </w:divBdr>
    </w:div>
    <w:div w:id="195443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6.png"/><Relationship Id="rId5" Type="http://schemas.openxmlformats.org/officeDocument/2006/relationships/hyperlink" Target="http://www.rollercoaster.ie" TargetMode="External"/><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2692</Words>
  <Characters>15345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Ledwidge</dc:creator>
  <cp:keywords/>
  <dc:description/>
  <cp:lastModifiedBy>Mark Ledwidge</cp:lastModifiedBy>
  <cp:revision>3</cp:revision>
  <dcterms:created xsi:type="dcterms:W3CDTF">2023-08-16T13:44:00Z</dcterms:created>
  <dcterms:modified xsi:type="dcterms:W3CDTF">2023-08-16T13:44:00Z</dcterms:modified>
</cp:coreProperties>
</file>