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4E211" w14:textId="4A553903" w:rsidR="00193B4E" w:rsidRPr="00E83799" w:rsidRDefault="00CE5536" w:rsidP="00D64844">
      <w:pPr>
        <w:spacing w:after="0" w:line="240" w:lineRule="auto"/>
        <w:rPr>
          <w:b/>
        </w:rPr>
      </w:pPr>
      <w:r w:rsidRPr="00E83799">
        <w:rPr>
          <w:b/>
        </w:rPr>
        <w:t>Professional societ</w:t>
      </w:r>
      <w:r w:rsidR="00E83799">
        <w:rPr>
          <w:b/>
        </w:rPr>
        <w:t xml:space="preserve">ies </w:t>
      </w:r>
      <w:r w:rsidR="00FA4F8A" w:rsidRPr="00E83799">
        <w:rPr>
          <w:b/>
        </w:rPr>
        <w:t>and other</w:t>
      </w:r>
      <w:r w:rsidR="00E83799" w:rsidRPr="00E83799">
        <w:rPr>
          <w:b/>
        </w:rPr>
        <w:t xml:space="preserve"> grey resources searched to obtain databases</w:t>
      </w:r>
    </w:p>
    <w:p w14:paraId="56C18BC7" w14:textId="77777777" w:rsidR="00E15FAD" w:rsidRPr="00E83799" w:rsidRDefault="00E15FAD" w:rsidP="00D64844">
      <w:pPr>
        <w:spacing w:after="0" w:line="240" w:lineRule="auto"/>
        <w:rPr>
          <w:b/>
        </w:rPr>
      </w:pPr>
    </w:p>
    <w:tbl>
      <w:tblPr>
        <w:tblW w:w="2539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</w:tblGrid>
      <w:tr w:rsidR="00E83799" w:rsidRPr="00E83799" w14:paraId="7BDE466E" w14:textId="4DDEE582" w:rsidTr="00E83799">
        <w:trPr>
          <w:trHeight w:val="87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14:paraId="5A1C4535" w14:textId="77777777" w:rsidR="00E83799" w:rsidRPr="00E83799" w:rsidRDefault="00E83799" w:rsidP="00E15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b/>
                <w:bCs/>
                <w:lang w:eastAsia="en-GB"/>
              </w:rPr>
              <w:t>Organisation</w:t>
            </w:r>
          </w:p>
          <w:p w14:paraId="0997DC06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21E07686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</w:tc>
      </w:tr>
      <w:tr w:rsidR="00E83799" w:rsidRPr="00E83799" w14:paraId="298802FE" w14:textId="5416E276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1940F674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European Society of Clinical Pharmacy</w:t>
            </w:r>
          </w:p>
        </w:tc>
      </w:tr>
      <w:tr w:rsidR="00E83799" w:rsidRPr="00E83799" w14:paraId="0DFBFD17" w14:textId="09CD2290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61E78F22" w14:textId="4554449F" w:rsidR="00E83799" w:rsidRPr="00E83799" w:rsidRDefault="00CE46EE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CE46EE">
              <w:rPr>
                <w:rFonts w:ascii="Calibri" w:eastAsia="Times New Roman" w:hAnsi="Calibri" w:cs="Calibri"/>
                <w:lang w:eastAsia="en-GB"/>
              </w:rPr>
              <w:t>The International Pharmaceutical Federation (FIP)</w:t>
            </w:r>
          </w:p>
        </w:tc>
      </w:tr>
      <w:tr w:rsidR="00CE46EE" w:rsidRPr="00E83799" w14:paraId="5B07DB59" w14:textId="77777777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</w:tcPr>
          <w:p w14:paraId="6B5FF35B" w14:textId="61F11992" w:rsidR="00CE46EE" w:rsidRPr="00CE46EE" w:rsidRDefault="00CE46EE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European Association of Hospital Pharmacy </w:t>
            </w:r>
          </w:p>
        </w:tc>
      </w:tr>
      <w:tr w:rsidR="00E83799" w:rsidRPr="00E83799" w14:paraId="2410E9EA" w14:textId="0F91D136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17292649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American Pharmacist Association</w:t>
            </w:r>
          </w:p>
        </w:tc>
      </w:tr>
      <w:tr w:rsidR="00E83799" w:rsidRPr="00E83799" w14:paraId="0C972372" w14:textId="5B221901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37EA7B64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American College of Clinical Pharmacy</w:t>
            </w:r>
          </w:p>
        </w:tc>
      </w:tr>
      <w:tr w:rsidR="00E83799" w:rsidRPr="00E83799" w14:paraId="659F0C9D" w14:textId="418ED4F4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1D377A46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American Society of Health System Pharmacy</w:t>
            </w:r>
          </w:p>
        </w:tc>
      </w:tr>
      <w:tr w:rsidR="00E83799" w:rsidRPr="00E83799" w14:paraId="773F6A3E" w14:textId="6AF2A548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21B3C5CB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Pharmaceutical Group of the European Union</w:t>
            </w:r>
          </w:p>
        </w:tc>
      </w:tr>
      <w:tr w:rsidR="00E83799" w:rsidRPr="00E83799" w14:paraId="386A4C7B" w14:textId="30F5D6D8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56DBCC80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Pharmaceutical Society of New Zealand</w:t>
            </w:r>
          </w:p>
        </w:tc>
      </w:tr>
      <w:tr w:rsidR="00E83799" w:rsidRPr="00E83799" w14:paraId="316BC607" w14:textId="491E5A49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6104E5F2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Pharmaceutical Society of Ireland</w:t>
            </w:r>
          </w:p>
        </w:tc>
      </w:tr>
      <w:tr w:rsidR="00E83799" w:rsidRPr="00E83799" w14:paraId="2302D190" w14:textId="750F83EA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</w:tcPr>
          <w:p w14:paraId="0E98D62F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Pharmaceutical Society of Northern Ireland</w:t>
            </w:r>
          </w:p>
        </w:tc>
      </w:tr>
      <w:tr w:rsidR="00E83799" w:rsidRPr="00E83799" w14:paraId="4E0D0B48" w14:textId="36A2C0A0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</w:tcPr>
          <w:p w14:paraId="3E2E4965" w14:textId="77777777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Chinese Pharmaceutical Association</w:t>
            </w:r>
          </w:p>
        </w:tc>
      </w:tr>
      <w:tr w:rsidR="00E83799" w:rsidRPr="00E83799" w14:paraId="793DF841" w14:textId="3B8D067E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6576BA72" w14:textId="77777777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Australasian college of Pharmacy</w:t>
            </w:r>
          </w:p>
        </w:tc>
      </w:tr>
      <w:tr w:rsidR="00E83799" w:rsidRPr="00E83799" w14:paraId="1DC5BA84" w14:textId="00F1A79D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5969DFB4" w14:textId="77777777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Canadian Pharmacists Association</w:t>
            </w:r>
          </w:p>
        </w:tc>
      </w:tr>
      <w:tr w:rsidR="00E83799" w:rsidRPr="00E83799" w14:paraId="240F5451" w14:textId="15BBF1F9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459110F3" w14:textId="77777777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General Pharmaceutical Council</w:t>
            </w:r>
          </w:p>
        </w:tc>
      </w:tr>
      <w:tr w:rsidR="00E83799" w:rsidRPr="00E83799" w14:paraId="3119D2FA" w14:textId="0D2AA5E2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14:paraId="7B226922" w14:textId="77777777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Royal Pharmaceutical Society (GB)</w:t>
            </w:r>
          </w:p>
        </w:tc>
      </w:tr>
      <w:tr w:rsidR="00E83799" w:rsidRPr="00E83799" w14:paraId="2C94F16F" w14:textId="5175DE39" w:rsidTr="00E83799">
        <w:trPr>
          <w:trHeight w:val="290"/>
        </w:trPr>
        <w:tc>
          <w:tcPr>
            <w:tcW w:w="5000" w:type="pct"/>
            <w:shd w:val="clear" w:color="auto" w:fill="auto"/>
            <w:noWrap/>
          </w:tcPr>
          <w:p w14:paraId="4AB4F801" w14:textId="5AAA95FD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t>Malta medicines authority</w:t>
            </w:r>
          </w:p>
        </w:tc>
      </w:tr>
      <w:tr w:rsidR="00E83799" w:rsidRPr="00E83799" w14:paraId="1A918FD0" w14:textId="3AF9D0FD" w:rsidTr="00E83799">
        <w:trPr>
          <w:trHeight w:val="290"/>
        </w:trPr>
        <w:tc>
          <w:tcPr>
            <w:tcW w:w="5000" w:type="pct"/>
            <w:shd w:val="clear" w:color="auto" w:fill="auto"/>
            <w:noWrap/>
          </w:tcPr>
          <w:p w14:paraId="68FEE9FE" w14:textId="36287950" w:rsidR="00E83799" w:rsidRPr="00E83799" w:rsidRDefault="00E83799" w:rsidP="00740207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t>Malta chamber of pharmacists</w:t>
            </w:r>
          </w:p>
        </w:tc>
      </w:tr>
      <w:tr w:rsidR="00E83799" w:rsidRPr="00E83799" w14:paraId="5EC2679B" w14:textId="726BDC7B" w:rsidTr="00E83799">
        <w:trPr>
          <w:trHeight w:val="290"/>
        </w:trPr>
        <w:tc>
          <w:tcPr>
            <w:tcW w:w="5000" w:type="pct"/>
            <w:shd w:val="clear" w:color="auto" w:fill="auto"/>
            <w:noWrap/>
          </w:tcPr>
          <w:p w14:paraId="5D46CD17" w14:textId="2260D3B5" w:rsidR="00E83799" w:rsidRPr="00E83799" w:rsidRDefault="00E83799" w:rsidP="00B55472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t>MAHP - Malta Association of Hospital Pharmacists</w:t>
            </w:r>
          </w:p>
        </w:tc>
      </w:tr>
      <w:tr w:rsidR="00E83799" w:rsidRPr="00E83799" w14:paraId="5B4A7E04" w14:textId="28FF695A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14:paraId="7D0808F7" w14:textId="4CD97049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Germany </w:t>
            </w:r>
          </w:p>
        </w:tc>
      </w:tr>
      <w:tr w:rsidR="00E83799" w:rsidRPr="00E83799" w14:paraId="0C322485" w14:textId="77777777" w:rsidTr="00B01128">
        <w:trPr>
          <w:trHeight w:val="290"/>
        </w:trPr>
        <w:tc>
          <w:tcPr>
            <w:tcW w:w="5000" w:type="pct"/>
            <w:shd w:val="clear" w:color="auto" w:fill="auto"/>
            <w:noWrap/>
          </w:tcPr>
          <w:p w14:paraId="548EFAA3" w14:textId="1414912E" w:rsidR="00E83799" w:rsidRPr="00E83799" w:rsidRDefault="00E83799" w:rsidP="00E83799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Austria</w:t>
            </w:r>
          </w:p>
        </w:tc>
      </w:tr>
      <w:tr w:rsidR="00E83799" w:rsidRPr="00E83799" w14:paraId="71798DF0" w14:textId="017584D7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0629CEB1" w14:textId="6F91783A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 Czech Republic</w:t>
            </w:r>
          </w:p>
        </w:tc>
      </w:tr>
      <w:tr w:rsidR="00E83799" w:rsidRPr="00E83799" w14:paraId="3DF29A28" w14:textId="07295EA9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5F47376E" w14:textId="7092B9F5" w:rsidR="00E83799" w:rsidRPr="00E83799" w:rsidRDefault="00E83799" w:rsidP="00D64844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Croatia</w:t>
            </w:r>
          </w:p>
        </w:tc>
      </w:tr>
      <w:tr w:rsidR="00E83799" w:rsidRPr="00E83799" w14:paraId="586CB2A2" w14:textId="6B4E4B64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1F10D370" w14:textId="1678E8A5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Republic of Serbia</w:t>
            </w:r>
          </w:p>
        </w:tc>
      </w:tr>
      <w:tr w:rsidR="00E83799" w:rsidRPr="00E83799" w14:paraId="240EF67A" w14:textId="19B4B9D2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5D0DCE36" w14:textId="0A77C93D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Bulgaria</w:t>
            </w:r>
          </w:p>
        </w:tc>
      </w:tr>
      <w:tr w:rsidR="00E83799" w:rsidRPr="00E83799" w14:paraId="2EB7D622" w14:textId="2CB89DDE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3A10C5E8" w14:textId="4F983D91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Estonia</w:t>
            </w:r>
          </w:p>
        </w:tc>
      </w:tr>
      <w:tr w:rsidR="00E83799" w:rsidRPr="00E83799" w14:paraId="7AF8CD7A" w14:textId="014AE5B5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14:paraId="3ABE1DDB" w14:textId="7EC927AA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bookmarkStart w:id="0" w:name="_GoBack"/>
            <w:bookmarkEnd w:id="0"/>
            <w:r w:rsidRPr="00E83799">
              <w:rPr>
                <w:rFonts w:ascii="Calibri" w:eastAsia="Times New Roman" w:hAnsi="Calibri" w:cs="Calibri"/>
                <w:lang w:eastAsia="en-GB"/>
              </w:rPr>
              <w:lastRenderedPageBreak/>
              <w:t> 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Netherlands</w:t>
            </w:r>
          </w:p>
        </w:tc>
      </w:tr>
      <w:tr w:rsidR="00E83799" w:rsidRPr="00E83799" w14:paraId="514C0407" w14:textId="0DD1E52F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14:paraId="35EFA8B9" w14:textId="426A3C5C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 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Pharmacy Professional Society of 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Turkey </w:t>
            </w:r>
          </w:p>
        </w:tc>
      </w:tr>
      <w:tr w:rsidR="00E83799" w:rsidRPr="00E83799" w14:paraId="6CAA33CB" w14:textId="0CC29A6B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  <w:hideMark/>
          </w:tcPr>
          <w:p w14:paraId="6C435B34" w14:textId="4F959C06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>Pharmacy Professional Society of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 Switzerland</w:t>
            </w:r>
          </w:p>
        </w:tc>
      </w:tr>
      <w:tr w:rsidR="00E83799" w:rsidRPr="00E83799" w14:paraId="66793CC1" w14:textId="4CFE1460" w:rsidTr="00E83799">
        <w:trPr>
          <w:trHeight w:val="290"/>
        </w:trPr>
        <w:tc>
          <w:tcPr>
            <w:tcW w:w="5000" w:type="pct"/>
            <w:shd w:val="clear" w:color="auto" w:fill="auto"/>
            <w:noWrap/>
            <w:vAlign w:val="bottom"/>
          </w:tcPr>
          <w:p w14:paraId="5891E516" w14:textId="009A7389" w:rsidR="00E83799" w:rsidRPr="00E83799" w:rsidRDefault="00E83799" w:rsidP="00181935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E83799">
              <w:rPr>
                <w:rFonts w:ascii="Calibri" w:eastAsia="Times New Roman" w:hAnsi="Calibri" w:cs="Calibri"/>
                <w:lang w:eastAsia="en-GB"/>
              </w:rPr>
              <w:t xml:space="preserve">Pharmacy Professional Society of </w:t>
            </w:r>
            <w:r w:rsidRPr="00E83799">
              <w:rPr>
                <w:rFonts w:ascii="Calibri" w:eastAsia="Times New Roman" w:hAnsi="Calibri" w:cs="Calibri"/>
                <w:lang w:eastAsia="en-GB"/>
              </w:rPr>
              <w:t>Slovakia</w:t>
            </w:r>
          </w:p>
        </w:tc>
      </w:tr>
    </w:tbl>
    <w:p w14:paraId="41F466C6" w14:textId="77777777" w:rsidR="005A69F6" w:rsidRPr="00E83799" w:rsidRDefault="005A69F6" w:rsidP="00D64844">
      <w:pPr>
        <w:spacing w:after="0" w:line="240" w:lineRule="auto"/>
      </w:pPr>
    </w:p>
    <w:p w14:paraId="6C7AF618" w14:textId="77777777" w:rsidR="00213D8B" w:rsidRPr="00E83799" w:rsidRDefault="00213D8B">
      <w:pPr>
        <w:rPr>
          <w:b/>
          <w:bCs/>
          <w:sz w:val="24"/>
          <w:szCs w:val="24"/>
        </w:rPr>
      </w:pPr>
      <w:r w:rsidRPr="00E83799">
        <w:rPr>
          <w:b/>
          <w:bCs/>
          <w:sz w:val="24"/>
          <w:szCs w:val="24"/>
        </w:rPr>
        <w:br w:type="page"/>
      </w:r>
    </w:p>
    <w:p w14:paraId="468CEE56" w14:textId="6B7E6F26" w:rsidR="001F741D" w:rsidRPr="00E83799" w:rsidRDefault="00977DB6" w:rsidP="00977DB6">
      <w:bookmarkStart w:id="1" w:name="_Hlk128733679"/>
      <w:r w:rsidRPr="00E83799">
        <w:rPr>
          <w:b/>
          <w:bCs/>
          <w:sz w:val="24"/>
          <w:szCs w:val="24"/>
        </w:rPr>
        <w:lastRenderedPageBreak/>
        <w:t>**INCLUDED</w:t>
      </w:r>
    </w:p>
    <w:p w14:paraId="27A04212" w14:textId="77777777" w:rsidR="001F741D" w:rsidRPr="00E83799" w:rsidRDefault="00CE46EE" w:rsidP="001F741D">
      <w:pPr>
        <w:numPr>
          <w:ilvl w:val="0"/>
          <w:numId w:val="1"/>
        </w:numPr>
        <w:spacing w:after="0" w:line="240" w:lineRule="auto"/>
        <w:rPr>
          <w:lang w:val="en-IE"/>
        </w:rPr>
      </w:pPr>
      <w:hyperlink r:id="rId5" w:history="1">
        <w:r w:rsidR="001F741D" w:rsidRPr="00E83799">
          <w:rPr>
            <w:rStyle w:val="Hyperlink"/>
            <w:color w:val="auto"/>
            <w:lang w:val="en-IE"/>
          </w:rPr>
          <w:t>Guidelines on the Disposal of Medicinal Products for a Retail Pharmacy Business (Version 3, Oct. 2017)</w:t>
        </w:r>
        <w:r w:rsidR="001F741D" w:rsidRPr="00E83799">
          <w:rPr>
            <w:rStyle w:val="Hyperlink"/>
            <w:color w:val="auto"/>
            <w:lang w:val="en-IE"/>
          </w:rPr>
          <w:br/>
        </w:r>
      </w:hyperlink>
    </w:p>
    <w:p w14:paraId="6E244B90" w14:textId="77777777" w:rsidR="001F741D" w:rsidRPr="00E83799" w:rsidRDefault="00CE46EE" w:rsidP="001F741D">
      <w:pPr>
        <w:numPr>
          <w:ilvl w:val="0"/>
          <w:numId w:val="1"/>
        </w:numPr>
        <w:spacing w:after="0" w:line="240" w:lineRule="auto"/>
        <w:rPr>
          <w:lang w:val="en-IE"/>
        </w:rPr>
      </w:pPr>
      <w:hyperlink r:id="rId6" w:history="1">
        <w:r w:rsidR="001F741D" w:rsidRPr="00E83799">
          <w:rPr>
            <w:rStyle w:val="Hyperlink"/>
            <w:color w:val="auto"/>
            <w:lang w:val="en-IE"/>
          </w:rPr>
          <w:t>Guidelines on Counselling and Medicine Therapy Review in the Supply of Prescribed Medicinal Products from a Retail Pharmacy Business (Version 4, October 2019)</w:t>
        </w:r>
      </w:hyperlink>
    </w:p>
    <w:p w14:paraId="0173B7A5" w14:textId="77777777" w:rsidR="001F741D" w:rsidRPr="00E83799" w:rsidRDefault="00CE46EE" w:rsidP="001F741D">
      <w:pPr>
        <w:numPr>
          <w:ilvl w:val="0"/>
          <w:numId w:val="1"/>
        </w:numPr>
        <w:spacing w:after="0" w:line="240" w:lineRule="auto"/>
        <w:rPr>
          <w:lang w:val="en-IE"/>
        </w:rPr>
      </w:pPr>
      <w:hyperlink r:id="rId7" w:history="1">
        <w:r w:rsidR="001F741D" w:rsidRPr="00E83799">
          <w:rPr>
            <w:rStyle w:val="Hyperlink"/>
            <w:color w:val="auto"/>
            <w:lang w:val="en-IE"/>
          </w:rPr>
          <w:t>Guidelines on Keeping Records in Respect of Medicinal Products when Conducting a Retail Pharmacy Business (Version 3, April 2019)</w:t>
        </w:r>
      </w:hyperlink>
    </w:p>
    <w:p w14:paraId="4F58F0CF" w14:textId="77777777" w:rsidR="001F741D" w:rsidRPr="00E83799" w:rsidRDefault="00CE46EE" w:rsidP="001F741D">
      <w:pPr>
        <w:numPr>
          <w:ilvl w:val="0"/>
          <w:numId w:val="1"/>
        </w:numPr>
        <w:spacing w:after="0" w:line="240" w:lineRule="auto"/>
        <w:rPr>
          <w:lang w:val="en-IE"/>
        </w:rPr>
      </w:pPr>
      <w:hyperlink r:id="rId8" w:history="1">
        <w:r w:rsidR="001F741D" w:rsidRPr="00E83799">
          <w:rPr>
            <w:rStyle w:val="Hyperlink"/>
            <w:color w:val="auto"/>
            <w:lang w:val="en-IE"/>
          </w:rPr>
          <w:t>Guidelines on the Sale or Supply of Non-Prescription Medicinal Products from a Retail Pharmacy Business (Version 1, November 2018)</w:t>
        </w:r>
      </w:hyperlink>
    </w:p>
    <w:p w14:paraId="666CE89B" w14:textId="77777777" w:rsidR="001F741D" w:rsidRPr="00E83799" w:rsidRDefault="001F741D" w:rsidP="00D64844">
      <w:pPr>
        <w:spacing w:after="0" w:line="240" w:lineRule="auto"/>
      </w:pPr>
    </w:p>
    <w:p w14:paraId="71D32F82" w14:textId="77777777" w:rsidR="001F741D" w:rsidRPr="00E83799" w:rsidRDefault="00CE46EE" w:rsidP="001F741D">
      <w:pPr>
        <w:numPr>
          <w:ilvl w:val="0"/>
          <w:numId w:val="3"/>
        </w:numPr>
        <w:spacing w:after="0" w:line="240" w:lineRule="auto"/>
        <w:rPr>
          <w:lang w:val="en-IE"/>
        </w:rPr>
      </w:pPr>
      <w:hyperlink r:id="rId9" w:history="1">
        <w:r w:rsidR="001F741D" w:rsidRPr="00E83799">
          <w:rPr>
            <w:rStyle w:val="Hyperlink"/>
            <w:color w:val="auto"/>
            <w:lang w:val="en-IE"/>
          </w:rPr>
          <w:t>Guidance on the Provision of Testing Services in Pharmacies (Version 3, October 2019)</w:t>
        </w:r>
      </w:hyperlink>
    </w:p>
    <w:p w14:paraId="4DD28C41" w14:textId="77777777" w:rsidR="001F741D" w:rsidRPr="00E83799" w:rsidRDefault="00CE46EE" w:rsidP="001F741D">
      <w:pPr>
        <w:numPr>
          <w:ilvl w:val="0"/>
          <w:numId w:val="3"/>
        </w:numPr>
        <w:spacing w:after="0" w:line="240" w:lineRule="auto"/>
        <w:rPr>
          <w:lang w:val="en-IE"/>
        </w:rPr>
      </w:pPr>
      <w:hyperlink r:id="rId10" w:history="1">
        <w:r w:rsidR="001F741D" w:rsidRPr="00E83799">
          <w:rPr>
            <w:rStyle w:val="Hyperlink"/>
            <w:color w:val="auto"/>
            <w:lang w:val="en-IE"/>
          </w:rPr>
          <w:t xml:space="preserve">Guidance on the Delivery of Medicines Dispensed on foot of a Prescription from a Retail Pharmacy Business (Version 1, July 2014) </w:t>
        </w:r>
      </w:hyperlink>
    </w:p>
    <w:p w14:paraId="215B8789" w14:textId="77777777" w:rsidR="001F741D" w:rsidRPr="00E83799" w:rsidRDefault="00CE46EE" w:rsidP="001F741D">
      <w:pPr>
        <w:numPr>
          <w:ilvl w:val="0"/>
          <w:numId w:val="3"/>
        </w:numPr>
        <w:spacing w:after="0" w:line="240" w:lineRule="auto"/>
        <w:rPr>
          <w:lang w:val="en-IE"/>
        </w:rPr>
      </w:pPr>
      <w:hyperlink r:id="rId11" w:history="1">
        <w:r w:rsidR="001F741D" w:rsidRPr="00E83799">
          <w:rPr>
            <w:rStyle w:val="Hyperlink"/>
            <w:color w:val="auto"/>
            <w:lang w:val="en-IE"/>
          </w:rPr>
          <w:t>Guidance on the Provision of Vaccination Services by Pharmacists in Retail Pharmacy Businesses (Version 7, October 2021)</w:t>
        </w:r>
      </w:hyperlink>
    </w:p>
    <w:p w14:paraId="1788942C" w14:textId="3D8E442D" w:rsidR="00E43133" w:rsidRPr="00E83799" w:rsidRDefault="00CE46EE" w:rsidP="002F21C8">
      <w:pPr>
        <w:numPr>
          <w:ilvl w:val="0"/>
          <w:numId w:val="3"/>
        </w:numPr>
        <w:spacing w:after="0" w:line="240" w:lineRule="auto"/>
      </w:pPr>
      <w:hyperlink r:id="rId12" w:history="1">
        <w:r w:rsidR="001F741D" w:rsidRPr="00E83799">
          <w:rPr>
            <w:rStyle w:val="Hyperlink"/>
            <w:color w:val="auto"/>
            <w:lang w:val="en-IE"/>
          </w:rPr>
          <w:t>Guidance for Pharmacists on Extemporaneous Dispensing (Version 1, June 2015)</w:t>
        </w:r>
      </w:hyperlink>
      <w:r w:rsidR="001F741D" w:rsidRPr="00E83799">
        <w:rPr>
          <w:lang w:val="en-IE"/>
        </w:rPr>
        <w:t xml:space="preserve"> </w:t>
      </w:r>
      <w:bookmarkStart w:id="2" w:name="893"/>
      <w:bookmarkStart w:id="3" w:name="874"/>
      <w:bookmarkEnd w:id="2"/>
      <w:bookmarkEnd w:id="3"/>
    </w:p>
    <w:p w14:paraId="15DA4047" w14:textId="0C12ADDC" w:rsidR="003E5890" w:rsidRPr="00E83799" w:rsidRDefault="00CE46EE">
      <w:pPr>
        <w:rPr>
          <w:lang w:val="en-IE"/>
        </w:rPr>
      </w:pPr>
      <w:hyperlink r:id="rId13" w:history="1">
        <w:r w:rsidR="00600DAB" w:rsidRPr="00E83799">
          <w:rPr>
            <w:rStyle w:val="Hyperlink"/>
            <w:rFonts w:ascii="Calibri" w:eastAsia="Times New Roman" w:hAnsi="Calibri" w:cs="Calibri"/>
            <w:color w:val="auto"/>
            <w:lang w:eastAsia="en-GB"/>
          </w:rPr>
          <w:t>https://www.pharmacyregulation.org/content/practice-guidance-pharmacist-prescribers-february-2020</w:t>
        </w:r>
      </w:hyperlink>
    </w:p>
    <w:p w14:paraId="728E09F1" w14:textId="2F32AFB3" w:rsidR="003E5890" w:rsidRPr="00E83799" w:rsidRDefault="00E55BAD" w:rsidP="003E5890">
      <w:pPr>
        <w:spacing w:after="0" w:line="240" w:lineRule="auto"/>
        <w:ind w:left="360"/>
      </w:pPr>
      <w:r w:rsidRPr="00E83799">
        <w:fldChar w:fldCharType="begin"/>
      </w:r>
      <w:r w:rsidRPr="00E83799">
        <w:instrText>https://www.shpa.org.au/publications-resources/standards-of-practice/standards-of-practice-for-clinical-pharmacy-services</w:instrText>
      </w:r>
      <w:r w:rsidRPr="00E83799">
        <w:fldChar w:fldCharType="separate"/>
      </w:r>
      <w:r w:rsidRPr="00E83799">
        <w:rPr>
          <w:rStyle w:val="Hyperlink"/>
          <w:color w:val="auto"/>
        </w:rPr>
        <w:t>https://www.shpa.org.au/publications-resources/standards-of-practice/standards-of-practice-for-clinical-pharmacy-services</w:t>
      </w:r>
      <w:r w:rsidRPr="00E83799">
        <w:fldChar w:fldCharType="end"/>
      </w:r>
    </w:p>
    <w:p w14:paraId="003786C9" w14:textId="735D5999" w:rsidR="00600DAB" w:rsidRPr="00E83799" w:rsidRDefault="00600DAB" w:rsidP="003E5890">
      <w:pPr>
        <w:spacing w:after="0" w:line="240" w:lineRule="auto"/>
        <w:ind w:left="360"/>
      </w:pPr>
      <w:r w:rsidRPr="00E83799">
        <w:t xml:space="preserve">we have downloaded individual chapters of these from the journal resources here </w:t>
      </w:r>
      <w:hyperlink r:id="rId14" w:history="1">
        <w:r w:rsidRPr="00E83799">
          <w:rPr>
            <w:rStyle w:val="Hyperlink"/>
            <w:color w:val="auto"/>
          </w:rPr>
          <w:t>https://onlinelibrary.wiley.com/toc/20552335/2013/43/S2</w:t>
        </w:r>
      </w:hyperlink>
      <w:r w:rsidRPr="00E83799">
        <w:t xml:space="preserve"> Al included are in the relevant folder</w:t>
      </w:r>
    </w:p>
    <w:p w14:paraId="6FAE22BB" w14:textId="54388145" w:rsidR="00E55BAD" w:rsidRPr="00E83799" w:rsidRDefault="00E55BAD" w:rsidP="006E6575">
      <w:pPr>
        <w:spacing w:after="0" w:line="240" w:lineRule="auto"/>
        <w:ind w:left="360"/>
        <w:jc w:val="both"/>
      </w:pPr>
    </w:p>
    <w:p w14:paraId="7FC661C8" w14:textId="77777777" w:rsidR="00B26667" w:rsidRPr="00E83799" w:rsidRDefault="00B26667" w:rsidP="006E6575">
      <w:pPr>
        <w:spacing w:after="0" w:line="240" w:lineRule="auto"/>
        <w:ind w:left="360"/>
        <w:jc w:val="both"/>
        <w:rPr>
          <w:b/>
          <w:bCs/>
        </w:rPr>
      </w:pPr>
    </w:p>
    <w:p w14:paraId="78A23FBF" w14:textId="77777777" w:rsidR="00B26667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r w:rsidRPr="00E83799">
        <w:rPr>
          <w:rFonts w:ascii="Calibri" w:eastAsia="Times New Roman" w:hAnsi="Calibri" w:cs="Calibri"/>
          <w:lang w:eastAsia="en-GB"/>
        </w:rPr>
        <w:t>1</w:t>
      </w:r>
    </w:p>
    <w:p w14:paraId="6223DDB5" w14:textId="77777777" w:rsidR="00600DAB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proofErr w:type="spellStart"/>
      <w:r w:rsidRPr="00E83799">
        <w:rPr>
          <w:rFonts w:ascii="Calibri" w:eastAsia="Times New Roman" w:hAnsi="Calibri" w:cs="Calibri"/>
          <w:lang w:eastAsia="en-GB"/>
        </w:rPr>
        <w:t>Gregorová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J.: METODIKA I: PRÁCE NA ODDĚLENÍ KLINICKÉ FARMACIE, OPTIMALIZACE FARMAKOTERAPIE PACIENTA (Methodology I: The Work on Clinical Pharmacy Department, Optimization of the Patient’s Pharmacotherapy), AMCA, Prague 2013. Available online at: </w:t>
      </w:r>
      <w:hyperlink r:id="rId15" w:history="1">
        <w:r w:rsidRPr="00E83799">
          <w:rPr>
            <w:rStyle w:val="Hyperlink"/>
            <w:rFonts w:ascii="Calibri" w:eastAsia="Times New Roman" w:hAnsi="Calibri" w:cs="Calibri"/>
            <w:color w:val="auto"/>
            <w:lang w:eastAsia="en-GB"/>
          </w:rPr>
          <w:t>https://www.coskf.cz/spolecnost/metodiky-a-koncepce</w:t>
        </w:r>
      </w:hyperlink>
    </w:p>
    <w:p w14:paraId="2669BC20" w14:textId="77777777" w:rsidR="00B26667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r w:rsidRPr="00E83799">
        <w:rPr>
          <w:rFonts w:ascii="Calibri" w:eastAsia="Times New Roman" w:hAnsi="Calibri" w:cs="Calibri"/>
          <w:lang w:eastAsia="en-GB"/>
        </w:rPr>
        <w:t>1</w:t>
      </w:r>
    </w:p>
    <w:p w14:paraId="57BBFBAB" w14:textId="77777777" w:rsidR="00600DAB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proofErr w:type="spellStart"/>
      <w:r w:rsidRPr="00E83799">
        <w:rPr>
          <w:rFonts w:ascii="Calibri" w:eastAsia="Times New Roman" w:hAnsi="Calibri" w:cs="Calibri"/>
          <w:lang w:eastAsia="en-GB"/>
        </w:rPr>
        <w:t>Branislava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Miljkovic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, Sandra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Vezmar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Kovacevic, Katarina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Vucicevic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Marija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Jovanovic, Milena Kovacevic,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Milica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Culafic</w:t>
      </w:r>
      <w:proofErr w:type="spellEnd"/>
      <w:r w:rsidRPr="00E83799">
        <w:rPr>
          <w:rFonts w:ascii="Calibri" w:eastAsia="Times New Roman" w:hAnsi="Calibri" w:cs="Calibri"/>
          <w:lang w:eastAsia="en-GB"/>
        </w:rPr>
        <w:t>. The guidelines for pharmacists in primary health care. Faculty of Pharmacy, University of Belgrade and Pharmaceutical Association of Serbia. Belgrade, 2021. Available at: https://www.zdravlje.gov.rs/view_file.php?file_id=2268&amp;cache=sr</w:t>
      </w:r>
    </w:p>
    <w:p w14:paraId="066F921D" w14:textId="77777777" w:rsidR="00B26667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r w:rsidRPr="00E83799">
        <w:rPr>
          <w:rFonts w:ascii="Calibri" w:eastAsia="Times New Roman" w:hAnsi="Calibri" w:cs="Calibri"/>
          <w:lang w:eastAsia="en-GB"/>
        </w:rPr>
        <w:t>1</w:t>
      </w:r>
    </w:p>
    <w:p w14:paraId="1EB80F27" w14:textId="77777777" w:rsidR="00600DAB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proofErr w:type="spellStart"/>
      <w:r w:rsidRPr="00E83799">
        <w:rPr>
          <w:rFonts w:ascii="Calibri" w:eastAsia="Times New Roman" w:hAnsi="Calibri" w:cs="Calibri"/>
          <w:lang w:eastAsia="en-GB"/>
        </w:rPr>
        <w:t>Раздел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VII.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Клиничен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магистър-</w:t>
      </w:r>
      <w:proofErr w:type="gramStart"/>
      <w:r w:rsidRPr="00E83799">
        <w:rPr>
          <w:rFonts w:ascii="Calibri" w:eastAsia="Times New Roman" w:hAnsi="Calibri" w:cs="Calibri"/>
          <w:lang w:eastAsia="en-GB"/>
        </w:rPr>
        <w:t>фармацевт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.</w:t>
      </w:r>
      <w:proofErr w:type="gramEnd"/>
      <w:r w:rsidRPr="00E83799">
        <w:rPr>
          <w:rFonts w:ascii="Calibri" w:eastAsia="Times New Roman" w:hAnsi="Calibri" w:cs="Calibri"/>
          <w:lang w:eastAsia="en-GB"/>
        </w:rPr>
        <w:t xml:space="preserve"> ПРАВИЛА ЗА ДОБРА ФАРМАЦЕВТИЧНА ПРАКТИКА. (Section VII. Clinical pharmacist. Good pharmacy practice guidelines). Clinical Pharmacy Association in Bulgaria. Jan 2020; page 18. Available at: https://www.bphu.bg/upload/files/Pravila_Good%20Pharmacy%20Practice-VERSION–2020.pdf</w:t>
      </w:r>
    </w:p>
    <w:p w14:paraId="50733965" w14:textId="77777777" w:rsidR="00B26667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r w:rsidRPr="00E83799">
        <w:rPr>
          <w:rFonts w:ascii="Calibri" w:eastAsia="Times New Roman" w:hAnsi="Calibri" w:cs="Calibri"/>
          <w:lang w:eastAsia="en-GB"/>
        </w:rPr>
        <w:t>1</w:t>
      </w:r>
    </w:p>
    <w:p w14:paraId="6F6DA95D" w14:textId="6B2D68B5" w:rsidR="00B26667" w:rsidRPr="00E83799" w:rsidRDefault="00B26667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  <w:proofErr w:type="spellStart"/>
      <w:r w:rsidRPr="00E83799">
        <w:rPr>
          <w:rFonts w:ascii="Calibri" w:eastAsia="Times New Roman" w:hAnsi="Calibri" w:cs="Calibri"/>
          <w:lang w:eastAsia="en-GB"/>
        </w:rPr>
        <w:lastRenderedPageBreak/>
        <w:t>Alamaa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Aas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K,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Entsik-Grünberg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T, Israel M,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Jürgenson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S,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Kiloman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M, Laius O, Markov M,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Monvelt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H,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Pedosk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L-K,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Petratškov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K,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Roolaid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S,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Rootslane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L,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Ruuben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L,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Sarv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K, Sepp K,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Talve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T,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Tuula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A,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Uibokand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P, Volmer D. Community Pharmacy Services Quality Guidelines – CPSQG (2012, updated in 2016 and 2021). National pharmaceutical society of Estonia. 2021. Available at: 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Apteegiteenuse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kvaliteedijuhis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2021 (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veeb</w:t>
      </w:r>
      <w:proofErr w:type="spellEnd"/>
      <w:r w:rsidRPr="00E83799">
        <w:rPr>
          <w:rFonts w:ascii="Calibri" w:eastAsia="Times New Roman" w:hAnsi="Calibri" w:cs="Calibri"/>
          <w:lang w:eastAsia="en-GB"/>
        </w:rPr>
        <w:t>).</w:t>
      </w:r>
      <w:proofErr w:type="spellStart"/>
      <w:r w:rsidRPr="00E83799">
        <w:rPr>
          <w:rFonts w:ascii="Calibri" w:eastAsia="Times New Roman" w:hAnsi="Calibri" w:cs="Calibri"/>
          <w:lang w:eastAsia="en-GB"/>
        </w:rPr>
        <w:t>cdr</w:t>
      </w:r>
      <w:proofErr w:type="spellEnd"/>
      <w:r w:rsidRPr="00E83799">
        <w:rPr>
          <w:rFonts w:ascii="Calibri" w:eastAsia="Times New Roman" w:hAnsi="Calibri" w:cs="Calibri"/>
          <w:lang w:eastAsia="en-GB"/>
        </w:rPr>
        <w:t xml:space="preserve"> (efs.ee)</w:t>
      </w:r>
    </w:p>
    <w:p w14:paraId="4816D6B9" w14:textId="2F38517F" w:rsidR="00FC6FEC" w:rsidRPr="00E83799" w:rsidRDefault="00FC6FEC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</w:p>
    <w:p w14:paraId="467C86A4" w14:textId="77777777" w:rsidR="00FC6FEC" w:rsidRPr="00E83799" w:rsidRDefault="00FC6FEC" w:rsidP="00FC6FEC">
      <w:pPr>
        <w:pStyle w:val="NoSpacing"/>
        <w:jc w:val="center"/>
        <w:rPr>
          <w:rFonts w:ascii="Segoe UI" w:hAnsi="Segoe UI" w:cs="Segoe UI"/>
          <w:b/>
        </w:rPr>
      </w:pPr>
      <w:r w:rsidRPr="00E83799">
        <w:rPr>
          <w:b/>
          <w:lang w:val="en"/>
        </w:rPr>
        <w:t>1-KNMP guideline Consultation</w:t>
      </w:r>
    </w:p>
    <w:p w14:paraId="3246120D" w14:textId="77777777" w:rsidR="00FC6FEC" w:rsidRPr="00E83799" w:rsidRDefault="00FC6FEC" w:rsidP="00FC6FEC">
      <w:pPr>
        <w:pStyle w:val="NoSpacing"/>
        <w:jc w:val="center"/>
      </w:pPr>
      <w:r w:rsidRPr="00E83799">
        <w:rPr>
          <w:lang w:val="en"/>
        </w:rPr>
        <w:t>[</w:t>
      </w:r>
      <w:hyperlink r:id="rId16" w:history="1">
        <w:r w:rsidRPr="00E83799">
          <w:rPr>
            <w:rStyle w:val="Hyperlink"/>
            <w:color w:val="auto"/>
            <w:lang w:val="en"/>
          </w:rPr>
          <w:t>Consultation | KNMP</w:t>
        </w:r>
      </w:hyperlink>
      <w:r w:rsidRPr="00E83799">
        <w:rPr>
          <w:lang w:val="en"/>
        </w:rPr>
        <w:t>]</w:t>
      </w:r>
    </w:p>
    <w:p w14:paraId="452F59B5" w14:textId="77777777" w:rsidR="00FC6FEC" w:rsidRPr="00E83799" w:rsidRDefault="00FC6FEC" w:rsidP="00FC6FEC">
      <w:pPr>
        <w:pStyle w:val="NoSpacing"/>
        <w:jc w:val="center"/>
      </w:pPr>
    </w:p>
    <w:p w14:paraId="44915E8D" w14:textId="77777777" w:rsidR="00FC6FEC" w:rsidRPr="00E83799" w:rsidRDefault="00FC6FEC" w:rsidP="00FC6FEC">
      <w:pPr>
        <w:pStyle w:val="NoSpacing"/>
        <w:jc w:val="center"/>
        <w:rPr>
          <w:b/>
        </w:rPr>
      </w:pPr>
      <w:r w:rsidRPr="00E83799">
        <w:rPr>
          <w:b/>
          <w:lang w:val="en"/>
        </w:rPr>
        <w:t>2-KNMP guideline Medication assessment</w:t>
      </w:r>
    </w:p>
    <w:p w14:paraId="17E53359" w14:textId="77777777" w:rsidR="00FC6FEC" w:rsidRPr="00E83799" w:rsidRDefault="00CE46EE" w:rsidP="00FC6FEC">
      <w:pPr>
        <w:pStyle w:val="NoSpacing"/>
        <w:jc w:val="center"/>
      </w:pPr>
      <w:hyperlink r:id="rId17" w:history="1">
        <w:r w:rsidR="00FC6FEC" w:rsidRPr="00E83799">
          <w:rPr>
            <w:rStyle w:val="Hyperlink"/>
            <w:color w:val="auto"/>
            <w:lang w:val="en"/>
          </w:rPr>
          <w:t xml:space="preserve">Medication assessment | </w:t>
        </w:r>
        <w:proofErr w:type="spellStart"/>
        <w:r w:rsidR="00FC6FEC" w:rsidRPr="00E83799">
          <w:rPr>
            <w:rStyle w:val="Hyperlink"/>
            <w:color w:val="auto"/>
            <w:lang w:val="en"/>
          </w:rPr>
          <w:t>Knmp</w:t>
        </w:r>
        <w:proofErr w:type="spellEnd"/>
      </w:hyperlink>
    </w:p>
    <w:p w14:paraId="4EEF94EE" w14:textId="77777777" w:rsidR="00FC6FEC" w:rsidRPr="00E83799" w:rsidRDefault="00FC6FEC" w:rsidP="00FC6FEC">
      <w:pPr>
        <w:pStyle w:val="NoSpacing"/>
        <w:jc w:val="center"/>
      </w:pPr>
    </w:p>
    <w:p w14:paraId="58313FC2" w14:textId="77777777" w:rsidR="00FC6FEC" w:rsidRPr="00E83799" w:rsidRDefault="00FC6FEC" w:rsidP="00FC6FEC">
      <w:pPr>
        <w:pStyle w:val="NoSpacing"/>
        <w:jc w:val="center"/>
        <w:rPr>
          <w:b/>
        </w:rPr>
      </w:pPr>
      <w:r w:rsidRPr="00E83799">
        <w:rPr>
          <w:b/>
          <w:lang w:val="en"/>
        </w:rPr>
        <w:t>3-KNMP guideline Medication monitoring</w:t>
      </w:r>
    </w:p>
    <w:p w14:paraId="1E9B4A42" w14:textId="4DFF02CB" w:rsidR="00FC6FEC" w:rsidRPr="00E83799" w:rsidRDefault="00CE46EE" w:rsidP="00FC6FEC">
      <w:pPr>
        <w:spacing w:after="0" w:line="240" w:lineRule="auto"/>
        <w:jc w:val="center"/>
        <w:rPr>
          <w:rStyle w:val="Hyperlink"/>
          <w:color w:val="auto"/>
          <w:lang w:val="en"/>
        </w:rPr>
      </w:pPr>
      <w:hyperlink r:id="rId18" w:history="1">
        <w:r w:rsidR="00FC6FEC" w:rsidRPr="00E83799">
          <w:rPr>
            <w:rStyle w:val="Hyperlink"/>
            <w:color w:val="auto"/>
            <w:lang w:val="en"/>
          </w:rPr>
          <w:t xml:space="preserve">Medication monitoring | </w:t>
        </w:r>
        <w:proofErr w:type="spellStart"/>
        <w:r w:rsidR="00FC6FEC" w:rsidRPr="00E83799">
          <w:rPr>
            <w:rStyle w:val="Hyperlink"/>
            <w:color w:val="auto"/>
            <w:lang w:val="en"/>
          </w:rPr>
          <w:t>Knmp</w:t>
        </w:r>
        <w:proofErr w:type="spellEnd"/>
      </w:hyperlink>
    </w:p>
    <w:p w14:paraId="4B1B1610" w14:textId="692A485D" w:rsidR="00FC6FEC" w:rsidRPr="00E83799" w:rsidRDefault="00FC6FEC" w:rsidP="00FC6FEC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</w:p>
    <w:p w14:paraId="16270ED9" w14:textId="77777777" w:rsidR="00FC6FEC" w:rsidRPr="00E83799" w:rsidRDefault="00FC6FEC" w:rsidP="00FC6FEC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</w:p>
    <w:p w14:paraId="669BD4C6" w14:textId="77777777" w:rsidR="00600DAB" w:rsidRPr="00E83799" w:rsidRDefault="00600DAB" w:rsidP="00B26667">
      <w:pPr>
        <w:spacing w:after="0" w:line="240" w:lineRule="auto"/>
        <w:jc w:val="center"/>
        <w:rPr>
          <w:rFonts w:ascii="Calibri" w:eastAsia="Times New Roman" w:hAnsi="Calibri" w:cs="Calibri"/>
          <w:lang w:eastAsia="en-GB"/>
        </w:rPr>
      </w:pPr>
    </w:p>
    <w:p w14:paraId="16C4182D" w14:textId="78EEE4A4" w:rsidR="00E55BAD" w:rsidRPr="00E83799" w:rsidRDefault="00E55BAD" w:rsidP="006E6575">
      <w:pPr>
        <w:spacing w:after="0" w:line="240" w:lineRule="auto"/>
        <w:ind w:left="360"/>
        <w:jc w:val="both"/>
        <w:rPr>
          <w:b/>
          <w:bCs/>
        </w:rPr>
      </w:pPr>
      <w:r w:rsidRPr="00E83799">
        <w:rPr>
          <w:b/>
          <w:bCs/>
        </w:rPr>
        <w:t>EMBASE</w:t>
      </w:r>
    </w:p>
    <w:p w14:paraId="35DAEA79" w14:textId="2A61FBED" w:rsidR="00E55BAD" w:rsidRPr="00E83799" w:rsidRDefault="00E55BAD" w:rsidP="006E6575">
      <w:pPr>
        <w:spacing w:after="0" w:line="240" w:lineRule="auto"/>
        <w:ind w:left="360"/>
        <w:jc w:val="both"/>
      </w:pPr>
    </w:p>
    <w:p w14:paraId="0C0A7005" w14:textId="7AB79EF1" w:rsidR="00E55BAD" w:rsidRPr="00E83799" w:rsidRDefault="00E55BAD" w:rsidP="006E6575">
      <w:pPr>
        <w:spacing w:after="0" w:line="240" w:lineRule="auto"/>
        <w:ind w:left="360"/>
        <w:jc w:val="both"/>
      </w:pPr>
      <w:r w:rsidRPr="00E83799">
        <w:t xml:space="preserve">1- </w:t>
      </w:r>
      <w:proofErr w:type="spellStart"/>
      <w:r w:rsidRPr="00E83799">
        <w:t>Bronkhorst</w:t>
      </w:r>
      <w:proofErr w:type="spellEnd"/>
      <w:r w:rsidRPr="00E83799">
        <w:t xml:space="preserve"> E, </w:t>
      </w:r>
      <w:proofErr w:type="spellStart"/>
      <w:r w:rsidRPr="00E83799">
        <w:t>Gous</w:t>
      </w:r>
      <w:proofErr w:type="spellEnd"/>
      <w:r w:rsidRPr="00E83799">
        <w:t xml:space="preserve"> AGS, </w:t>
      </w:r>
      <w:proofErr w:type="spellStart"/>
      <w:r w:rsidRPr="00E83799">
        <w:t>Schellack</w:t>
      </w:r>
      <w:proofErr w:type="spellEnd"/>
      <w:r w:rsidRPr="00E83799">
        <w:t xml:space="preserve"> N. Practice Guidelines for Clinical Pharmacists in Middle to Low Income Countries. Front </w:t>
      </w:r>
      <w:proofErr w:type="spellStart"/>
      <w:r w:rsidRPr="00E83799">
        <w:t>Pharmacol</w:t>
      </w:r>
      <w:proofErr w:type="spellEnd"/>
      <w:r w:rsidRPr="00E83799">
        <w:t xml:space="preserve">. 2020 Jun </w:t>
      </w:r>
      <w:proofErr w:type="gramStart"/>
      <w:r w:rsidRPr="00E83799">
        <w:t>30;11:978</w:t>
      </w:r>
      <w:proofErr w:type="gramEnd"/>
      <w:r w:rsidRPr="00E83799">
        <w:t xml:space="preserve">. </w:t>
      </w:r>
      <w:proofErr w:type="spellStart"/>
      <w:r w:rsidRPr="00E83799">
        <w:t>doi</w:t>
      </w:r>
      <w:proofErr w:type="spellEnd"/>
      <w:r w:rsidRPr="00E83799">
        <w:t>: 10.3389/fphar.2020.00978.</w:t>
      </w:r>
    </w:p>
    <w:p w14:paraId="7159798F" w14:textId="10996674" w:rsidR="00E55BAD" w:rsidRPr="00E83799" w:rsidRDefault="00E55BAD" w:rsidP="006E6575">
      <w:pPr>
        <w:spacing w:after="0" w:line="240" w:lineRule="auto"/>
        <w:ind w:left="360"/>
        <w:jc w:val="both"/>
      </w:pPr>
    </w:p>
    <w:p w14:paraId="67FC1B39" w14:textId="7168E45B" w:rsidR="00E55BAD" w:rsidRPr="00E83799" w:rsidRDefault="00E55BAD" w:rsidP="006E6575">
      <w:pPr>
        <w:spacing w:after="0" w:line="240" w:lineRule="auto"/>
        <w:ind w:left="360"/>
        <w:jc w:val="both"/>
        <w:rPr>
          <w:b/>
          <w:bCs/>
        </w:rPr>
      </w:pPr>
      <w:r w:rsidRPr="00E83799">
        <w:rPr>
          <w:b/>
          <w:bCs/>
        </w:rPr>
        <w:t>GOOGLE SCHOLAR</w:t>
      </w:r>
    </w:p>
    <w:p w14:paraId="600D7B75" w14:textId="3BBFF0C4" w:rsidR="00E55BAD" w:rsidRPr="00E83799" w:rsidRDefault="00E55BAD" w:rsidP="006E6575">
      <w:pPr>
        <w:spacing w:after="0" w:line="240" w:lineRule="auto"/>
        <w:ind w:left="360"/>
        <w:jc w:val="both"/>
      </w:pPr>
    </w:p>
    <w:p w14:paraId="4D846346" w14:textId="1798940D" w:rsidR="00E55BAD" w:rsidRPr="00E83799" w:rsidRDefault="00E55BAD" w:rsidP="006E6575">
      <w:pPr>
        <w:spacing w:after="0" w:line="240" w:lineRule="auto"/>
        <w:ind w:left="360"/>
        <w:jc w:val="both"/>
      </w:pPr>
      <w:r w:rsidRPr="00E83799">
        <w:t>1- Guidelines for therapeutic interchange. American College of Clinical Pharmacy. Pharmacotherapy. 1993 May-Jun;13(3):252-6. PMID: 8321738.</w:t>
      </w:r>
    </w:p>
    <w:p w14:paraId="1ADAB13B" w14:textId="52CDDD28" w:rsidR="00E55BAD" w:rsidRPr="00E83799" w:rsidRDefault="00E55BAD" w:rsidP="006E6575">
      <w:pPr>
        <w:spacing w:after="0" w:line="240" w:lineRule="auto"/>
        <w:ind w:left="360"/>
        <w:jc w:val="both"/>
      </w:pPr>
    </w:p>
    <w:p w14:paraId="3EAA1CA6" w14:textId="0B325E93" w:rsidR="00E55BAD" w:rsidRPr="00E83799" w:rsidRDefault="00E55BAD" w:rsidP="006E6575">
      <w:pPr>
        <w:spacing w:after="0" w:line="240" w:lineRule="auto"/>
        <w:ind w:left="360"/>
        <w:jc w:val="both"/>
        <w:rPr>
          <w:b/>
          <w:bCs/>
        </w:rPr>
      </w:pPr>
      <w:r w:rsidRPr="00E83799">
        <w:rPr>
          <w:b/>
          <w:bCs/>
        </w:rPr>
        <w:t>MEDLINE</w:t>
      </w:r>
    </w:p>
    <w:p w14:paraId="2662D57E" w14:textId="77777777" w:rsidR="00E55BAD" w:rsidRPr="00E83799" w:rsidRDefault="00E55BAD" w:rsidP="006E6575">
      <w:pPr>
        <w:spacing w:after="0" w:line="240" w:lineRule="auto"/>
        <w:ind w:left="360"/>
        <w:jc w:val="both"/>
        <w:rPr>
          <w:b/>
          <w:bCs/>
        </w:rPr>
      </w:pPr>
    </w:p>
    <w:p w14:paraId="76D22D8E" w14:textId="5C0046BC" w:rsidR="00E55BAD" w:rsidRPr="00E83799" w:rsidRDefault="00E55BAD" w:rsidP="006E6575">
      <w:pPr>
        <w:spacing w:after="0" w:line="240" w:lineRule="auto"/>
        <w:ind w:left="360"/>
        <w:jc w:val="both"/>
      </w:pPr>
      <w:r w:rsidRPr="00E83799">
        <w:t xml:space="preserve">1- Barnett NL. Guide to undertaking person-centred inpatient (ward) outpatient (clinic) and dispensary-based pharmacy consultations. Eur J Hosp Pharm. 2020 Sep;27(5):302-305. </w:t>
      </w:r>
      <w:proofErr w:type="spellStart"/>
      <w:r w:rsidRPr="00E83799">
        <w:t>doi</w:t>
      </w:r>
      <w:proofErr w:type="spellEnd"/>
      <w:r w:rsidRPr="00E83799">
        <w:t>: 10.1136/ejhpharm-2018-001708.</w:t>
      </w:r>
    </w:p>
    <w:bookmarkEnd w:id="1"/>
    <w:p w14:paraId="1686D5C9" w14:textId="77777777" w:rsidR="00E55BAD" w:rsidRPr="00E83799" w:rsidRDefault="00E55BAD" w:rsidP="003E5890">
      <w:pPr>
        <w:spacing w:after="0" w:line="240" w:lineRule="auto"/>
        <w:ind w:left="360"/>
      </w:pPr>
    </w:p>
    <w:p w14:paraId="153EB61D" w14:textId="21DD407E" w:rsidR="00E55BAD" w:rsidRPr="00E83799" w:rsidRDefault="00E55BAD" w:rsidP="003E5890">
      <w:pPr>
        <w:spacing w:after="0" w:line="240" w:lineRule="auto"/>
        <w:ind w:left="360"/>
      </w:pPr>
    </w:p>
    <w:p w14:paraId="3FFFDFF7" w14:textId="77777777" w:rsidR="00E55BAD" w:rsidRPr="00E83799" w:rsidRDefault="00E55BAD" w:rsidP="003E5890">
      <w:pPr>
        <w:spacing w:after="0" w:line="240" w:lineRule="auto"/>
        <w:ind w:left="360"/>
      </w:pPr>
    </w:p>
    <w:sectPr w:rsidR="00E55BAD" w:rsidRPr="00E83799" w:rsidSect="007522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FE07D" w16cex:dateUtc="2023-01-16T11:41:00Z"/>
  <w16cex:commentExtensible w16cex:durableId="276FEDBE" w16cex:dateUtc="2023-01-16T12:37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0E83"/>
    <w:multiLevelType w:val="multilevel"/>
    <w:tmpl w:val="DBFE43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40B07"/>
    <w:multiLevelType w:val="multilevel"/>
    <w:tmpl w:val="581482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7667E"/>
    <w:multiLevelType w:val="multilevel"/>
    <w:tmpl w:val="9122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A39A6"/>
    <w:multiLevelType w:val="multilevel"/>
    <w:tmpl w:val="8DF0B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F14C5"/>
    <w:multiLevelType w:val="multilevel"/>
    <w:tmpl w:val="DAF8FF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8334EA"/>
    <w:multiLevelType w:val="multilevel"/>
    <w:tmpl w:val="5FC46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E6617"/>
    <w:multiLevelType w:val="multilevel"/>
    <w:tmpl w:val="7BF285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687AE8"/>
    <w:multiLevelType w:val="multilevel"/>
    <w:tmpl w:val="E35847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3695D"/>
    <w:multiLevelType w:val="multilevel"/>
    <w:tmpl w:val="9FA27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D10611"/>
    <w:multiLevelType w:val="multilevel"/>
    <w:tmpl w:val="C37AAB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FE4C96"/>
    <w:multiLevelType w:val="multilevel"/>
    <w:tmpl w:val="AD0AF9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070E82"/>
    <w:multiLevelType w:val="multilevel"/>
    <w:tmpl w:val="738EA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643620"/>
    <w:multiLevelType w:val="multilevel"/>
    <w:tmpl w:val="4D46E4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775767"/>
    <w:multiLevelType w:val="multilevel"/>
    <w:tmpl w:val="BD0CE6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49558E"/>
    <w:multiLevelType w:val="multilevel"/>
    <w:tmpl w:val="EC3C7D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BA4905"/>
    <w:multiLevelType w:val="multilevel"/>
    <w:tmpl w:val="2EB08F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0E2ECA"/>
    <w:multiLevelType w:val="multilevel"/>
    <w:tmpl w:val="8D965A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4B7FDD"/>
    <w:multiLevelType w:val="multilevel"/>
    <w:tmpl w:val="0F965E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097EE0"/>
    <w:multiLevelType w:val="multilevel"/>
    <w:tmpl w:val="517A0E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4E37AD"/>
    <w:multiLevelType w:val="multilevel"/>
    <w:tmpl w:val="72C432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2F5C98"/>
    <w:multiLevelType w:val="multilevel"/>
    <w:tmpl w:val="FE70BF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3F04AC"/>
    <w:multiLevelType w:val="multilevel"/>
    <w:tmpl w:val="C60099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7F2C6D"/>
    <w:multiLevelType w:val="multilevel"/>
    <w:tmpl w:val="32C4F2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2C0BFE"/>
    <w:multiLevelType w:val="multilevel"/>
    <w:tmpl w:val="9AFC40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BD67A60"/>
    <w:multiLevelType w:val="multilevel"/>
    <w:tmpl w:val="214CE9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8D28E2"/>
    <w:multiLevelType w:val="multilevel"/>
    <w:tmpl w:val="33E8A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6601A8"/>
    <w:multiLevelType w:val="multilevel"/>
    <w:tmpl w:val="5F3E3A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0602D4"/>
    <w:multiLevelType w:val="multilevel"/>
    <w:tmpl w:val="5A3630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0239A2"/>
    <w:multiLevelType w:val="multilevel"/>
    <w:tmpl w:val="5ED22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D37F60"/>
    <w:multiLevelType w:val="multilevel"/>
    <w:tmpl w:val="9B2082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8107A40"/>
    <w:multiLevelType w:val="multilevel"/>
    <w:tmpl w:val="587C0E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EF6ED6"/>
    <w:multiLevelType w:val="multilevel"/>
    <w:tmpl w:val="BD04DE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172D95"/>
    <w:multiLevelType w:val="multilevel"/>
    <w:tmpl w:val="E28EE3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CC6076"/>
    <w:multiLevelType w:val="multilevel"/>
    <w:tmpl w:val="910617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70E14EE"/>
    <w:multiLevelType w:val="multilevel"/>
    <w:tmpl w:val="618833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366DE6"/>
    <w:multiLevelType w:val="multilevel"/>
    <w:tmpl w:val="E5C6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C9241BD"/>
    <w:multiLevelType w:val="multilevel"/>
    <w:tmpl w:val="6AE8A2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236F8E"/>
    <w:multiLevelType w:val="multilevel"/>
    <w:tmpl w:val="E21CD6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DC82BE3"/>
    <w:multiLevelType w:val="multilevel"/>
    <w:tmpl w:val="D8F4A0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FF79E8"/>
    <w:multiLevelType w:val="multilevel"/>
    <w:tmpl w:val="29CE0D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5D4275"/>
    <w:multiLevelType w:val="multilevel"/>
    <w:tmpl w:val="6A500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26E0022"/>
    <w:multiLevelType w:val="hybridMultilevel"/>
    <w:tmpl w:val="4E94DAB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3E184A"/>
    <w:multiLevelType w:val="multilevel"/>
    <w:tmpl w:val="E6CA7D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7011BF4"/>
    <w:multiLevelType w:val="multilevel"/>
    <w:tmpl w:val="2C0659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A21859"/>
    <w:multiLevelType w:val="multilevel"/>
    <w:tmpl w:val="8F0082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380148"/>
    <w:multiLevelType w:val="multilevel"/>
    <w:tmpl w:val="BB0079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006DD2"/>
    <w:multiLevelType w:val="multilevel"/>
    <w:tmpl w:val="A42822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194CB4"/>
    <w:multiLevelType w:val="multilevel"/>
    <w:tmpl w:val="B89023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A4021AE"/>
    <w:multiLevelType w:val="multilevel"/>
    <w:tmpl w:val="A0B47F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AB6419A"/>
    <w:multiLevelType w:val="multilevel"/>
    <w:tmpl w:val="FC8C52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B6B60DA"/>
    <w:multiLevelType w:val="multilevel"/>
    <w:tmpl w:val="D0CC9B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7A2C43"/>
    <w:multiLevelType w:val="multilevel"/>
    <w:tmpl w:val="60D076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FD94AE9"/>
    <w:multiLevelType w:val="multilevel"/>
    <w:tmpl w:val="48ECE0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05D23C5"/>
    <w:multiLevelType w:val="multilevel"/>
    <w:tmpl w:val="087CFD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1BB062D"/>
    <w:multiLevelType w:val="multilevel"/>
    <w:tmpl w:val="2E0CD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40B551E"/>
    <w:multiLevelType w:val="multilevel"/>
    <w:tmpl w:val="2D6C08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48755EF"/>
    <w:multiLevelType w:val="multilevel"/>
    <w:tmpl w:val="F266D4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7A156B8"/>
    <w:multiLevelType w:val="multilevel"/>
    <w:tmpl w:val="4EF0D0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8BE203F"/>
    <w:multiLevelType w:val="multilevel"/>
    <w:tmpl w:val="7A2C48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6354CF"/>
    <w:multiLevelType w:val="multilevel"/>
    <w:tmpl w:val="838891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7436E3"/>
    <w:multiLevelType w:val="multilevel"/>
    <w:tmpl w:val="E4F2D3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D77DF7"/>
    <w:multiLevelType w:val="multilevel"/>
    <w:tmpl w:val="79FE7D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4510FDF"/>
    <w:multiLevelType w:val="multilevel"/>
    <w:tmpl w:val="FF8C22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5A05AFD"/>
    <w:multiLevelType w:val="multilevel"/>
    <w:tmpl w:val="C0FAE8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643B1A"/>
    <w:multiLevelType w:val="multilevel"/>
    <w:tmpl w:val="05E800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68812DF"/>
    <w:multiLevelType w:val="multilevel"/>
    <w:tmpl w:val="71F08C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6FD116C"/>
    <w:multiLevelType w:val="multilevel"/>
    <w:tmpl w:val="0094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7F13C4F"/>
    <w:multiLevelType w:val="multilevel"/>
    <w:tmpl w:val="D21E52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8616070"/>
    <w:multiLevelType w:val="multilevel"/>
    <w:tmpl w:val="D542E4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BFC38B6"/>
    <w:multiLevelType w:val="multilevel"/>
    <w:tmpl w:val="979475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C38441F"/>
    <w:multiLevelType w:val="multilevel"/>
    <w:tmpl w:val="5422F2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EA24F92"/>
    <w:multiLevelType w:val="multilevel"/>
    <w:tmpl w:val="ABD484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EF55AF4"/>
    <w:multiLevelType w:val="multilevel"/>
    <w:tmpl w:val="3C3C5B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6"/>
  </w:num>
  <w:num w:numId="2">
    <w:abstractNumId w:val="41"/>
  </w:num>
  <w:num w:numId="3">
    <w:abstractNumId w:val="35"/>
  </w:num>
  <w:num w:numId="4">
    <w:abstractNumId w:val="5"/>
  </w:num>
  <w:num w:numId="5">
    <w:abstractNumId w:val="28"/>
  </w:num>
  <w:num w:numId="6">
    <w:abstractNumId w:val="1"/>
  </w:num>
  <w:num w:numId="7">
    <w:abstractNumId w:val="19"/>
  </w:num>
  <w:num w:numId="8">
    <w:abstractNumId w:val="65"/>
  </w:num>
  <w:num w:numId="9">
    <w:abstractNumId w:val="53"/>
  </w:num>
  <w:num w:numId="10">
    <w:abstractNumId w:val="23"/>
  </w:num>
  <w:num w:numId="11">
    <w:abstractNumId w:val="54"/>
  </w:num>
  <w:num w:numId="12">
    <w:abstractNumId w:val="36"/>
  </w:num>
  <w:num w:numId="13">
    <w:abstractNumId w:val="46"/>
  </w:num>
  <w:num w:numId="14">
    <w:abstractNumId w:val="27"/>
  </w:num>
  <w:num w:numId="15">
    <w:abstractNumId w:val="58"/>
  </w:num>
  <w:num w:numId="16">
    <w:abstractNumId w:val="18"/>
  </w:num>
  <w:num w:numId="17">
    <w:abstractNumId w:val="51"/>
  </w:num>
  <w:num w:numId="18">
    <w:abstractNumId w:val="30"/>
  </w:num>
  <w:num w:numId="19">
    <w:abstractNumId w:val="50"/>
  </w:num>
  <w:num w:numId="20">
    <w:abstractNumId w:val="44"/>
  </w:num>
  <w:num w:numId="21">
    <w:abstractNumId w:val="39"/>
  </w:num>
  <w:num w:numId="22">
    <w:abstractNumId w:val="57"/>
  </w:num>
  <w:num w:numId="23">
    <w:abstractNumId w:val="33"/>
  </w:num>
  <w:num w:numId="24">
    <w:abstractNumId w:val="3"/>
  </w:num>
  <w:num w:numId="25">
    <w:abstractNumId w:val="9"/>
  </w:num>
  <w:num w:numId="26">
    <w:abstractNumId w:val="62"/>
  </w:num>
  <w:num w:numId="27">
    <w:abstractNumId w:val="34"/>
  </w:num>
  <w:num w:numId="28">
    <w:abstractNumId w:val="8"/>
  </w:num>
  <w:num w:numId="29">
    <w:abstractNumId w:val="7"/>
  </w:num>
  <w:num w:numId="30">
    <w:abstractNumId w:val="67"/>
  </w:num>
  <w:num w:numId="31">
    <w:abstractNumId w:val="38"/>
  </w:num>
  <w:num w:numId="32">
    <w:abstractNumId w:val="15"/>
  </w:num>
  <w:num w:numId="33">
    <w:abstractNumId w:val="45"/>
  </w:num>
  <w:num w:numId="34">
    <w:abstractNumId w:val="13"/>
  </w:num>
  <w:num w:numId="35">
    <w:abstractNumId w:val="64"/>
  </w:num>
  <w:num w:numId="36">
    <w:abstractNumId w:val="37"/>
  </w:num>
  <w:num w:numId="37">
    <w:abstractNumId w:val="4"/>
  </w:num>
  <w:num w:numId="38">
    <w:abstractNumId w:val="25"/>
  </w:num>
  <w:num w:numId="39">
    <w:abstractNumId w:val="6"/>
  </w:num>
  <w:num w:numId="40">
    <w:abstractNumId w:val="10"/>
  </w:num>
  <w:num w:numId="41">
    <w:abstractNumId w:val="42"/>
  </w:num>
  <w:num w:numId="42">
    <w:abstractNumId w:val="20"/>
  </w:num>
  <w:num w:numId="43">
    <w:abstractNumId w:val="52"/>
  </w:num>
  <w:num w:numId="44">
    <w:abstractNumId w:val="12"/>
  </w:num>
  <w:num w:numId="45">
    <w:abstractNumId w:val="14"/>
  </w:num>
  <w:num w:numId="46">
    <w:abstractNumId w:val="32"/>
  </w:num>
  <w:num w:numId="47">
    <w:abstractNumId w:val="11"/>
  </w:num>
  <w:num w:numId="48">
    <w:abstractNumId w:val="49"/>
  </w:num>
  <w:num w:numId="49">
    <w:abstractNumId w:val="22"/>
  </w:num>
  <w:num w:numId="50">
    <w:abstractNumId w:val="48"/>
  </w:num>
  <w:num w:numId="51">
    <w:abstractNumId w:val="31"/>
  </w:num>
  <w:num w:numId="52">
    <w:abstractNumId w:val="16"/>
  </w:num>
  <w:num w:numId="53">
    <w:abstractNumId w:val="17"/>
  </w:num>
  <w:num w:numId="54">
    <w:abstractNumId w:val="26"/>
  </w:num>
  <w:num w:numId="55">
    <w:abstractNumId w:val="21"/>
  </w:num>
  <w:num w:numId="56">
    <w:abstractNumId w:val="43"/>
  </w:num>
  <w:num w:numId="57">
    <w:abstractNumId w:val="69"/>
  </w:num>
  <w:num w:numId="58">
    <w:abstractNumId w:val="55"/>
  </w:num>
  <w:num w:numId="59">
    <w:abstractNumId w:val="2"/>
  </w:num>
  <w:num w:numId="60">
    <w:abstractNumId w:val="0"/>
  </w:num>
  <w:num w:numId="61">
    <w:abstractNumId w:val="59"/>
  </w:num>
  <w:num w:numId="62">
    <w:abstractNumId w:val="29"/>
  </w:num>
  <w:num w:numId="63">
    <w:abstractNumId w:val="70"/>
  </w:num>
  <w:num w:numId="64">
    <w:abstractNumId w:val="71"/>
  </w:num>
  <w:num w:numId="65">
    <w:abstractNumId w:val="56"/>
  </w:num>
  <w:num w:numId="66">
    <w:abstractNumId w:val="68"/>
  </w:num>
  <w:num w:numId="67">
    <w:abstractNumId w:val="40"/>
  </w:num>
  <w:num w:numId="68">
    <w:abstractNumId w:val="47"/>
  </w:num>
  <w:num w:numId="69">
    <w:abstractNumId w:val="63"/>
  </w:num>
  <w:num w:numId="70">
    <w:abstractNumId w:val="24"/>
  </w:num>
  <w:num w:numId="71">
    <w:abstractNumId w:val="60"/>
  </w:num>
  <w:num w:numId="72">
    <w:abstractNumId w:val="61"/>
  </w:num>
  <w:num w:numId="73">
    <w:abstractNumId w:val="72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9F6"/>
    <w:rsid w:val="0001206C"/>
    <w:rsid w:val="000D7CEC"/>
    <w:rsid w:val="00181935"/>
    <w:rsid w:val="00193B4E"/>
    <w:rsid w:val="001D4130"/>
    <w:rsid w:val="001F741D"/>
    <w:rsid w:val="00213C01"/>
    <w:rsid w:val="00213D8B"/>
    <w:rsid w:val="00285E83"/>
    <w:rsid w:val="002C179C"/>
    <w:rsid w:val="002C66CC"/>
    <w:rsid w:val="002C7B5E"/>
    <w:rsid w:val="003E5890"/>
    <w:rsid w:val="004051A9"/>
    <w:rsid w:val="00493AA3"/>
    <w:rsid w:val="004A1BB6"/>
    <w:rsid w:val="0051593D"/>
    <w:rsid w:val="005A69F6"/>
    <w:rsid w:val="00600DAB"/>
    <w:rsid w:val="00694EE8"/>
    <w:rsid w:val="006B2362"/>
    <w:rsid w:val="006E6575"/>
    <w:rsid w:val="00740207"/>
    <w:rsid w:val="00752215"/>
    <w:rsid w:val="007B4F32"/>
    <w:rsid w:val="0081638A"/>
    <w:rsid w:val="00840F3D"/>
    <w:rsid w:val="008F28BA"/>
    <w:rsid w:val="0091271E"/>
    <w:rsid w:val="00977DB6"/>
    <w:rsid w:val="0098350B"/>
    <w:rsid w:val="00B052BC"/>
    <w:rsid w:val="00B20D2D"/>
    <w:rsid w:val="00B26667"/>
    <w:rsid w:val="00B55472"/>
    <w:rsid w:val="00B7026A"/>
    <w:rsid w:val="00BF118C"/>
    <w:rsid w:val="00CA4673"/>
    <w:rsid w:val="00CD5DB6"/>
    <w:rsid w:val="00CE46EE"/>
    <w:rsid w:val="00CE5536"/>
    <w:rsid w:val="00D05168"/>
    <w:rsid w:val="00D0612E"/>
    <w:rsid w:val="00D52A81"/>
    <w:rsid w:val="00D64844"/>
    <w:rsid w:val="00E0036B"/>
    <w:rsid w:val="00E15FAD"/>
    <w:rsid w:val="00E43133"/>
    <w:rsid w:val="00E55BAD"/>
    <w:rsid w:val="00E75602"/>
    <w:rsid w:val="00E83799"/>
    <w:rsid w:val="00F1609D"/>
    <w:rsid w:val="00FA4F8A"/>
    <w:rsid w:val="00FC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51A16"/>
  <w15:chartTrackingRefBased/>
  <w15:docId w15:val="{4FAFB52C-BFB6-45BA-82F6-FE77B260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FEC"/>
  </w:style>
  <w:style w:type="paragraph" w:styleId="Heading2">
    <w:name w:val="heading 2"/>
    <w:basedOn w:val="Normal"/>
    <w:link w:val="Heading2Char"/>
    <w:uiPriority w:val="9"/>
    <w:qFormat/>
    <w:rsid w:val="00E431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4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74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F28B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431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1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1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1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13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4313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43133"/>
    <w:rPr>
      <w:rFonts w:ascii="Times New Roman" w:eastAsia="Times New Roman" w:hAnsi="Times New Roman" w:cs="Times New Roman"/>
      <w:b/>
      <w:bCs/>
      <w:sz w:val="36"/>
      <w:szCs w:val="36"/>
      <w:lang w:val="en-IE" w:eastAsia="en-IE"/>
    </w:rPr>
  </w:style>
  <w:style w:type="character" w:styleId="Emphasis">
    <w:name w:val="Emphasis"/>
    <w:basedOn w:val="DefaultParagraphFont"/>
    <w:uiPriority w:val="20"/>
    <w:qFormat/>
    <w:rsid w:val="00E43133"/>
    <w:rPr>
      <w:i/>
      <w:iCs/>
    </w:rPr>
  </w:style>
  <w:style w:type="character" w:customStyle="1" w:styleId="ext">
    <w:name w:val="ext"/>
    <w:basedOn w:val="DefaultParagraphFont"/>
    <w:rsid w:val="00E43133"/>
  </w:style>
  <w:style w:type="character" w:customStyle="1" w:styleId="visually-hidden">
    <w:name w:val="visually-hidden"/>
    <w:basedOn w:val="DefaultParagraphFont"/>
    <w:rsid w:val="00E43133"/>
  </w:style>
  <w:style w:type="paragraph" w:styleId="BalloonText">
    <w:name w:val="Balloon Text"/>
    <w:basedOn w:val="Normal"/>
    <w:link w:val="BalloonTextChar"/>
    <w:uiPriority w:val="99"/>
    <w:semiHidden/>
    <w:unhideWhenUsed/>
    <w:rsid w:val="001D4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13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40207"/>
    <w:pPr>
      <w:spacing w:after="0" w:line="240" w:lineRule="auto"/>
    </w:pPr>
  </w:style>
  <w:style w:type="paragraph" w:styleId="NoSpacing">
    <w:name w:val="No Spacing"/>
    <w:uiPriority w:val="1"/>
    <w:qFormat/>
    <w:rsid w:val="002C179C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45817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0705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788663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760585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572234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64615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737854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863880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16336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653538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348948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780460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139407">
                      <w:marLeft w:val="0"/>
                      <w:marRight w:val="547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53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188030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33147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33706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8323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377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03112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077403">
                          <w:marLeft w:val="0"/>
                          <w:marRight w:val="0"/>
                          <w:marTop w:val="960"/>
                          <w:marBottom w:val="9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557158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75859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064197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940392">
                              <w:marLeft w:val="0"/>
                              <w:marRight w:val="0"/>
                              <w:marTop w:val="96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00427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254500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668194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7458983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010331">
                          <w:marLeft w:val="0"/>
                          <w:marRight w:val="0"/>
                          <w:marTop w:val="960"/>
                          <w:marBottom w:val="9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09871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019384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447566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714847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4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9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40758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90392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53738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526845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3527675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3213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08703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63561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824594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562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5074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283702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860752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798242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13853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5934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5267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07751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664544">
                      <w:marLeft w:val="0"/>
                      <w:marRight w:val="0"/>
                      <w:marTop w:val="960"/>
                      <w:marBottom w:val="9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04281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17962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200242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5686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817067">
                          <w:marLeft w:val="0"/>
                          <w:marRight w:val="547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254260">
                          <w:marLeft w:val="0"/>
                          <w:marRight w:val="0"/>
                          <w:marTop w:val="960"/>
                          <w:marBottom w:val="9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8641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18441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916347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480770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934974">
                              <w:marLeft w:val="0"/>
                              <w:marRight w:val="547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16818">
                              <w:marLeft w:val="0"/>
                              <w:marRight w:val="0"/>
                              <w:marTop w:val="960"/>
                              <w:marBottom w:val="9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020991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072852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006720">
                                  <w:marLeft w:val="0"/>
                                  <w:marRight w:val="547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442090">
                                  <w:marLeft w:val="0"/>
                                  <w:marRight w:val="0"/>
                                  <w:marTop w:val="96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646387">
                                      <w:marLeft w:val="0"/>
                                      <w:marRight w:val="547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92220">
                                      <w:marLeft w:val="0"/>
                                      <w:marRight w:val="547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808568">
                                      <w:marLeft w:val="0"/>
                                      <w:marRight w:val="547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919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6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169651">
                                      <w:marLeft w:val="0"/>
                                      <w:marRight w:val="0"/>
                                      <w:marTop w:val="960"/>
                                      <w:marBottom w:val="9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46159">
                                          <w:marLeft w:val="0"/>
                                          <w:marRight w:val="547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16406">
                                          <w:marLeft w:val="0"/>
                                          <w:marRight w:val="547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834289">
                                          <w:marLeft w:val="0"/>
                                          <w:marRight w:val="547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196514">
                                          <w:marLeft w:val="0"/>
                                          <w:marRight w:val="0"/>
                                          <w:marTop w:val="960"/>
                                          <w:marBottom w:val="9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749055">
                                              <w:marLeft w:val="0"/>
                                              <w:marRight w:val="547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217805">
                                              <w:marLeft w:val="0"/>
                                              <w:marRight w:val="547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034">
                                              <w:marLeft w:val="0"/>
                                              <w:marRight w:val="547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2103285">
                                              <w:marLeft w:val="0"/>
                                              <w:marRight w:val="547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2459592">
                                              <w:marLeft w:val="0"/>
                                              <w:marRight w:val="547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2984087">
                                              <w:marLeft w:val="0"/>
                                              <w:marRight w:val="0"/>
                                              <w:marTop w:val="960"/>
                                              <w:marBottom w:val="9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83385">
                                                  <w:marLeft w:val="0"/>
                                                  <w:marRight w:val="547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3542825">
                                                  <w:marLeft w:val="0"/>
                                                  <w:marRight w:val="547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9243681">
                                                  <w:marLeft w:val="0"/>
                                                  <w:marRight w:val="547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1428312">
                                                  <w:marLeft w:val="0"/>
                                                  <w:marRight w:val="547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psi.ie/Libraries/Folder_Pharmacy_Practice_Guidance/01_11_Guidelines_on_Non-Prescription_Medicines.sflb.ashx" TargetMode="External"/><Relationship Id="rId13" Type="http://schemas.openxmlformats.org/officeDocument/2006/relationships/hyperlink" Target="https://www.pharmacyregulation.org/content/practice-guidance-pharmacist-prescribers-february-2020" TargetMode="External"/><Relationship Id="rId18" Type="http://schemas.openxmlformats.org/officeDocument/2006/relationships/hyperlink" Target="https://www.knmp.nl/richtlijnen/medicatiebewak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hepsi.ie/Libraries/Folder_Pharmacy_Practice_Guidance/1_11_Guidelines_on_the_Keeping_of_Records.sflb.ashx" TargetMode="External"/><Relationship Id="rId12" Type="http://schemas.openxmlformats.org/officeDocument/2006/relationships/hyperlink" Target="http://www.thepsi.ie/Libraries/Folder_Pharmacy_Practice_Guidance/02_Guidance_for_Pharmacists_on_Extemporaneous_Dispensing_V1_0.sflb.ashx" TargetMode="External"/><Relationship Id="rId17" Type="http://schemas.openxmlformats.org/officeDocument/2006/relationships/hyperlink" Target="https://www.knmp.nl/richtlijnen/medicatiebeoordel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nmp.nl/richtlijnen/consultvoerin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thepsi.ie/Libraries/Folder_Pharmacy_Practice_Guidance/01_11_Guidelines_on_Counselling_and_Medicine_Therapy_Review_in_the_Supply_of_Prescribed_Medicinal_Products.sflb.ashx" TargetMode="External"/><Relationship Id="rId11" Type="http://schemas.openxmlformats.org/officeDocument/2006/relationships/hyperlink" Target="https://thepsi.ie/Libraries/Folder_Pharmacy_Practice_Guidance/2_4_Guidance_on_the_Provision_of_Vaccination_Services_by_Pharmacists_in_a_Retail_Pharmacy_Businesses.sflb.ashx" TargetMode="External"/><Relationship Id="rId5" Type="http://schemas.openxmlformats.org/officeDocument/2006/relationships/hyperlink" Target="http://www.thepsi.ie/Libraries/Folder_Pharmacy_Practice_Guidance/01_5_Disposal_of_Medicinal_Products_for_Retail.sflb.ashx" TargetMode="External"/><Relationship Id="rId15" Type="http://schemas.openxmlformats.org/officeDocument/2006/relationships/hyperlink" Target="https://www.coskf.cz/spolecnost/metodiky-a-koncepce" TargetMode="External"/><Relationship Id="rId10" Type="http://schemas.openxmlformats.org/officeDocument/2006/relationships/hyperlink" Target="http://www.thepsi.ie/Libraries/Folder_Pharmacy_Practice_Guidance/PPGF_2_5_Delivery_of_Medicines.sflb.ashx" TargetMode="External"/><Relationship Id="rId19" Type="http://schemas.openxmlformats.org/officeDocument/2006/relationships/fontTable" Target="fontTable.xml"/><Relationship Id="rId31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http://www.thepsi.ie/Libraries/Folder_Pharmacy_Practice_Guidance/PPGF_02_3_Provision_of_Testing_Services_in_Pharmacies.sflb.ashx" TargetMode="External"/><Relationship Id="rId14" Type="http://schemas.openxmlformats.org/officeDocument/2006/relationships/hyperlink" Target="https://onlinelibrary.wiley.com/toc/20552335/2013/43/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983</Words>
  <Characters>5607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Vibhu Paudyal (Pharmacy)</dc:creator>
  <cp:keywords/>
  <dc:description/>
  <cp:lastModifiedBy>Vibhu Paudyal (Pharmacy)</cp:lastModifiedBy>
  <cp:revision>4</cp:revision>
  <dcterms:created xsi:type="dcterms:W3CDTF">2023-08-13T22:46:00Z</dcterms:created>
  <dcterms:modified xsi:type="dcterms:W3CDTF">2023-08-13T22:50:00Z</dcterms:modified>
</cp:coreProperties>
</file>