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A632" w14:textId="72A9EA3B" w:rsidR="0073171A" w:rsidRPr="009F4878" w:rsidRDefault="0073171A" w:rsidP="003213FA">
      <w:pPr>
        <w:pStyle w:val="Lgende"/>
        <w:spacing w:line="480" w:lineRule="auto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en-GB"/>
        </w:rPr>
      </w:pPr>
      <w:bookmarkStart w:id="0" w:name="_Hlk146210516"/>
      <w:r w:rsidRPr="009F4878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en-GB"/>
        </w:rPr>
        <w:t>Supplementary Material n°</w:t>
      </w:r>
      <w:r w:rsidR="0078518F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en-GB"/>
        </w:rPr>
        <w:t>1</w:t>
      </w:r>
      <w:r w:rsidR="00415F5B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en-GB"/>
        </w:rPr>
        <w:t xml:space="preserve"> </w:t>
      </w:r>
    </w:p>
    <w:bookmarkEnd w:id="0"/>
    <w:p w14:paraId="3E1F42F5" w14:textId="19144C6E" w:rsidR="003213FA" w:rsidRPr="00D123BC" w:rsidRDefault="003213FA" w:rsidP="0073171A">
      <w:pPr>
        <w:pStyle w:val="Lgende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23BC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73171A" w:rsidRPr="00D123B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D123BC">
        <w:rPr>
          <w:rFonts w:ascii="Times New Roman" w:hAnsi="Times New Roman" w:cs="Times New Roman"/>
          <w:sz w:val="24"/>
          <w:szCs w:val="24"/>
          <w:lang w:val="en-GB"/>
        </w:rPr>
        <w:t>: Examples of drug related problems (DRPs) identified and solved by pharmacists to calculate avoided</w:t>
      </w:r>
      <w:r w:rsidR="000A5E94" w:rsidRPr="00D123BC">
        <w:rPr>
          <w:rFonts w:ascii="Times New Roman" w:hAnsi="Times New Roman" w:cs="Times New Roman"/>
          <w:sz w:val="24"/>
          <w:szCs w:val="24"/>
          <w:lang w:val="en-GB"/>
        </w:rPr>
        <w:t xml:space="preserve"> cost</w:t>
      </w:r>
      <w:r w:rsidRPr="00D123BC">
        <w:rPr>
          <w:rFonts w:ascii="Times New Roman" w:hAnsi="Times New Roman" w:cs="Times New Roman"/>
          <w:sz w:val="24"/>
          <w:szCs w:val="24"/>
          <w:lang w:val="en-GB"/>
        </w:rPr>
        <w:t xml:space="preserve"> by DRP </w:t>
      </w:r>
      <w:r w:rsidR="009F4878" w:rsidRPr="00D123BC">
        <w:rPr>
          <w:rFonts w:ascii="Times New Roman" w:hAnsi="Times New Roman" w:cs="Times New Roman"/>
          <w:sz w:val="24"/>
          <w:szCs w:val="24"/>
          <w:lang w:val="en-GB"/>
        </w:rPr>
        <w:t>category.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704"/>
        <w:gridCol w:w="3655"/>
        <w:gridCol w:w="2438"/>
        <w:gridCol w:w="2442"/>
        <w:gridCol w:w="1804"/>
        <w:gridCol w:w="1438"/>
        <w:gridCol w:w="1523"/>
      </w:tblGrid>
      <w:tr w:rsidR="00594300" w:rsidRPr="00D123BC" w14:paraId="53FECC69" w14:textId="13BECE46" w:rsidTr="005943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2F2F2" w:themeFill="background1" w:themeFillShade="F2"/>
          </w:tcPr>
          <w:p w14:paraId="2B00AF53" w14:textId="77777777" w:rsidR="00415F5B" w:rsidRPr="00D123BC" w:rsidRDefault="00415F5B" w:rsidP="00C13B83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3655" w:type="dxa"/>
            <w:shd w:val="clear" w:color="auto" w:fill="F2F2F2" w:themeFill="background1" w:themeFillShade="F2"/>
            <w:vAlign w:val="center"/>
          </w:tcPr>
          <w:p w14:paraId="5452CFCE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DRP</w:t>
            </w:r>
          </w:p>
          <w:p w14:paraId="07FAE4B6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identified and solved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F24C98C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Recommended pharmaceutical intervention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154D8E1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Potentially avoided harm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F10DB20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Potential ADE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B3149F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Probability of ADE occurrence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5D68B82" w14:textId="77777777" w:rsidR="00FF4CAB" w:rsidRDefault="00FF4CA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</w:p>
          <w:p w14:paraId="6DA8FAAC" w14:textId="77864A1F" w:rsidR="00FF4CAB" w:rsidRPr="00FF4CAB" w:rsidRDefault="00FF4CA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F4CAB">
              <w:rPr>
                <w:rFonts w:ascii="Times New Roman" w:hAnsi="Times New Roman" w:cs="Times New Roman"/>
                <w:lang w:val="en-GB"/>
              </w:rPr>
              <w:t>Institutional median cost</w:t>
            </w:r>
          </w:p>
          <w:p w14:paraId="06A58EBA" w14:textId="77777777" w:rsidR="00FF4CAB" w:rsidRPr="00FF4CAB" w:rsidRDefault="00FF4CA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F4CAB">
              <w:rPr>
                <w:rFonts w:ascii="Times New Roman" w:hAnsi="Times New Roman" w:cs="Times New Roman"/>
                <w:lang w:val="en-GB"/>
              </w:rPr>
              <w:t>(</w:t>
            </w:r>
            <w:r w:rsidRPr="00FF4CAB">
              <w:rPr>
                <w:rFonts w:ascii="Times New Roman" w:hAnsi="Times New Roman" w:cs="Times New Roman"/>
                <w:b w:val="0"/>
                <w:lang w:val="en-GB"/>
              </w:rPr>
              <w:t>€</w:t>
            </w:r>
            <w:r w:rsidRPr="00FF4CAB">
              <w:rPr>
                <w:rFonts w:ascii="Times New Roman" w:hAnsi="Times New Roman" w:cs="Times New Roman"/>
                <w:lang w:val="en-GB"/>
              </w:rPr>
              <w:t>, 2017)</w:t>
            </w:r>
          </w:p>
          <w:p w14:paraId="19FC03C3" w14:textId="77777777" w:rsidR="00415F5B" w:rsidRPr="00D123BC" w:rsidRDefault="00415F5B" w:rsidP="00594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</w:tr>
      <w:tr w:rsidR="00FF4CAB" w:rsidRPr="00D123BC" w14:paraId="672EFE9B" w14:textId="74290962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70F4AB9D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Drug interaction</w:t>
            </w:r>
          </w:p>
        </w:tc>
        <w:tc>
          <w:tcPr>
            <w:tcW w:w="3655" w:type="dxa"/>
          </w:tcPr>
          <w:p w14:paraId="75688D35" w14:textId="694EDFD5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Discontinuation of posaconazole/clarithromycin in a immunosuppressed patient after a stem cell transplant: cessation of the PK interaction with ciclosporin interaction leading to a reduction in ciclosporin levels.</w:t>
            </w:r>
          </w:p>
        </w:tc>
        <w:tc>
          <w:tcPr>
            <w:tcW w:w="0" w:type="auto"/>
          </w:tcPr>
          <w:p w14:paraId="46FE2F1A" w14:textId="548C2112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Make a ciclosporin levels 3 days after stopping clarithromycin and posaconazole and increase ciclosporin dose if necessary</w:t>
            </w:r>
          </w:p>
        </w:tc>
        <w:tc>
          <w:tcPr>
            <w:tcW w:w="0" w:type="auto"/>
          </w:tcPr>
          <w:p w14:paraId="2061D43C" w14:textId="4CA4A226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Ciclosporin treatment failure</w:t>
            </w:r>
          </w:p>
        </w:tc>
        <w:tc>
          <w:tcPr>
            <w:tcW w:w="0" w:type="auto"/>
          </w:tcPr>
          <w:p w14:paraId="342774B0" w14:textId="631A831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Recurrent GVHD</w:t>
            </w:r>
          </w:p>
          <w:p w14:paraId="1BD18ED8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161B1C2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6559E19F" w14:textId="23CB1954" w:rsidR="00415F5B" w:rsidRPr="00D123BC" w:rsidRDefault="00C46E31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46E31">
              <w:rPr>
                <w:rFonts w:ascii="Times New Roman" w:hAnsi="Times New Roman" w:cs="Times New Roman"/>
                <w:color w:val="000000"/>
                <w:lang w:val="en-GB"/>
              </w:rPr>
              <w:t>27</w:t>
            </w:r>
            <w:r w:rsidR="00FF4CAB">
              <w:rPr>
                <w:rFonts w:ascii="Times New Roman" w:hAnsi="Times New Roman" w:cs="Times New Roman"/>
                <w:color w:val="000000"/>
                <w:lang w:val="en-GB"/>
              </w:rPr>
              <w:t>,</w:t>
            </w:r>
            <w:r w:rsidRPr="00C46E31">
              <w:rPr>
                <w:rFonts w:ascii="Times New Roman" w:hAnsi="Times New Roman" w:cs="Times New Roman"/>
                <w:color w:val="000000"/>
                <w:lang w:val="en-GB"/>
              </w:rPr>
              <w:t>942</w:t>
            </w:r>
          </w:p>
        </w:tc>
      </w:tr>
      <w:tr w:rsidR="00FF4CAB" w:rsidRPr="00D123BC" w14:paraId="05BAE7F9" w14:textId="443175B1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10EA64CA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Drug interaction</w:t>
            </w:r>
          </w:p>
        </w:tc>
        <w:tc>
          <w:tcPr>
            <w:tcW w:w="3655" w:type="dxa"/>
          </w:tcPr>
          <w:p w14:paraId="0B29631E" w14:textId="3FD7B08A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PK drug interaction between amiodarone and dabigatran in a patient treated for atrial fibrillation: 50% increase in dabigatran AUC.</w:t>
            </w:r>
          </w:p>
          <w:p w14:paraId="4DCC1F2F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2AD52B23" w14:textId="410026E1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Switch for another DOAC with no interaction (apixaban) or OAC (acenocoumarol)</w:t>
            </w:r>
          </w:p>
        </w:tc>
        <w:tc>
          <w:tcPr>
            <w:tcW w:w="0" w:type="auto"/>
          </w:tcPr>
          <w:p w14:paraId="4EE4A81E" w14:textId="0DF4F02D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Dabigatran overdose</w:t>
            </w:r>
          </w:p>
        </w:tc>
        <w:tc>
          <w:tcPr>
            <w:tcW w:w="0" w:type="auto"/>
          </w:tcPr>
          <w:p w14:paraId="1F354BE4" w14:textId="582DAD35" w:rsidR="00415F5B" w:rsidRPr="00D123BC" w:rsidRDefault="00C46E31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46E31">
              <w:rPr>
                <w:rFonts w:ascii="Times New Roman" w:hAnsi="Times New Roman" w:cs="Times New Roman"/>
                <w:color w:val="000000"/>
                <w:lang w:val="en-GB"/>
              </w:rPr>
              <w:t>Intracerebral haemorrhage</w:t>
            </w:r>
            <w:r w:rsidRPr="00C46E3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5AAD379A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0" w:type="auto"/>
          </w:tcPr>
          <w:p w14:paraId="387CD47A" w14:textId="2639DE1F" w:rsidR="00415F5B" w:rsidRPr="00D123BC" w:rsidRDefault="00C46E31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15929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15,591</w:t>
            </w:r>
          </w:p>
        </w:tc>
      </w:tr>
      <w:tr w:rsidR="00FF4CAB" w:rsidRPr="00D123BC" w14:paraId="5A083029" w14:textId="27F0299C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E61FA3F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Drug interaction</w:t>
            </w:r>
          </w:p>
        </w:tc>
        <w:tc>
          <w:tcPr>
            <w:tcW w:w="3655" w:type="dxa"/>
          </w:tcPr>
          <w:p w14:paraId="34235332" w14:textId="4A3B6C7F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0DAF5FB0" w14:textId="01CBCF05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Ibuprofen-olmesartan-furosemide PD interaction: blockage of the two compensatory mechanisms in the nephron (afferent arteriolar dilatation and efferent arteriolar constriction)</w:t>
            </w:r>
          </w:p>
          <w:p w14:paraId="64BE1AFA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</w:p>
          <w:p w14:paraId="48F90F17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15C4CCC2" w14:textId="30803FA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Discontinuation of NSAIDs and switch to opioids to treat pain</w:t>
            </w:r>
          </w:p>
        </w:tc>
        <w:tc>
          <w:tcPr>
            <w:tcW w:w="0" w:type="auto"/>
          </w:tcPr>
          <w:p w14:paraId="39EFFB6E" w14:textId="5BC7A93E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Increased nephrotoxicity</w:t>
            </w:r>
          </w:p>
        </w:tc>
        <w:tc>
          <w:tcPr>
            <w:tcW w:w="0" w:type="auto"/>
          </w:tcPr>
          <w:p w14:paraId="468D7357" w14:textId="5444361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Acute renal failure</w:t>
            </w:r>
          </w:p>
        </w:tc>
        <w:tc>
          <w:tcPr>
            <w:tcW w:w="0" w:type="auto"/>
          </w:tcPr>
          <w:p w14:paraId="3B8EBC47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0" w:type="auto"/>
          </w:tcPr>
          <w:p w14:paraId="4378FE9E" w14:textId="6C0C4265" w:rsidR="00415F5B" w:rsidRPr="00D123BC" w:rsidRDefault="00C46E31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1592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9,490</w:t>
            </w:r>
          </w:p>
        </w:tc>
      </w:tr>
      <w:tr w:rsidR="00FF4CAB" w:rsidRPr="00D123BC" w14:paraId="043040D8" w14:textId="13CCCF0A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072C6D77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Drug interaction</w:t>
            </w:r>
          </w:p>
        </w:tc>
        <w:tc>
          <w:tcPr>
            <w:tcW w:w="3655" w:type="dxa"/>
          </w:tcPr>
          <w:p w14:paraId="5D74C982" w14:textId="7796E91B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Paroxetine-domperidone PK interaction: increased risk of long QT</w:t>
            </w:r>
          </w:p>
          <w:p w14:paraId="4E70162B" w14:textId="76E9123B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Additional risk factor is hypokalaemia (3.1mmol/L)</w:t>
            </w:r>
          </w:p>
        </w:tc>
        <w:tc>
          <w:tcPr>
            <w:tcW w:w="0" w:type="auto"/>
          </w:tcPr>
          <w:p w14:paraId="3D0F4258" w14:textId="35A37072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Change domperidone for metoclopramide or check ECG</w:t>
            </w:r>
          </w:p>
        </w:tc>
        <w:tc>
          <w:tcPr>
            <w:tcW w:w="0" w:type="auto"/>
          </w:tcPr>
          <w:p w14:paraId="0D70F1D4" w14:textId="357B311C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Long QT</w:t>
            </w:r>
          </w:p>
        </w:tc>
        <w:tc>
          <w:tcPr>
            <w:tcW w:w="0" w:type="auto"/>
          </w:tcPr>
          <w:p w14:paraId="53CE17A4" w14:textId="737997C2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Long QT</w:t>
            </w:r>
          </w:p>
        </w:tc>
        <w:tc>
          <w:tcPr>
            <w:tcW w:w="0" w:type="auto"/>
          </w:tcPr>
          <w:p w14:paraId="246DD5FB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332F6BBB" w14:textId="4A6838D5" w:rsidR="00415F5B" w:rsidRPr="00D123BC" w:rsidRDefault="00C46E31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15929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7,253</w:t>
            </w:r>
          </w:p>
        </w:tc>
      </w:tr>
      <w:tr w:rsidR="00FF4CAB" w:rsidRPr="00D123BC" w14:paraId="295B210D" w14:textId="3D44A825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3E5720CD" w14:textId="72B62AD1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Drug interaction</w:t>
            </w:r>
          </w:p>
        </w:tc>
        <w:tc>
          <w:tcPr>
            <w:tcW w:w="3655" w:type="dxa"/>
          </w:tcPr>
          <w:p w14:paraId="3D790027" w14:textId="2098806E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Cessation of smoking during hospitalization in a patient with epilepsy.</w:t>
            </w:r>
          </w:p>
          <w:p w14:paraId="2F923BFB" w14:textId="6F347D0C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Discontinuation of tobacco-olanzapine PK interaction (CYP1A2 induction) leading to a gradual increase in olanzapine levels.</w:t>
            </w:r>
          </w:p>
        </w:tc>
        <w:tc>
          <w:tcPr>
            <w:tcW w:w="0" w:type="auto"/>
          </w:tcPr>
          <w:p w14:paraId="1813C80E" w14:textId="559AE08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Monitor alertness and reduce olanzapine dose if necessary</w:t>
            </w:r>
          </w:p>
        </w:tc>
        <w:tc>
          <w:tcPr>
            <w:tcW w:w="0" w:type="auto"/>
          </w:tcPr>
          <w:p w14:paraId="49EE7995" w14:textId="31A49FD1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Increased olanzapine side effects</w:t>
            </w:r>
          </w:p>
        </w:tc>
        <w:tc>
          <w:tcPr>
            <w:tcW w:w="0" w:type="auto"/>
          </w:tcPr>
          <w:p w14:paraId="1393E9AC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Epileptic seizure</w:t>
            </w:r>
          </w:p>
          <w:p w14:paraId="5CBB2151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11FA189D" w14:textId="2C782FAC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0DF36AA9" w14:textId="0F8ED3E4" w:rsidR="00415F5B" w:rsidRPr="00D123B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</w:tr>
      <w:tr w:rsidR="00415F5B" w:rsidRPr="00D123BC" w14:paraId="7DC7E2C8" w14:textId="4E4F995B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3881457B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Inadequate dosage</w:t>
            </w:r>
          </w:p>
        </w:tc>
        <w:tc>
          <w:tcPr>
            <w:tcW w:w="3655" w:type="dxa"/>
          </w:tcPr>
          <w:p w14:paraId="63C64E07" w14:textId="753DAFCC" w:rsidR="00415F5B" w:rsidRPr="009F4878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Rivaroxaban underdosage:</w:t>
            </w:r>
          </w:p>
          <w:p w14:paraId="49AC5FD3" w14:textId="0253680C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Patient treated with 15 mg rivaroxaban once daily in the context of atrial fibrillation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and renal function at 53 ml/min/1.73m</w:t>
            </w:r>
            <w:r w:rsidRPr="00D123BC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2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(CKD-EPI formula) and 55ml/min (Cockcroft and Gault)</w:t>
            </w:r>
          </w:p>
        </w:tc>
        <w:tc>
          <w:tcPr>
            <w:tcW w:w="0" w:type="auto"/>
          </w:tcPr>
          <w:p w14:paraId="74E4F019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 the dose of rivaroxaban to 20 mg once daily</w:t>
            </w:r>
          </w:p>
        </w:tc>
        <w:tc>
          <w:tcPr>
            <w:tcW w:w="0" w:type="auto"/>
          </w:tcPr>
          <w:p w14:paraId="0DDBF61B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Heart embolism</w:t>
            </w:r>
          </w:p>
          <w:p w14:paraId="4A7D2992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3EB0B5FB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Ischemic stroke</w:t>
            </w:r>
          </w:p>
        </w:tc>
        <w:tc>
          <w:tcPr>
            <w:tcW w:w="0" w:type="auto"/>
          </w:tcPr>
          <w:p w14:paraId="1C424643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0.01</w:t>
            </w:r>
          </w:p>
        </w:tc>
        <w:tc>
          <w:tcPr>
            <w:tcW w:w="0" w:type="auto"/>
          </w:tcPr>
          <w:p w14:paraId="5EBB083B" w14:textId="74C187BF" w:rsidR="00415F5B" w:rsidRPr="00D123B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</w:tr>
      <w:tr w:rsidR="00415F5B" w:rsidRPr="00D123BC" w14:paraId="442E4A94" w14:textId="4837A6E9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03EA4DA7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Inadequate dosage</w:t>
            </w:r>
          </w:p>
        </w:tc>
        <w:tc>
          <w:tcPr>
            <w:tcW w:w="3655" w:type="dxa"/>
          </w:tcPr>
          <w:p w14:paraId="4EB1C4FA" w14:textId="4DB8D824" w:rsidR="00415F5B" w:rsidRPr="009F4878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Paracetamol overdose:</w:t>
            </w:r>
          </w:p>
          <w:p w14:paraId="14DE8556" w14:textId="4748CD3F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 dose of 4g per day for chronic lower back pain in a patient with chronic alcoholism.</w:t>
            </w:r>
          </w:p>
        </w:tc>
        <w:tc>
          <w:tcPr>
            <w:tcW w:w="0" w:type="auto"/>
          </w:tcPr>
          <w:p w14:paraId="37ADF7E7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Reduced paracetamol dose to a maximum of 2g per day.</w:t>
            </w:r>
          </w:p>
        </w:tc>
        <w:tc>
          <w:tcPr>
            <w:tcW w:w="0" w:type="auto"/>
          </w:tcPr>
          <w:p w14:paraId="280C3395" w14:textId="6038FD4F" w:rsidR="00415F5B" w:rsidRPr="00D123BC" w:rsidRDefault="00F3348C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Hepatotoxicity</w:t>
            </w:r>
          </w:p>
        </w:tc>
        <w:tc>
          <w:tcPr>
            <w:tcW w:w="0" w:type="auto"/>
          </w:tcPr>
          <w:p w14:paraId="7723ACB9" w14:textId="0CA37320" w:rsidR="00415F5B" w:rsidRPr="00D123BC" w:rsidRDefault="00F3348C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3348C">
              <w:rPr>
                <w:rFonts w:ascii="Times New Roman" w:hAnsi="Times New Roman" w:cs="Times New Roman"/>
                <w:color w:val="000000"/>
                <w:lang w:val="en-GB"/>
              </w:rPr>
              <w:t>Toxic liver disease with acute hepatitis</w:t>
            </w:r>
          </w:p>
        </w:tc>
        <w:tc>
          <w:tcPr>
            <w:tcW w:w="0" w:type="auto"/>
          </w:tcPr>
          <w:p w14:paraId="2EA62DFE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1DAFFD9B" w14:textId="2AC0151E" w:rsidR="00415F5B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657</w:t>
            </w:r>
          </w:p>
          <w:p w14:paraId="5075DF7D" w14:textId="77777777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3797CF89" w14:textId="77777777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669CDF1" w14:textId="77777777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63435FD3" w14:textId="77777777" w:rsid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1A0B0C91" w14:textId="740E4A40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15F5B" w:rsidRPr="00D123BC" w14:paraId="31BB2B57" w14:textId="34EDDAF0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3EEFDEF7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Inadequate dosage</w:t>
            </w:r>
          </w:p>
        </w:tc>
        <w:tc>
          <w:tcPr>
            <w:tcW w:w="3655" w:type="dxa"/>
          </w:tcPr>
          <w:p w14:paraId="13498359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Amoxicillin and clavulanate underdosing: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Patient treated orally with 312.5 mg every 12 hours for a toe infection (initially adapted to renal function). Acute renal impairment resolved and creatinine clearance &gt; 30 mL/min.</w:t>
            </w:r>
          </w:p>
        </w:tc>
        <w:tc>
          <w:tcPr>
            <w:tcW w:w="0" w:type="auto"/>
          </w:tcPr>
          <w:p w14:paraId="0640AA1A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79CA66D5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Increased amoxicillin and clavulanate from 312.5 mg to 625 mg three times a day after resolution of ARI.</w:t>
            </w:r>
          </w:p>
          <w:p w14:paraId="64D7ECD7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4AA5F0DC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B161252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78C9AAED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6BAF4FD0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3F95D95F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72C0E042" w14:textId="4EF6C081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Undertreated infection</w:t>
            </w:r>
          </w:p>
        </w:tc>
        <w:tc>
          <w:tcPr>
            <w:tcW w:w="0" w:type="auto"/>
          </w:tcPr>
          <w:p w14:paraId="6C684081" w14:textId="6B43EDCD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Osteomyelitis</w:t>
            </w:r>
          </w:p>
        </w:tc>
        <w:tc>
          <w:tcPr>
            <w:tcW w:w="0" w:type="auto"/>
          </w:tcPr>
          <w:p w14:paraId="767F90DE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47D954A0" w14:textId="51C4BCFC" w:rsidR="00415F5B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151</w:t>
            </w:r>
          </w:p>
          <w:p w14:paraId="793A9D00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403E9E9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69AA66AD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CC99B49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0ED12E7D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0479DA9F" w14:textId="77777777" w:rsid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23F4EEDF" w14:textId="09F12DE2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15F5B" w:rsidRPr="00D123BC" w14:paraId="26780285" w14:textId="067CB802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747A7627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Inadequate dosage</w:t>
            </w:r>
          </w:p>
        </w:tc>
        <w:tc>
          <w:tcPr>
            <w:tcW w:w="3655" w:type="dxa"/>
          </w:tcPr>
          <w:p w14:paraId="24454C77" w14:textId="5A8E2AC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Gentamicin underdosing:</w:t>
            </w:r>
          </w:p>
          <w:p w14:paraId="11933651" w14:textId="4D71BB9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treated for an endocarditis with gentamicin 0.5 mg/kg every 8 hours with moderate renal impairment (Clcr 40 ml/min) (synergia with flucloxacillin)</w:t>
            </w:r>
          </w:p>
          <w:p w14:paraId="57978708" w14:textId="2806C29E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Therapeutic Drug Monitoring showed:</w:t>
            </w:r>
          </w:p>
          <w:p w14:paraId="66F6FAC9" w14:textId="079E0B0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high residual rate (1.5mg/L) (risk of toxicity);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low peak rate (2.5 mg/L) (risk of inefficiency)</w:t>
            </w:r>
          </w:p>
        </w:tc>
        <w:tc>
          <w:tcPr>
            <w:tcW w:w="0" w:type="auto"/>
          </w:tcPr>
          <w:p w14:paraId="2BFFCD42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For a higher peak rate (target 5-7mg/L) and lower residual rate (target &lt;1mg/L).</w:t>
            </w:r>
          </w:p>
          <w:p w14:paraId="0F722775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Change the frequency of administration and daily dose to 1 mg/kg every 24 hours</w:t>
            </w:r>
          </w:p>
        </w:tc>
        <w:tc>
          <w:tcPr>
            <w:tcW w:w="0" w:type="auto"/>
          </w:tcPr>
          <w:p w14:paraId="29607C1C" w14:textId="33FEE64A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Endocarditis progression.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br/>
              <w:t>Renal impairment.</w:t>
            </w:r>
          </w:p>
        </w:tc>
        <w:tc>
          <w:tcPr>
            <w:tcW w:w="0" w:type="auto"/>
          </w:tcPr>
          <w:p w14:paraId="75861862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Acute Renal Failure</w:t>
            </w:r>
          </w:p>
          <w:p w14:paraId="34625C1E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3C74AFC2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79ABD3C7" w14:textId="5CC5B207" w:rsidR="00415F5B" w:rsidRPr="00D123B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</w:tr>
      <w:tr w:rsidR="00415F5B" w:rsidRPr="00D123BC" w14:paraId="261AA8FE" w14:textId="4FE87C31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50568AE" w14:textId="77777777" w:rsidR="00415F5B" w:rsidRPr="00D123BC" w:rsidRDefault="00415F5B" w:rsidP="00C13B83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Inadequate dosage</w:t>
            </w:r>
          </w:p>
        </w:tc>
        <w:tc>
          <w:tcPr>
            <w:tcW w:w="3655" w:type="dxa"/>
          </w:tcPr>
          <w:p w14:paraId="2692A375" w14:textId="1B0C164C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F4878">
              <w:rPr>
                <w:rFonts w:ascii="Times New Roman" w:hAnsi="Times New Roman" w:cs="Times New Roman"/>
                <w:color w:val="000000"/>
                <w:lang w:val="en-GB"/>
              </w:rPr>
              <w:t>Metoclopramide overdose:</w:t>
            </w:r>
          </w:p>
          <w:p w14:paraId="62958170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with end-stage renal disease (eGFR &lt;10 ml/min) receiving metoclopramide 10 mg three times a day for nausea and vomiting.</w:t>
            </w:r>
          </w:p>
        </w:tc>
        <w:tc>
          <w:tcPr>
            <w:tcW w:w="0" w:type="auto"/>
          </w:tcPr>
          <w:p w14:paraId="1C939FE6" w14:textId="2664E5AA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Reduce the dose by 75% to 5 mg three times a day</w:t>
            </w:r>
          </w:p>
        </w:tc>
        <w:tc>
          <w:tcPr>
            <w:tcW w:w="0" w:type="auto"/>
          </w:tcPr>
          <w:p w14:paraId="6669F7D8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There is a significant risk of renal accumulation and metoclopramide toxicity (Extrapyramidal syndrome, Neuroleptic malignant syndrome, Confusion etc.)</w:t>
            </w:r>
          </w:p>
          <w:p w14:paraId="0A5609A4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21BC88D6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Delirium</w:t>
            </w:r>
          </w:p>
        </w:tc>
        <w:tc>
          <w:tcPr>
            <w:tcW w:w="0" w:type="auto"/>
          </w:tcPr>
          <w:p w14:paraId="58DA2C51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0" w:type="auto"/>
          </w:tcPr>
          <w:p w14:paraId="24F14A3B" w14:textId="5811F9E2" w:rsidR="00415F5B" w:rsidRPr="00D123B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</w:tr>
      <w:tr w:rsidR="00FF4CAB" w:rsidRPr="00D123BC" w14:paraId="47B429DE" w14:textId="57B97886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7D1CEF8" w14:textId="77777777" w:rsidR="00415F5B" w:rsidRPr="00D123BC" w:rsidRDefault="00415F5B" w:rsidP="008162EA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Improper drug selection</w:t>
            </w:r>
          </w:p>
        </w:tc>
        <w:tc>
          <w:tcPr>
            <w:tcW w:w="3655" w:type="dxa"/>
          </w:tcPr>
          <w:p w14:paraId="76FDF0DC" w14:textId="572044DD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Diltiazem in a patient with acute heart failure.</w:t>
            </w:r>
          </w:p>
        </w:tc>
        <w:tc>
          <w:tcPr>
            <w:tcW w:w="0" w:type="auto"/>
          </w:tcPr>
          <w:p w14:paraId="070E0FED" w14:textId="5060082B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Stop diltiazem and titrate a beta-blocker (metoprolol or bisoprolol)</w:t>
            </w:r>
          </w:p>
        </w:tc>
        <w:tc>
          <w:tcPr>
            <w:tcW w:w="0" w:type="auto"/>
          </w:tcPr>
          <w:p w14:paraId="4185AF12" w14:textId="777E2AD1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Worsening of heart failure</w:t>
            </w:r>
          </w:p>
        </w:tc>
        <w:tc>
          <w:tcPr>
            <w:tcW w:w="0" w:type="auto"/>
          </w:tcPr>
          <w:p w14:paraId="409A1351" w14:textId="725AD1FE" w:rsidR="00415F5B" w:rsidRPr="00D123BC" w:rsidRDefault="00F3348C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Acute Heart Failure</w:t>
            </w:r>
          </w:p>
        </w:tc>
        <w:tc>
          <w:tcPr>
            <w:tcW w:w="0" w:type="auto"/>
          </w:tcPr>
          <w:p w14:paraId="71E3D2BB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01518446" w14:textId="18CE6641" w:rsidR="00415F5B" w:rsidRPr="00D123B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931</w:t>
            </w:r>
          </w:p>
        </w:tc>
      </w:tr>
      <w:tr w:rsidR="00FF4CAB" w:rsidRPr="00D123BC" w14:paraId="00C30DCE" w14:textId="2F4C31DF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5B70FD9" w14:textId="77777777" w:rsidR="00415F5B" w:rsidRPr="00D123BC" w:rsidRDefault="00415F5B" w:rsidP="008162EA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Improper drug selection</w:t>
            </w:r>
          </w:p>
        </w:tc>
        <w:tc>
          <w:tcPr>
            <w:tcW w:w="3655" w:type="dxa"/>
          </w:tcPr>
          <w:p w14:paraId="3AE7EEBE" w14:textId="3A0A2AF0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Flunitrazepam in an 85-year-old patient</w:t>
            </w:r>
          </w:p>
        </w:tc>
        <w:tc>
          <w:tcPr>
            <w:tcW w:w="0" w:type="auto"/>
          </w:tcPr>
          <w:p w14:paraId="6EBED2FA" w14:textId="12141F6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Change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for benzodiazepine without active metabolites and eliminated </w:t>
            </w:r>
            <w:r w:rsidR="00594300" w:rsidRPr="00D123BC">
              <w:rPr>
                <w:rFonts w:ascii="Times New Roman" w:hAnsi="Times New Roman" w:cs="Times New Roman"/>
                <w:color w:val="000000"/>
                <w:lang w:val="en-GB"/>
              </w:rPr>
              <w:t>essentially by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phase 2 (lorazepam, oxazepam)</w:t>
            </w:r>
          </w:p>
        </w:tc>
        <w:tc>
          <w:tcPr>
            <w:tcW w:w="0" w:type="auto"/>
          </w:tcPr>
          <w:p w14:paraId="29B0A680" w14:textId="19FC8EB4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Cumulative sedative effect</w:t>
            </w:r>
          </w:p>
        </w:tc>
        <w:tc>
          <w:tcPr>
            <w:tcW w:w="0" w:type="auto"/>
          </w:tcPr>
          <w:p w14:paraId="78F042B4" w14:textId="79A8DD9C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Fall</w:t>
            </w:r>
          </w:p>
        </w:tc>
        <w:tc>
          <w:tcPr>
            <w:tcW w:w="0" w:type="auto"/>
          </w:tcPr>
          <w:p w14:paraId="343BFB29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2014747D" w14:textId="79564FA5" w:rsidR="00415F5B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254</w:t>
            </w:r>
          </w:p>
          <w:p w14:paraId="790AB8D2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B82AFC0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C23829A" w14:textId="77777777" w:rsid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1921F395" w14:textId="6F9D2F11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F4CAB" w:rsidRPr="00D123BC" w14:paraId="178891F7" w14:textId="468A699E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55F5520E" w14:textId="77777777" w:rsidR="00415F5B" w:rsidRPr="00D123BC" w:rsidRDefault="00415F5B" w:rsidP="008162EA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Improper drug selection</w:t>
            </w:r>
          </w:p>
        </w:tc>
        <w:tc>
          <w:tcPr>
            <w:tcW w:w="3655" w:type="dxa"/>
          </w:tcPr>
          <w:p w14:paraId="3F59C219" w14:textId="34708852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84-year-old patient who had a fall with CT and ACS and was on gliclazide 60mg bid, linagliptin 5mg q.d and metformin 500mg q.d: gliclazide and metformin were stopped because of an acute renal failure (Clcr 39).</w:t>
            </w:r>
          </w:p>
        </w:tc>
        <w:tc>
          <w:tcPr>
            <w:tcW w:w="0" w:type="auto"/>
          </w:tcPr>
          <w:p w14:paraId="7178044F" w14:textId="08A61A04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Do not reintroduce gliclazide as there is a risk of hypoglycaemia and according to STOPP/START criteria it is contraindicated in elderly patients.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Choose another antidiabetic drug (e.g.GLP1 analogue or SGLT2 inhibitor)</w:t>
            </w:r>
          </w:p>
        </w:tc>
        <w:tc>
          <w:tcPr>
            <w:tcW w:w="0" w:type="auto"/>
          </w:tcPr>
          <w:p w14:paraId="244A32A0" w14:textId="289050CB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Hypoglycaemia</w:t>
            </w:r>
          </w:p>
        </w:tc>
        <w:tc>
          <w:tcPr>
            <w:tcW w:w="0" w:type="auto"/>
          </w:tcPr>
          <w:p w14:paraId="4D84FB91" w14:textId="792D9C09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Hypoglycaemia</w:t>
            </w:r>
          </w:p>
        </w:tc>
        <w:tc>
          <w:tcPr>
            <w:tcW w:w="0" w:type="auto"/>
          </w:tcPr>
          <w:p w14:paraId="01B3C28B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0.2</w:t>
            </w:r>
          </w:p>
        </w:tc>
        <w:tc>
          <w:tcPr>
            <w:tcW w:w="0" w:type="auto"/>
          </w:tcPr>
          <w:p w14:paraId="4702A35C" w14:textId="7CB67AE8" w:rsidR="00415F5B" w:rsidRPr="00D123B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</w:tr>
      <w:tr w:rsidR="00FF4CAB" w:rsidRPr="00D123BC" w14:paraId="77A91D6D" w14:textId="4B41D132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D547CEE" w14:textId="77777777" w:rsidR="00415F5B" w:rsidRPr="00D123BC" w:rsidRDefault="00415F5B" w:rsidP="008162EA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Improper drug selection</w:t>
            </w:r>
          </w:p>
        </w:tc>
        <w:tc>
          <w:tcPr>
            <w:tcW w:w="3655" w:type="dxa"/>
          </w:tcPr>
          <w:p w14:paraId="5D49AC3F" w14:textId="4D1D6309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with unstaged COPD with FEV</w:t>
            </w:r>
            <w:r w:rsidRPr="00D123BC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1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77% of predicted who is treated with Seretide® (fluticasone + salmeterol) (CSI + LABA): CSI questioned as patient not known to have had 2 outpatient exacerbations or 1 inpatient exacerbation within 1 year. In addition, it is introduced in patients with a FEV</w:t>
            </w:r>
            <w:r w:rsidRPr="00D123BC">
              <w:rPr>
                <w:rFonts w:ascii="Times New Roman" w:hAnsi="Times New Roman" w:cs="Times New Roman"/>
                <w:color w:val="000000"/>
                <w:vertAlign w:val="subscript"/>
                <w:lang w:val="en-GB"/>
              </w:rPr>
              <w:t>1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&lt; 60% of predicted. If the patient is known to have pneumonia, then ICS is contraindicated because it increases the risk of pneumonia. </w:t>
            </w:r>
          </w:p>
        </w:tc>
        <w:tc>
          <w:tcPr>
            <w:tcW w:w="0" w:type="auto"/>
          </w:tcPr>
          <w:p w14:paraId="6E61DB67" w14:textId="4B2E1E69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Prefer LAMA combined with LABA to prevent exacerbations and hospitalisations (GOLD guidelines)</w:t>
            </w:r>
          </w:p>
        </w:tc>
        <w:tc>
          <w:tcPr>
            <w:tcW w:w="0" w:type="auto"/>
          </w:tcPr>
          <w:p w14:paraId="3B2AFB8D" w14:textId="2B6F7D4B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Pneumonia</w:t>
            </w:r>
          </w:p>
        </w:tc>
        <w:tc>
          <w:tcPr>
            <w:tcW w:w="0" w:type="auto"/>
          </w:tcPr>
          <w:p w14:paraId="7B0110E2" w14:textId="310FD48E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Pneumonia</w:t>
            </w:r>
          </w:p>
        </w:tc>
        <w:tc>
          <w:tcPr>
            <w:tcW w:w="0" w:type="auto"/>
          </w:tcPr>
          <w:p w14:paraId="72F1A4EF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37033DA9" w14:textId="3BCCF0F9" w:rsidR="00415F5B" w:rsidRPr="00D123B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973</w:t>
            </w:r>
          </w:p>
        </w:tc>
      </w:tr>
      <w:tr w:rsidR="00FF4CAB" w:rsidRPr="00D123BC" w14:paraId="7E44599E" w14:textId="126155B6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2DDADF8D" w14:textId="77777777" w:rsidR="00415F5B" w:rsidRPr="00D123BC" w:rsidRDefault="00415F5B" w:rsidP="003E498C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Improper drug selection</w:t>
            </w:r>
          </w:p>
        </w:tc>
        <w:tc>
          <w:tcPr>
            <w:tcW w:w="3655" w:type="dxa"/>
          </w:tcPr>
          <w:p w14:paraId="40BEEEED" w14:textId="3DB011C5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Young patient admitted to hospital with pyelonephritis on morphine 10mg qid for headaches. </w:t>
            </w:r>
          </w:p>
        </w:tc>
        <w:tc>
          <w:tcPr>
            <w:tcW w:w="0" w:type="auto"/>
          </w:tcPr>
          <w:p w14:paraId="77E0D79B" w14:textId="0689E0E0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Switch to ibuprofen</w:t>
            </w:r>
          </w:p>
        </w:tc>
        <w:tc>
          <w:tcPr>
            <w:tcW w:w="0" w:type="auto"/>
          </w:tcPr>
          <w:p w14:paraId="07BC4987" w14:textId="67D46F6B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Constipation</w:t>
            </w:r>
          </w:p>
        </w:tc>
        <w:tc>
          <w:tcPr>
            <w:tcW w:w="0" w:type="auto"/>
          </w:tcPr>
          <w:p w14:paraId="5D5D6907" w14:textId="6B40D52A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Constipation</w:t>
            </w:r>
          </w:p>
        </w:tc>
        <w:tc>
          <w:tcPr>
            <w:tcW w:w="0" w:type="auto"/>
          </w:tcPr>
          <w:p w14:paraId="63931918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3B21EE60" w14:textId="213E3A32" w:rsidR="00415F5B" w:rsidRPr="00D123B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</w:tr>
      <w:tr w:rsidR="00415F5B" w:rsidRPr="00D123BC" w14:paraId="747AF10E" w14:textId="1FC2A8C0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1F2EFC3C" w14:textId="2DE60DF6" w:rsidR="00415F5B" w:rsidRPr="00D123BC" w:rsidRDefault="00415F5B" w:rsidP="003E498C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D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rug use without an indication</w:t>
            </w:r>
          </w:p>
        </w:tc>
        <w:tc>
          <w:tcPr>
            <w:tcW w:w="3655" w:type="dxa"/>
          </w:tcPr>
          <w:p w14:paraId="688F4AC2" w14:textId="35849425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Aspirin without indication, in patient with thrombocytopenia and poorly controlled hypertension.</w:t>
            </w:r>
          </w:p>
        </w:tc>
        <w:tc>
          <w:tcPr>
            <w:tcW w:w="0" w:type="auto"/>
          </w:tcPr>
          <w:p w14:paraId="5C33E0D2" w14:textId="343296EA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Stop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acetylsalicylic acid</w:t>
            </w:r>
          </w:p>
        </w:tc>
        <w:tc>
          <w:tcPr>
            <w:tcW w:w="0" w:type="auto"/>
          </w:tcPr>
          <w:p w14:paraId="4D44CB27" w14:textId="2B6E6325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Combined risk of haemorrhage (thrombocytopenia and poorly controlled hypertension)</w:t>
            </w:r>
          </w:p>
        </w:tc>
        <w:tc>
          <w:tcPr>
            <w:tcW w:w="0" w:type="auto"/>
          </w:tcPr>
          <w:p w14:paraId="63328277" w14:textId="5D699359" w:rsidR="00415F5B" w:rsidRPr="00D123BC" w:rsidRDefault="00F3348C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46E31">
              <w:rPr>
                <w:rFonts w:ascii="Times New Roman" w:hAnsi="Times New Roman" w:cs="Times New Roman"/>
                <w:color w:val="000000"/>
                <w:lang w:val="en-GB"/>
              </w:rPr>
              <w:t>Intracerebral haemorrhage</w:t>
            </w:r>
          </w:p>
        </w:tc>
        <w:tc>
          <w:tcPr>
            <w:tcW w:w="0" w:type="auto"/>
          </w:tcPr>
          <w:p w14:paraId="23C3ED44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0" w:type="auto"/>
          </w:tcPr>
          <w:p w14:paraId="4513AF26" w14:textId="77777777" w:rsidR="00415F5B" w:rsidRDefault="00415F5B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049EFA70" w14:textId="77777777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5B86E811" w14:textId="77777777" w:rsid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09D0995B" w14:textId="6181ACAA" w:rsidR="00F3348C" w:rsidRPr="00F3348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</w:tr>
      <w:tr w:rsidR="00415F5B" w:rsidRPr="00D123BC" w14:paraId="20EA8B70" w14:textId="2297F61A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2B7E956E" w14:textId="3A725B2A" w:rsidR="00415F5B" w:rsidRPr="00D123BC" w:rsidRDefault="00415F5B" w:rsidP="003E498C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D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rug use without an indication</w:t>
            </w:r>
          </w:p>
        </w:tc>
        <w:tc>
          <w:tcPr>
            <w:tcW w:w="3655" w:type="dxa"/>
          </w:tcPr>
          <w:p w14:paraId="54056AFD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Pramipexole in a patient with no indication</w:t>
            </w:r>
          </w:p>
          <w:p w14:paraId="14626D52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1F08A135" w14:textId="198EF7D4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Stop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pramipexole</w:t>
            </w:r>
          </w:p>
        </w:tc>
        <w:tc>
          <w:tcPr>
            <w:tcW w:w="0" w:type="auto"/>
          </w:tcPr>
          <w:p w14:paraId="291D2D7F" w14:textId="322C347B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Dizziness and sedation</w:t>
            </w:r>
          </w:p>
        </w:tc>
        <w:tc>
          <w:tcPr>
            <w:tcW w:w="0" w:type="auto"/>
          </w:tcPr>
          <w:p w14:paraId="5F67204D" w14:textId="6AC8D610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Orthostatic hypotension</w:t>
            </w:r>
          </w:p>
        </w:tc>
        <w:tc>
          <w:tcPr>
            <w:tcW w:w="0" w:type="auto"/>
          </w:tcPr>
          <w:p w14:paraId="124F0889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360F649D" w14:textId="09E97F47" w:rsidR="00415F5B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662</w:t>
            </w:r>
          </w:p>
          <w:p w14:paraId="48E2234C" w14:textId="77777777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55A3D9DB" w14:textId="77777777" w:rsid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3AC90635" w14:textId="2670EF94" w:rsidR="00F3348C" w:rsidRPr="00F3348C" w:rsidRDefault="00F3348C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15F5B" w:rsidRPr="00D123BC" w14:paraId="77EF240F" w14:textId="4CFFF306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0F41BC1" w14:textId="7AEC3DBF" w:rsidR="00415F5B" w:rsidRPr="00D123BC" w:rsidRDefault="00415F5B" w:rsidP="003E498C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D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rug use without an indication</w:t>
            </w:r>
          </w:p>
        </w:tc>
        <w:tc>
          <w:tcPr>
            <w:tcW w:w="3655" w:type="dxa"/>
          </w:tcPr>
          <w:p w14:paraId="3FB06DAF" w14:textId="63DE06B4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Esomeprazole without indication (acetylsalicylic acid stopped) in a patient with known osteoporosis and recent fracture.</w:t>
            </w:r>
          </w:p>
          <w:p w14:paraId="2DCEB14A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6E6CB57A" w14:textId="141E7984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Stop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167F58" w:rsidRPr="00D123BC">
              <w:rPr>
                <w:rFonts w:ascii="Times New Roman" w:hAnsi="Times New Roman" w:cs="Times New Roman"/>
                <w:color w:val="000000"/>
                <w:lang w:val="en-GB"/>
              </w:rPr>
              <w:t>esomeprazole</w:t>
            </w:r>
          </w:p>
          <w:p w14:paraId="1F203781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5B7B0088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Increased risk of fracture in patients with osteoporosis</w:t>
            </w:r>
          </w:p>
          <w:p w14:paraId="78D2F246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4FA5672F" w14:textId="08C7FE5E" w:rsidR="00415F5B" w:rsidRPr="00D123BC" w:rsidRDefault="00F3348C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Femoral neck fracture</w:t>
            </w:r>
          </w:p>
        </w:tc>
        <w:tc>
          <w:tcPr>
            <w:tcW w:w="0" w:type="auto"/>
          </w:tcPr>
          <w:p w14:paraId="17744461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121B09DE" w14:textId="2426A98C" w:rsidR="00415F5B" w:rsidRPr="00D123BC" w:rsidRDefault="00F3348C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F1C02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F1C02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</w:tr>
      <w:tr w:rsidR="00415F5B" w:rsidRPr="00D123BC" w14:paraId="13AC50FC" w14:textId="32565793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2C4748CA" w14:textId="169D77D0" w:rsidR="00415F5B" w:rsidRPr="00D123BC" w:rsidRDefault="00415F5B" w:rsidP="00061481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D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rug use without an indication</w:t>
            </w:r>
          </w:p>
        </w:tc>
        <w:tc>
          <w:tcPr>
            <w:tcW w:w="3655" w:type="dxa"/>
          </w:tcPr>
          <w:p w14:paraId="45C0323E" w14:textId="6796D96F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on sodium polystyrene sulfonate for hyperkalaemia who is currently hypokalaemia</w:t>
            </w:r>
          </w:p>
        </w:tc>
        <w:tc>
          <w:tcPr>
            <w:tcW w:w="0" w:type="auto"/>
          </w:tcPr>
          <w:p w14:paraId="79544B96" w14:textId="7D252BFF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Stop sodium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polystyrene sulfonate</w:t>
            </w:r>
          </w:p>
        </w:tc>
        <w:tc>
          <w:tcPr>
            <w:tcW w:w="0" w:type="auto"/>
          </w:tcPr>
          <w:p w14:paraId="31E4BC3E" w14:textId="706C688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Hypokalaemia</w:t>
            </w:r>
          </w:p>
        </w:tc>
        <w:tc>
          <w:tcPr>
            <w:tcW w:w="0" w:type="auto"/>
          </w:tcPr>
          <w:p w14:paraId="2F166F04" w14:textId="51874C4C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Hypokalaemia</w:t>
            </w:r>
          </w:p>
        </w:tc>
        <w:tc>
          <w:tcPr>
            <w:tcW w:w="0" w:type="auto"/>
          </w:tcPr>
          <w:p w14:paraId="0AADB3CA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356A78A5" w14:textId="3396FD13" w:rsidR="00415F5B" w:rsidRPr="00D123BC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2,622</w:t>
            </w:r>
          </w:p>
        </w:tc>
      </w:tr>
      <w:tr w:rsidR="00415F5B" w:rsidRPr="00D123BC" w14:paraId="0BFF7C28" w14:textId="50A32E67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54AB92C9" w14:textId="75986148" w:rsidR="00415F5B" w:rsidRPr="00D123BC" w:rsidRDefault="00415F5B" w:rsidP="00061481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D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rug use without an indication</w:t>
            </w:r>
          </w:p>
        </w:tc>
        <w:tc>
          <w:tcPr>
            <w:tcW w:w="3655" w:type="dxa"/>
          </w:tcPr>
          <w:p w14:paraId="2FC026C0" w14:textId="06FECF3A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Acetylsalicylic acid (secondary prevention of a myocardial infarction) not indicated anymore (&gt;12 months after acute event) in patient already treated with rivaroxaban for an atrial fibrillation.</w:t>
            </w:r>
          </w:p>
          <w:p w14:paraId="6FD9EF6B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16C2BE8E" w14:textId="404B499F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Proposal to stop acetylsalicylic acid</w:t>
            </w:r>
          </w:p>
        </w:tc>
        <w:tc>
          <w:tcPr>
            <w:tcW w:w="0" w:type="auto"/>
          </w:tcPr>
          <w:p w14:paraId="4815099A" w14:textId="634375BE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Risk of bleeding</w:t>
            </w:r>
          </w:p>
        </w:tc>
        <w:tc>
          <w:tcPr>
            <w:tcW w:w="0" w:type="auto"/>
          </w:tcPr>
          <w:p w14:paraId="6A1E45BD" w14:textId="201C682A" w:rsidR="00415F5B" w:rsidRPr="00D123BC" w:rsidRDefault="009232B6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Upper digestive bleeding</w:t>
            </w:r>
          </w:p>
        </w:tc>
        <w:tc>
          <w:tcPr>
            <w:tcW w:w="0" w:type="auto"/>
          </w:tcPr>
          <w:p w14:paraId="266659F9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0.01</w:t>
            </w:r>
          </w:p>
        </w:tc>
        <w:tc>
          <w:tcPr>
            <w:tcW w:w="0" w:type="auto"/>
          </w:tcPr>
          <w:p w14:paraId="4BCDAE72" w14:textId="7673D62C" w:rsidR="00415F5B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5,284</w:t>
            </w:r>
          </w:p>
          <w:p w14:paraId="16F699B1" w14:textId="77777777" w:rsidR="009232B6" w:rsidRPr="009232B6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0B61B837" w14:textId="77777777" w:rsidR="009232B6" w:rsidRPr="009232B6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69C98268" w14:textId="77777777" w:rsidR="009232B6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1F3804CE" w14:textId="3EE4C795" w:rsidR="009232B6" w:rsidRPr="009232B6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F4CAB" w:rsidRPr="00D123BC" w14:paraId="2E2A9EDF" w14:textId="431D0F14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34AB46A" w14:textId="77777777" w:rsidR="00415F5B" w:rsidRPr="00D123BC" w:rsidRDefault="00415F5B" w:rsidP="00AE753D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Untreated indication</w:t>
            </w:r>
          </w:p>
        </w:tc>
        <w:tc>
          <w:tcPr>
            <w:tcW w:w="3655" w:type="dxa"/>
          </w:tcPr>
          <w:p w14:paraId="43F834F4" w14:textId="3A481053" w:rsidR="00415F5B" w:rsidRPr="00B97B3B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</w:pPr>
            <w:r w:rsidRPr="00B97B3B">
              <w:rPr>
                <w:rFonts w:ascii="Times New Roman" w:hAnsi="Times New Roman" w:cs="Times New Roman"/>
                <w:color w:val="000000"/>
                <w:lang w:val="en-GB"/>
              </w:rPr>
              <w:t>77-year-old patient, known for ischemic heart disease, hypertension, and type 2 diabetes, hospitalized for septic shock of pulmonary origin. The patient is typically on clopidogrel, which has not been re-prescribed</w:t>
            </w:r>
          </w:p>
        </w:tc>
        <w:tc>
          <w:tcPr>
            <w:tcW w:w="0" w:type="auto"/>
          </w:tcPr>
          <w:p w14:paraId="24144471" w14:textId="2DA5BC79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Start clopidogrel</w:t>
            </w:r>
          </w:p>
        </w:tc>
        <w:tc>
          <w:tcPr>
            <w:tcW w:w="0" w:type="auto"/>
          </w:tcPr>
          <w:p w14:paraId="389267B0" w14:textId="03CB7615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 w:rsidRPr="00B97B3B">
              <w:rPr>
                <w:rFonts w:ascii="Times New Roman" w:hAnsi="Times New Roman" w:cs="Times New Roman"/>
                <w:color w:val="000000"/>
                <w:lang w:val="en-GB"/>
              </w:rPr>
              <w:t>Myocardial infarction</w:t>
            </w:r>
          </w:p>
        </w:tc>
        <w:tc>
          <w:tcPr>
            <w:tcW w:w="0" w:type="auto"/>
          </w:tcPr>
          <w:p w14:paraId="2151E0D5" w14:textId="4936A273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 w:rsidRPr="00B97B3B">
              <w:rPr>
                <w:rFonts w:ascii="Times New Roman" w:hAnsi="Times New Roman" w:cs="Times New Roman"/>
                <w:color w:val="000000"/>
                <w:lang w:val="en-GB"/>
              </w:rPr>
              <w:t>Myocardial infarction</w:t>
            </w:r>
            <w:r w:rsidRPr="00B97B3B"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5D2B22AB" w14:textId="2FD6F680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0" w:type="auto"/>
          </w:tcPr>
          <w:p w14:paraId="733EE737" w14:textId="7A9C5894" w:rsidR="00415F5B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12,604</w:t>
            </w:r>
          </w:p>
          <w:p w14:paraId="5C026372" w14:textId="77777777" w:rsidR="009232B6" w:rsidRPr="009232B6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4F9B6B1" w14:textId="77777777" w:rsidR="009232B6" w:rsidRPr="009232B6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1B3C7D37" w14:textId="77777777" w:rsidR="009232B6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CD84D9A" w14:textId="3AE26B55" w:rsidR="009232B6" w:rsidRPr="009232B6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F4CAB" w:rsidRPr="00D123BC" w14:paraId="1B213487" w14:textId="2125F6E5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341DA708" w14:textId="77777777" w:rsidR="00415F5B" w:rsidRPr="00D123BC" w:rsidRDefault="00415F5B" w:rsidP="007D5EEF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Untreated indication</w:t>
            </w:r>
          </w:p>
        </w:tc>
        <w:tc>
          <w:tcPr>
            <w:tcW w:w="3655" w:type="dxa"/>
          </w:tcPr>
          <w:p w14:paraId="11B4F4BB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  <w:p w14:paraId="709DA576" w14:textId="567F38C6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usually treated with clomipramine 75mg once daily at home who is missing at hospitalization</w:t>
            </w:r>
          </w:p>
        </w:tc>
        <w:tc>
          <w:tcPr>
            <w:tcW w:w="0" w:type="auto"/>
          </w:tcPr>
          <w:p w14:paraId="6AE18B9D" w14:textId="2482655D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Start 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clomipramine</w:t>
            </w:r>
          </w:p>
        </w:tc>
        <w:tc>
          <w:tcPr>
            <w:tcW w:w="0" w:type="auto"/>
          </w:tcPr>
          <w:p w14:paraId="7C9CBD62" w14:textId="1CE585BA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Increase in pain</w:t>
            </w:r>
          </w:p>
          <w:p w14:paraId="69B5E7AA" w14:textId="2BE4892D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</w:p>
        </w:tc>
        <w:tc>
          <w:tcPr>
            <w:tcW w:w="0" w:type="auto"/>
          </w:tcPr>
          <w:p w14:paraId="50A7983F" w14:textId="684B1581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Agitation</w:t>
            </w:r>
          </w:p>
        </w:tc>
        <w:tc>
          <w:tcPr>
            <w:tcW w:w="0" w:type="auto"/>
          </w:tcPr>
          <w:p w14:paraId="488899F5" w14:textId="351F09C0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487D82E3" w14:textId="3A1B0719" w:rsidR="00415F5B" w:rsidRPr="00D123BC" w:rsidRDefault="009232B6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10,264</w:t>
            </w:r>
          </w:p>
        </w:tc>
      </w:tr>
      <w:tr w:rsidR="00FF4CAB" w:rsidRPr="00D123BC" w14:paraId="0BDC0614" w14:textId="12131430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63E8D92F" w14:textId="77777777" w:rsidR="00415F5B" w:rsidRPr="00D123BC" w:rsidRDefault="00415F5B" w:rsidP="00A22C15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Untreated indication</w:t>
            </w:r>
          </w:p>
        </w:tc>
        <w:tc>
          <w:tcPr>
            <w:tcW w:w="3655" w:type="dxa"/>
          </w:tcPr>
          <w:p w14:paraId="03F1E4D5" w14:textId="32D828A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who has just suffered a ACS and beta-blocker (metoprolol) is missing.</w:t>
            </w:r>
          </w:p>
          <w:p w14:paraId="2BC3D892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71E4807D" w14:textId="23F9542D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Start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 xml:space="preserve"> metoprolol</w:t>
            </w:r>
          </w:p>
          <w:p w14:paraId="372C4FDD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662235B1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fr-CH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Lack of cardioprotective effect</w:t>
            </w:r>
          </w:p>
          <w:p w14:paraId="44841563" w14:textId="77777777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</w:tcPr>
          <w:p w14:paraId="1A354A36" w14:textId="502096C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Angina pectoris</w:t>
            </w:r>
          </w:p>
        </w:tc>
        <w:tc>
          <w:tcPr>
            <w:tcW w:w="0" w:type="auto"/>
          </w:tcPr>
          <w:p w14:paraId="096CCBE4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2DD6AE3D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1FE72DC8" w14:textId="77777777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0" w:type="auto"/>
          </w:tcPr>
          <w:p w14:paraId="00FA2120" w14:textId="4420C04B" w:rsidR="00415F5B" w:rsidRPr="00D123BC" w:rsidRDefault="009232B6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5,647</w:t>
            </w:r>
          </w:p>
        </w:tc>
      </w:tr>
      <w:tr w:rsidR="00FF4CAB" w:rsidRPr="00D123BC" w14:paraId="0FB102E4" w14:textId="16D57822" w:rsidTr="00FF4CAB">
        <w:trPr>
          <w:trHeight w:val="2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12E1E012" w14:textId="77777777" w:rsidR="00415F5B" w:rsidRPr="00D123BC" w:rsidRDefault="00415F5B" w:rsidP="00A22C15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Untreated indication</w:t>
            </w:r>
          </w:p>
        </w:tc>
        <w:tc>
          <w:tcPr>
            <w:tcW w:w="3655" w:type="dxa"/>
          </w:tcPr>
          <w:p w14:paraId="057AE4C3" w14:textId="0AE32A40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 xml:space="preserve">Patient on acenocoumarol at home because of the mechanical valve. </w:t>
            </w:r>
          </w:p>
          <w:p w14:paraId="2888C5B8" w14:textId="56DEFDAE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At the time of hospital admission, the INR was at 11 and acenocoumarol was stopped: currently INR 1.83 (5 days without acenocoumarol or other anticoagulation treatment.)</w:t>
            </w:r>
          </w:p>
          <w:p w14:paraId="5E133EB3" w14:textId="0FDBC931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Acenocoumarol needs to be reintroduced.</w:t>
            </w:r>
          </w:p>
          <w:p w14:paraId="3020DEE6" w14:textId="77777777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E5DCBDB" w14:textId="43476913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6F628F09" w14:textId="5F0A33B6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Start</w:t>
            </w:r>
            <w:r w:rsidRPr="00D123BC">
              <w:rPr>
                <w:rFonts w:ascii="Times New Roman" w:hAnsi="Times New Roman" w:cs="Times New Roman"/>
                <w:lang w:val="en-GB"/>
              </w:rPr>
              <w:t xml:space="preserve"> enoxaparin 1mg/kg/ bid plus acenocoumarol qd with INR monitoring.</w:t>
            </w:r>
          </w:p>
        </w:tc>
        <w:tc>
          <w:tcPr>
            <w:tcW w:w="0" w:type="auto"/>
          </w:tcPr>
          <w:p w14:paraId="33163D7D" w14:textId="2EF9CADE" w:rsidR="00415F5B" w:rsidRPr="00D123BC" w:rsidRDefault="00415F5B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123BC">
              <w:rPr>
                <w:rFonts w:ascii="Times New Roman" w:hAnsi="Times New Roman" w:cs="Times New Roman"/>
                <w:lang w:val="en-GB"/>
              </w:rPr>
              <w:t>Risk of cardiac embolism</w:t>
            </w:r>
          </w:p>
        </w:tc>
        <w:tc>
          <w:tcPr>
            <w:tcW w:w="0" w:type="auto"/>
          </w:tcPr>
          <w:p w14:paraId="7741A991" w14:textId="7C4575C4" w:rsidR="00415F5B" w:rsidRPr="00D123BC" w:rsidRDefault="009232B6" w:rsidP="00FF4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Ischemic stroke</w:t>
            </w:r>
          </w:p>
        </w:tc>
        <w:tc>
          <w:tcPr>
            <w:tcW w:w="0" w:type="auto"/>
          </w:tcPr>
          <w:p w14:paraId="2D13129E" w14:textId="77777777" w:rsidR="00415F5B" w:rsidRPr="00D123BC" w:rsidRDefault="00415F5B" w:rsidP="00413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0" w:type="auto"/>
          </w:tcPr>
          <w:p w14:paraId="166E69FA" w14:textId="6E8ACE43" w:rsidR="00415F5B" w:rsidRPr="00D123BC" w:rsidRDefault="003E6F4E" w:rsidP="00FF4C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10,886</w:t>
            </w:r>
          </w:p>
        </w:tc>
      </w:tr>
      <w:tr w:rsidR="00FF4CAB" w:rsidRPr="00D123BC" w14:paraId="5450AD10" w14:textId="24E44E96" w:rsidTr="00FF4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extDirection w:val="btLr"/>
          </w:tcPr>
          <w:p w14:paraId="14C8947C" w14:textId="08E94335" w:rsidR="00415F5B" w:rsidRPr="00D123BC" w:rsidRDefault="00415F5B" w:rsidP="00AE753D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Untreated indication</w:t>
            </w:r>
          </w:p>
        </w:tc>
        <w:tc>
          <w:tcPr>
            <w:tcW w:w="3655" w:type="dxa"/>
          </w:tcPr>
          <w:p w14:paraId="6DF5209A" w14:textId="289EC43F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Patient with hyperuricemia who was taking allopurinol 300mg once daily at home, not prescribed during hospitalization. Reintroduce allopurinol at a dose adjusted for renal function.</w:t>
            </w:r>
          </w:p>
        </w:tc>
        <w:tc>
          <w:tcPr>
            <w:tcW w:w="0" w:type="auto"/>
          </w:tcPr>
          <w:p w14:paraId="6FF09FB1" w14:textId="08D5BBA5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Start </w:t>
            </w: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allopurinol</w:t>
            </w:r>
          </w:p>
        </w:tc>
        <w:tc>
          <w:tcPr>
            <w:tcW w:w="0" w:type="auto"/>
          </w:tcPr>
          <w:p w14:paraId="7D2B2AEE" w14:textId="65CC1353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Hyperuricemia</w:t>
            </w:r>
          </w:p>
        </w:tc>
        <w:tc>
          <w:tcPr>
            <w:tcW w:w="0" w:type="auto"/>
          </w:tcPr>
          <w:p w14:paraId="7C1AE05F" w14:textId="01916F58" w:rsidR="00415F5B" w:rsidRPr="00D123BC" w:rsidRDefault="00415F5B" w:rsidP="00FF4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Gout flare</w:t>
            </w:r>
          </w:p>
        </w:tc>
        <w:tc>
          <w:tcPr>
            <w:tcW w:w="0" w:type="auto"/>
          </w:tcPr>
          <w:p w14:paraId="2E1E9CB7" w14:textId="613D687C" w:rsidR="00415F5B" w:rsidRPr="00D123BC" w:rsidRDefault="00415F5B" w:rsidP="00413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23BC">
              <w:rPr>
                <w:rFonts w:ascii="Times New Roman" w:hAnsi="Times New Roman" w:cs="Times New Roman"/>
                <w:color w:val="000000"/>
                <w:lang w:val="en-GB"/>
              </w:rPr>
              <w:t>0.1</w:t>
            </w:r>
          </w:p>
        </w:tc>
        <w:tc>
          <w:tcPr>
            <w:tcW w:w="0" w:type="auto"/>
          </w:tcPr>
          <w:p w14:paraId="65A79982" w14:textId="680D2593" w:rsidR="00415F5B" w:rsidRPr="00D123BC" w:rsidRDefault="00FF4CAB" w:rsidP="00FF4C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72631">
              <w:rPr>
                <w:rFonts w:ascii="Times New Roman" w:hAnsi="Times New Roman" w:cs="Times New Roman"/>
                <w:color w:val="000000"/>
                <w:lang w:val="en-US"/>
              </w:rPr>
              <w:t>7,143</w:t>
            </w:r>
          </w:p>
        </w:tc>
      </w:tr>
    </w:tbl>
    <w:p w14:paraId="2FD0DFE5" w14:textId="3CC951CB" w:rsidR="003213FA" w:rsidRPr="00D123BC" w:rsidRDefault="000A5E94" w:rsidP="009F487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(ACS)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cute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oronary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yndrome, (AUC)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rea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U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nder the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urve, 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>(bid) twice a day,</w:t>
      </w:r>
      <w:r w:rsidR="009F4878" w:rsidRPr="009F4878">
        <w:rPr>
          <w:lang w:val="en-US"/>
        </w:rPr>
        <w:t xml:space="preserve"> </w:t>
      </w:r>
      <w:r w:rsidR="009F4878">
        <w:rPr>
          <w:lang w:val="en-US"/>
        </w:rPr>
        <w:t>(</w:t>
      </w:r>
      <w:r w:rsidR="009F4878" w:rsidRPr="009F4878">
        <w:rPr>
          <w:rFonts w:ascii="Times New Roman" w:hAnsi="Times New Roman" w:cs="Times New Roman"/>
          <w:sz w:val="20"/>
          <w:szCs w:val="20"/>
          <w:lang w:val="en-GB"/>
        </w:rPr>
        <w:t>Clcr</w:t>
      </w:r>
      <w:r w:rsidR="009F4878">
        <w:rPr>
          <w:rFonts w:ascii="Times New Roman" w:hAnsi="Times New Roman" w:cs="Times New Roman"/>
          <w:sz w:val="20"/>
          <w:szCs w:val="20"/>
          <w:lang w:val="en-GB"/>
        </w:rPr>
        <w:t xml:space="preserve">) Creatinine Clairance, 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(COPD)Chronic Obstructive Pulmonary Disease, 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(CSI) Corticosteroid Inhaler, 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(CT)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raniocerebral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rauma, 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(DOAC)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irect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O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ral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nticoagulation,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D123BC" w:rsidRPr="00D123BC">
        <w:rPr>
          <w:rFonts w:ascii="Times New Roman" w:hAnsi="Times New Roman" w:cs="Times New Roman"/>
          <w:sz w:val="20"/>
          <w:szCs w:val="20"/>
          <w:lang w:val="en-GB"/>
        </w:rPr>
        <w:t>eGFR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D123BC" w:rsidRPr="00D123BC">
        <w:rPr>
          <w:lang w:val="en-US"/>
        </w:rPr>
        <w:t xml:space="preserve">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e</w:t>
      </w:r>
      <w:r w:rsidR="00D123BC" w:rsidRPr="00D123BC">
        <w:rPr>
          <w:rFonts w:ascii="Times New Roman" w:hAnsi="Times New Roman" w:cs="Times New Roman"/>
          <w:sz w:val="20"/>
          <w:szCs w:val="20"/>
          <w:lang w:val="en-GB"/>
        </w:rPr>
        <w:t>stimated Glomerular Filtration Rate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>(FEV) Forced Expiratory Volume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(GVHD) Graft-Versus-Host Disease 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(HFrEF) Heart Failure with Reduced Ejection Fraction, INR (International Normalized Ratio),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(LABA) Long-Acting Beta-Agonist, (LAMA) Long-Acting Muscarinic Antagonist, </w:t>
      </w:r>
      <w:r w:rsidR="0047206D" w:rsidRPr="00D123BC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>OAC</w:t>
      </w:r>
      <w:r w:rsidR="0047206D" w:rsidRPr="00D123BC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O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ral </w:t>
      </w:r>
      <w:r w:rsidR="00D123BC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D61A3E" w:rsidRPr="00D123BC">
        <w:rPr>
          <w:rFonts w:ascii="Times New Roman" w:hAnsi="Times New Roman" w:cs="Times New Roman"/>
          <w:sz w:val="20"/>
          <w:szCs w:val="20"/>
          <w:lang w:val="en-GB"/>
        </w:rPr>
        <w:t>nticoagulation</w:t>
      </w:r>
      <w:r w:rsidR="00C13B83" w:rsidRPr="00D123B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(PK) pharmacokinetic, (PD) pharmacodynamic</w:t>
      </w:r>
      <w:r w:rsidR="008162EA" w:rsidRPr="00D123B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(qd) once a day, 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>tid</w:t>
      </w:r>
      <w:r w:rsidR="00612E0D"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D123BC">
        <w:rPr>
          <w:rFonts w:ascii="Times New Roman" w:hAnsi="Times New Roman" w:cs="Times New Roman"/>
          <w:sz w:val="20"/>
          <w:szCs w:val="20"/>
          <w:lang w:val="en-GB"/>
        </w:rPr>
        <w:t xml:space="preserve">three times a day, </w:t>
      </w:r>
    </w:p>
    <w:sectPr w:rsidR="003213FA" w:rsidRPr="00D123BC" w:rsidSect="00E04C8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E1934" w14:textId="77777777" w:rsidR="003213FA" w:rsidRDefault="003213FA" w:rsidP="003213FA">
      <w:r>
        <w:separator/>
      </w:r>
    </w:p>
  </w:endnote>
  <w:endnote w:type="continuationSeparator" w:id="0">
    <w:p w14:paraId="07E2A5B7" w14:textId="77777777" w:rsidR="003213FA" w:rsidRDefault="003213FA" w:rsidP="0032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355274"/>
      <w:docPartObj>
        <w:docPartGallery w:val="Page Numbers (Bottom of Page)"/>
        <w:docPartUnique/>
      </w:docPartObj>
    </w:sdtPr>
    <w:sdtEndPr/>
    <w:sdtContent>
      <w:p w14:paraId="2D7F1B1D" w14:textId="2BCF3D53" w:rsidR="009F4878" w:rsidRDefault="009F48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B47E63" w14:textId="77777777" w:rsidR="009F4878" w:rsidRDefault="009F48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3743" w14:textId="77777777" w:rsidR="003213FA" w:rsidRDefault="003213FA" w:rsidP="003213FA">
      <w:r>
        <w:separator/>
      </w:r>
    </w:p>
  </w:footnote>
  <w:footnote w:type="continuationSeparator" w:id="0">
    <w:p w14:paraId="4B6518A9" w14:textId="77777777" w:rsidR="003213FA" w:rsidRDefault="003213FA" w:rsidP="0032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24B"/>
    <w:multiLevelType w:val="multilevel"/>
    <w:tmpl w:val="455C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26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C2"/>
    <w:rsid w:val="00061481"/>
    <w:rsid w:val="000A5E94"/>
    <w:rsid w:val="00167F58"/>
    <w:rsid w:val="00174C81"/>
    <w:rsid w:val="00220E84"/>
    <w:rsid w:val="002C2696"/>
    <w:rsid w:val="003213FA"/>
    <w:rsid w:val="00394016"/>
    <w:rsid w:val="003D58BF"/>
    <w:rsid w:val="003E498C"/>
    <w:rsid w:val="003E6F4E"/>
    <w:rsid w:val="003F42C2"/>
    <w:rsid w:val="00413313"/>
    <w:rsid w:val="00415F5B"/>
    <w:rsid w:val="00457341"/>
    <w:rsid w:val="0047206D"/>
    <w:rsid w:val="004F34ED"/>
    <w:rsid w:val="00594300"/>
    <w:rsid w:val="00612E0D"/>
    <w:rsid w:val="006C4B17"/>
    <w:rsid w:val="006D2DB3"/>
    <w:rsid w:val="0073171A"/>
    <w:rsid w:val="00761AC4"/>
    <w:rsid w:val="00763BEE"/>
    <w:rsid w:val="0078518F"/>
    <w:rsid w:val="007D5EEF"/>
    <w:rsid w:val="008162EA"/>
    <w:rsid w:val="008B247B"/>
    <w:rsid w:val="008D2021"/>
    <w:rsid w:val="009232B6"/>
    <w:rsid w:val="009376CA"/>
    <w:rsid w:val="00940F16"/>
    <w:rsid w:val="009F4878"/>
    <w:rsid w:val="00A22C15"/>
    <w:rsid w:val="00A50E38"/>
    <w:rsid w:val="00A97102"/>
    <w:rsid w:val="00AB6E90"/>
    <w:rsid w:val="00AC5FAF"/>
    <w:rsid w:val="00AE753D"/>
    <w:rsid w:val="00B023CE"/>
    <w:rsid w:val="00B97B3B"/>
    <w:rsid w:val="00C13B83"/>
    <w:rsid w:val="00C451FB"/>
    <w:rsid w:val="00C46E31"/>
    <w:rsid w:val="00CC53DA"/>
    <w:rsid w:val="00D123BC"/>
    <w:rsid w:val="00D61A3E"/>
    <w:rsid w:val="00DA62BC"/>
    <w:rsid w:val="00E04C83"/>
    <w:rsid w:val="00E62305"/>
    <w:rsid w:val="00F23FB1"/>
    <w:rsid w:val="00F2769A"/>
    <w:rsid w:val="00F3348C"/>
    <w:rsid w:val="00F954B9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E562C1"/>
  <w15:chartTrackingRefBased/>
  <w15:docId w15:val="{B083324F-8A6F-4ED6-B2CB-F755D218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2C2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4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213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13FA"/>
    <w:rPr>
      <w:rFonts w:eastAsiaTheme="minorEastAsia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213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13FA"/>
    <w:rPr>
      <w:rFonts w:eastAsiaTheme="minorEastAsia"/>
      <w:sz w:val="24"/>
      <w:szCs w:val="24"/>
      <w:lang w:val="fr-FR"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3213FA"/>
    <w:pPr>
      <w:spacing w:after="200"/>
    </w:pPr>
    <w:rPr>
      <w:i/>
      <w:iCs/>
      <w:color w:val="44546A" w:themeColor="text2"/>
      <w:sz w:val="18"/>
      <w:szCs w:val="18"/>
    </w:rPr>
  </w:style>
  <w:style w:type="table" w:styleId="Tableausimple2">
    <w:name w:val="Plain Table 2"/>
    <w:basedOn w:val="TableauNormal"/>
    <w:uiPriority w:val="42"/>
    <w:rsid w:val="00FF4C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1341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HOPITAUX UNIVERSITAIRES GENEVE</Company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JERMINI Mégane</dc:creator>
  <cp:keywords/>
  <dc:description/>
  <cp:lastModifiedBy>JERMINI Mégane</cp:lastModifiedBy>
  <cp:revision>3</cp:revision>
  <dcterms:created xsi:type="dcterms:W3CDTF">2023-09-22T09:30:00Z</dcterms:created>
  <dcterms:modified xsi:type="dcterms:W3CDTF">2023-09-22T09:34:00Z</dcterms:modified>
</cp:coreProperties>
</file>