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6043F" w14:textId="1CEE44BC" w:rsidR="007F2A5A" w:rsidRPr="00A604E3" w:rsidRDefault="007F2A5A" w:rsidP="007F2A5A">
      <w:pPr>
        <w:rPr>
          <w:rFonts w:ascii="Arial" w:eastAsia="Aptos" w:hAnsi="Arial" w:cs="Arial"/>
          <w:b/>
          <w:bCs/>
          <w:sz w:val="28"/>
          <w:szCs w:val="28"/>
        </w:rPr>
      </w:pPr>
      <w:r w:rsidRPr="00A604E3">
        <w:rPr>
          <w:rFonts w:ascii="Arial" w:eastAsia="Aptos" w:hAnsi="Arial" w:cs="Arial"/>
          <w:b/>
          <w:bCs/>
          <w:sz w:val="28"/>
          <w:szCs w:val="28"/>
        </w:rPr>
        <w:t>Supplementary Material 4 – Coding Tree</w:t>
      </w:r>
    </w:p>
    <w:tbl>
      <w:tblPr>
        <w:tblStyle w:val="PlainTable11"/>
        <w:tblW w:w="9782" w:type="dxa"/>
        <w:tblInd w:w="-289" w:type="dxa"/>
        <w:tblLook w:val="04A0" w:firstRow="1" w:lastRow="0" w:firstColumn="1" w:lastColumn="0" w:noHBand="0" w:noVBand="1"/>
      </w:tblPr>
      <w:tblGrid>
        <w:gridCol w:w="2777"/>
        <w:gridCol w:w="4192"/>
        <w:gridCol w:w="2813"/>
      </w:tblGrid>
      <w:tr w:rsidR="007F2A5A" w:rsidRPr="00A604E3" w14:paraId="3B34AE7D" w14:textId="77777777" w:rsidTr="007F2A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hideMark/>
          </w:tcPr>
          <w:p w14:paraId="3E3DAA7F" w14:textId="77777777" w:rsidR="007F2A5A" w:rsidRPr="00A604E3" w:rsidRDefault="007F2A5A" w:rsidP="007F2A5A">
            <w:pPr>
              <w:rPr>
                <w:rFonts w:ascii="Arial" w:eastAsia="Aptos" w:hAnsi="Arial" w:cs="Arial"/>
              </w:rPr>
            </w:pPr>
            <w:r w:rsidRPr="00A604E3">
              <w:rPr>
                <w:rFonts w:ascii="Arial" w:eastAsia="Aptos" w:hAnsi="Arial" w:cs="Arial"/>
              </w:rPr>
              <w:t>Theme</w:t>
            </w:r>
          </w:p>
        </w:tc>
        <w:tc>
          <w:tcPr>
            <w:tcW w:w="0" w:type="auto"/>
            <w:hideMark/>
          </w:tcPr>
          <w:p w14:paraId="5EC29A29" w14:textId="77777777" w:rsidR="007F2A5A" w:rsidRPr="00A604E3" w:rsidRDefault="007F2A5A" w:rsidP="007F2A5A">
            <w:pPr>
              <w:cnfStyle w:val="100000000000" w:firstRow="1" w:lastRow="0" w:firstColumn="0" w:lastColumn="0" w:oddVBand="0" w:evenVBand="0" w:oddHBand="0" w:evenHBand="0" w:firstRowFirstColumn="0" w:firstRowLastColumn="0" w:lastRowFirstColumn="0" w:lastRowLastColumn="0"/>
              <w:rPr>
                <w:rFonts w:ascii="Arial" w:eastAsia="Aptos" w:hAnsi="Arial" w:cs="Arial"/>
              </w:rPr>
            </w:pPr>
            <w:r w:rsidRPr="00A604E3">
              <w:rPr>
                <w:rFonts w:ascii="Arial" w:eastAsia="Aptos" w:hAnsi="Arial" w:cs="Arial"/>
              </w:rPr>
              <w:t>Subthemes / Codes</w:t>
            </w:r>
          </w:p>
        </w:tc>
        <w:tc>
          <w:tcPr>
            <w:tcW w:w="2813" w:type="dxa"/>
            <w:hideMark/>
          </w:tcPr>
          <w:p w14:paraId="6AA0F06E" w14:textId="77777777" w:rsidR="007F2A5A" w:rsidRPr="00A604E3" w:rsidRDefault="007F2A5A" w:rsidP="007F2A5A">
            <w:pPr>
              <w:cnfStyle w:val="100000000000" w:firstRow="1" w:lastRow="0" w:firstColumn="0" w:lastColumn="0" w:oddVBand="0" w:evenVBand="0" w:oddHBand="0" w:evenHBand="0" w:firstRowFirstColumn="0" w:firstRowLastColumn="0" w:lastRowFirstColumn="0" w:lastRowLastColumn="0"/>
              <w:rPr>
                <w:rFonts w:ascii="Arial" w:eastAsia="Aptos" w:hAnsi="Arial" w:cs="Arial"/>
              </w:rPr>
            </w:pPr>
            <w:r w:rsidRPr="00A604E3">
              <w:rPr>
                <w:rFonts w:ascii="Arial" w:eastAsia="Aptos" w:hAnsi="Arial" w:cs="Arial"/>
              </w:rPr>
              <w:t>Illustrative TDF Domains</w:t>
            </w:r>
          </w:p>
        </w:tc>
      </w:tr>
      <w:tr w:rsidR="007F2A5A" w:rsidRPr="00A604E3" w14:paraId="7F53D76C" w14:textId="77777777" w:rsidTr="007F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hideMark/>
          </w:tcPr>
          <w:p w14:paraId="6F16B4EB"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Understanding and Knowledge (UK)</w:t>
            </w:r>
          </w:p>
        </w:tc>
        <w:tc>
          <w:tcPr>
            <w:tcW w:w="0" w:type="auto"/>
            <w:hideMark/>
          </w:tcPr>
          <w:p w14:paraId="55278E76"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Knowledge of AF guidelines (KAFG), Strategies for staying updated (SSU)</w:t>
            </w:r>
          </w:p>
        </w:tc>
        <w:tc>
          <w:tcPr>
            <w:tcW w:w="2813" w:type="dxa"/>
            <w:hideMark/>
          </w:tcPr>
          <w:p w14:paraId="69911EB4"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Knowledge, Skills</w:t>
            </w:r>
          </w:p>
        </w:tc>
      </w:tr>
      <w:tr w:rsidR="007F2A5A" w:rsidRPr="00A604E3" w14:paraId="6D8EB876" w14:textId="77777777" w:rsidTr="007F2A5A">
        <w:tc>
          <w:tcPr>
            <w:cnfStyle w:val="001000000000" w:firstRow="0" w:lastRow="0" w:firstColumn="1" w:lastColumn="0" w:oddVBand="0" w:evenVBand="0" w:oddHBand="0" w:evenHBand="0" w:firstRowFirstColumn="0" w:firstRowLastColumn="0" w:lastRowFirstColumn="0" w:lastRowLastColumn="0"/>
            <w:tcW w:w="2777" w:type="dxa"/>
            <w:hideMark/>
          </w:tcPr>
          <w:p w14:paraId="4E7C49FD"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Prescribing Confidence and Experience (PCE)</w:t>
            </w:r>
          </w:p>
        </w:tc>
        <w:tc>
          <w:tcPr>
            <w:tcW w:w="0" w:type="auto"/>
            <w:hideMark/>
          </w:tcPr>
          <w:p w14:paraId="112F3D37"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Confidence in prescribing (CP), Experience with AF patients (EAF), Challenges in prescribing (CHP)</w:t>
            </w:r>
          </w:p>
        </w:tc>
        <w:tc>
          <w:tcPr>
            <w:tcW w:w="2813" w:type="dxa"/>
            <w:hideMark/>
          </w:tcPr>
          <w:p w14:paraId="5C4C1356"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Beliefs about capabilities, Skills</w:t>
            </w:r>
          </w:p>
        </w:tc>
      </w:tr>
      <w:tr w:rsidR="007F2A5A" w:rsidRPr="00A604E3" w14:paraId="625E5EFD" w14:textId="77777777" w:rsidTr="007F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hideMark/>
          </w:tcPr>
          <w:p w14:paraId="17476820"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Perceived Role and Responsibilities (PRR)</w:t>
            </w:r>
          </w:p>
        </w:tc>
        <w:tc>
          <w:tcPr>
            <w:tcW w:w="0" w:type="auto"/>
            <w:hideMark/>
          </w:tcPr>
          <w:p w14:paraId="297264C6"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Role perception (RP)</w:t>
            </w:r>
          </w:p>
        </w:tc>
        <w:tc>
          <w:tcPr>
            <w:tcW w:w="2813" w:type="dxa"/>
            <w:hideMark/>
          </w:tcPr>
          <w:p w14:paraId="2490CEE8"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Professional role &amp; identity</w:t>
            </w:r>
          </w:p>
        </w:tc>
      </w:tr>
      <w:tr w:rsidR="007F2A5A" w:rsidRPr="00A604E3" w14:paraId="1E5C56F4" w14:textId="77777777" w:rsidTr="007F2A5A">
        <w:tc>
          <w:tcPr>
            <w:cnfStyle w:val="001000000000" w:firstRow="0" w:lastRow="0" w:firstColumn="1" w:lastColumn="0" w:oddVBand="0" w:evenVBand="0" w:oddHBand="0" w:evenHBand="0" w:firstRowFirstColumn="0" w:firstRowLastColumn="0" w:lastRowFirstColumn="0" w:lastRowLastColumn="0"/>
            <w:tcW w:w="2777" w:type="dxa"/>
            <w:hideMark/>
          </w:tcPr>
          <w:p w14:paraId="596EFF67"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Emotional and Social Influences (ESI)</w:t>
            </w:r>
          </w:p>
        </w:tc>
        <w:tc>
          <w:tcPr>
            <w:tcW w:w="0" w:type="auto"/>
            <w:hideMark/>
          </w:tcPr>
          <w:p w14:paraId="1248F70D"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Emotional response (ER), Social influences (SI)</w:t>
            </w:r>
          </w:p>
        </w:tc>
        <w:tc>
          <w:tcPr>
            <w:tcW w:w="2813" w:type="dxa"/>
            <w:hideMark/>
          </w:tcPr>
          <w:p w14:paraId="143A5F07"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Emotion, Social influences</w:t>
            </w:r>
          </w:p>
        </w:tc>
      </w:tr>
      <w:tr w:rsidR="007F2A5A" w:rsidRPr="00A604E3" w14:paraId="46DDD115" w14:textId="77777777" w:rsidTr="007F2A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7" w:type="dxa"/>
            <w:hideMark/>
          </w:tcPr>
          <w:p w14:paraId="57808616"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External Factors and Resources (EFR)</w:t>
            </w:r>
          </w:p>
        </w:tc>
        <w:tc>
          <w:tcPr>
            <w:tcW w:w="0" w:type="auto"/>
            <w:hideMark/>
          </w:tcPr>
          <w:p w14:paraId="78A4E3B6"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Environmental factors (EF), Incentives/resources (IR)</w:t>
            </w:r>
          </w:p>
        </w:tc>
        <w:tc>
          <w:tcPr>
            <w:tcW w:w="2813" w:type="dxa"/>
            <w:hideMark/>
          </w:tcPr>
          <w:p w14:paraId="68C0C8A2" w14:textId="77777777" w:rsidR="007F2A5A" w:rsidRPr="00A604E3" w:rsidRDefault="007F2A5A" w:rsidP="007F2A5A">
            <w:pPr>
              <w:cnfStyle w:val="000000100000" w:firstRow="0" w:lastRow="0" w:firstColumn="0" w:lastColumn="0" w:oddVBand="0" w:evenVBand="0" w:oddHBand="1"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Environmental context &amp; resources</w:t>
            </w:r>
          </w:p>
        </w:tc>
      </w:tr>
      <w:tr w:rsidR="007F2A5A" w:rsidRPr="00A604E3" w14:paraId="24229788" w14:textId="77777777" w:rsidTr="007F2A5A">
        <w:tc>
          <w:tcPr>
            <w:cnfStyle w:val="001000000000" w:firstRow="0" w:lastRow="0" w:firstColumn="1" w:lastColumn="0" w:oddVBand="0" w:evenVBand="0" w:oddHBand="0" w:evenHBand="0" w:firstRowFirstColumn="0" w:firstRowLastColumn="0" w:lastRowFirstColumn="0" w:lastRowLastColumn="0"/>
            <w:tcW w:w="2777" w:type="dxa"/>
            <w:hideMark/>
          </w:tcPr>
          <w:p w14:paraId="46AAF17D" w14:textId="77777777" w:rsidR="007F2A5A" w:rsidRPr="00A604E3" w:rsidRDefault="007F2A5A" w:rsidP="007F2A5A">
            <w:pPr>
              <w:rPr>
                <w:rFonts w:ascii="Arial" w:eastAsia="Aptos" w:hAnsi="Arial" w:cs="Arial"/>
                <w:b w:val="0"/>
                <w:bCs w:val="0"/>
                <w:sz w:val="20"/>
                <w:szCs w:val="20"/>
              </w:rPr>
            </w:pPr>
            <w:r w:rsidRPr="00A604E3">
              <w:rPr>
                <w:rFonts w:ascii="Arial" w:eastAsia="Aptos" w:hAnsi="Arial" w:cs="Arial"/>
                <w:b w:val="0"/>
                <w:bCs w:val="0"/>
                <w:sz w:val="20"/>
                <w:szCs w:val="20"/>
              </w:rPr>
              <w:t>Strategies and Processes (SP)</w:t>
            </w:r>
          </w:p>
        </w:tc>
        <w:tc>
          <w:tcPr>
            <w:tcW w:w="0" w:type="auto"/>
            <w:hideMark/>
          </w:tcPr>
          <w:p w14:paraId="26FF209A"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Strategies for prescribing (SPP)</w:t>
            </w:r>
          </w:p>
        </w:tc>
        <w:tc>
          <w:tcPr>
            <w:tcW w:w="2813" w:type="dxa"/>
            <w:hideMark/>
          </w:tcPr>
          <w:p w14:paraId="249285C5" w14:textId="77777777" w:rsidR="007F2A5A" w:rsidRPr="00A604E3" w:rsidRDefault="007F2A5A" w:rsidP="007F2A5A">
            <w:pPr>
              <w:cnfStyle w:val="000000000000" w:firstRow="0" w:lastRow="0" w:firstColumn="0" w:lastColumn="0" w:oddVBand="0" w:evenVBand="0" w:oddHBand="0" w:evenHBand="0" w:firstRowFirstColumn="0" w:firstRowLastColumn="0" w:lastRowFirstColumn="0" w:lastRowLastColumn="0"/>
              <w:rPr>
                <w:rFonts w:ascii="Arial" w:eastAsia="Aptos" w:hAnsi="Arial" w:cs="Arial"/>
                <w:sz w:val="20"/>
                <w:szCs w:val="20"/>
              </w:rPr>
            </w:pPr>
            <w:r w:rsidRPr="00A604E3">
              <w:rPr>
                <w:rFonts w:ascii="Arial" w:eastAsia="Aptos" w:hAnsi="Arial" w:cs="Arial"/>
                <w:sz w:val="20"/>
                <w:szCs w:val="20"/>
              </w:rPr>
              <w:t>Behavioural regulation, Decision processes</w:t>
            </w:r>
          </w:p>
        </w:tc>
      </w:tr>
    </w:tbl>
    <w:p w14:paraId="5E1C0263" w14:textId="77777777" w:rsidR="007F2A5A" w:rsidRPr="007F2A5A" w:rsidRDefault="007F2A5A" w:rsidP="007F2A5A">
      <w:pPr>
        <w:rPr>
          <w:rFonts w:ascii="Aptos" w:eastAsia="Aptos" w:hAnsi="Aptos" w:cs="Times New Roman"/>
        </w:rPr>
      </w:pPr>
    </w:p>
    <w:p w14:paraId="739482D4" w14:textId="77777777" w:rsidR="007F2A5A" w:rsidRPr="00A604E3" w:rsidRDefault="007F2A5A" w:rsidP="007F2A5A">
      <w:pPr>
        <w:jc w:val="both"/>
        <w:rPr>
          <w:rFonts w:ascii="Arial" w:eastAsia="Aptos" w:hAnsi="Arial" w:cs="Arial"/>
        </w:rPr>
      </w:pPr>
      <w:r w:rsidRPr="00A604E3">
        <w:rPr>
          <w:rFonts w:ascii="Arial" w:eastAsia="Aptos" w:hAnsi="Arial" w:cs="Arial"/>
        </w:rPr>
        <w:t>The coding tree was developed iteratively. Initial codes were mapped to six overarching themes, which were then aligned with relevant domains of the Theoretical Domains Framework (TDF). Illustrative participant quotes for each theme are provided in the Results section of the manuscript.</w:t>
      </w:r>
    </w:p>
    <w:p w14:paraId="0C8AF20D" w14:textId="77777777" w:rsidR="00B45EBA" w:rsidRDefault="00B45EBA"/>
    <w:sectPr w:rsidR="00B45EB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8D28" w14:textId="77777777" w:rsidR="00313921" w:rsidRDefault="00313921" w:rsidP="007F2A5A">
      <w:pPr>
        <w:spacing w:after="0" w:line="240" w:lineRule="auto"/>
      </w:pPr>
      <w:r>
        <w:separator/>
      </w:r>
    </w:p>
  </w:endnote>
  <w:endnote w:type="continuationSeparator" w:id="0">
    <w:p w14:paraId="4A3ED5AE" w14:textId="77777777" w:rsidR="00313921" w:rsidRDefault="00313921" w:rsidP="007F2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699984"/>
      <w:docPartObj>
        <w:docPartGallery w:val="Page Numbers (Bottom of Page)"/>
        <w:docPartUnique/>
      </w:docPartObj>
    </w:sdtPr>
    <w:sdtEndPr>
      <w:rPr>
        <w:noProof/>
      </w:rPr>
    </w:sdtEndPr>
    <w:sdtContent>
      <w:p w14:paraId="1B73EABB" w14:textId="3C5EDA1A" w:rsidR="007F2A5A" w:rsidRDefault="007F2A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AE94EF" w14:textId="77777777" w:rsidR="007F2A5A" w:rsidRDefault="007F2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C8D37" w14:textId="77777777" w:rsidR="00313921" w:rsidRDefault="00313921" w:rsidP="007F2A5A">
      <w:pPr>
        <w:spacing w:after="0" w:line="240" w:lineRule="auto"/>
      </w:pPr>
      <w:r>
        <w:separator/>
      </w:r>
    </w:p>
  </w:footnote>
  <w:footnote w:type="continuationSeparator" w:id="0">
    <w:p w14:paraId="193D6890" w14:textId="77777777" w:rsidR="00313921" w:rsidRDefault="00313921" w:rsidP="007F2A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A5A"/>
    <w:rsid w:val="000932E1"/>
    <w:rsid w:val="000B4D63"/>
    <w:rsid w:val="0010631B"/>
    <w:rsid w:val="00313921"/>
    <w:rsid w:val="007F2A5A"/>
    <w:rsid w:val="00A604E3"/>
    <w:rsid w:val="00B45EBA"/>
    <w:rsid w:val="00FB4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17AD"/>
  <w15:chartTrackingRefBased/>
  <w15:docId w15:val="{840B8513-B07C-4488-BE2B-6AE1ECB20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A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F2A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F2A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F2A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F2A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F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A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2A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2A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2A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2A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A5A"/>
    <w:rPr>
      <w:rFonts w:eastAsiaTheme="majorEastAsia" w:cstheme="majorBidi"/>
      <w:color w:val="272727" w:themeColor="text1" w:themeTint="D8"/>
    </w:rPr>
  </w:style>
  <w:style w:type="paragraph" w:styleId="Title">
    <w:name w:val="Title"/>
    <w:basedOn w:val="Normal"/>
    <w:next w:val="Normal"/>
    <w:link w:val="TitleChar"/>
    <w:uiPriority w:val="10"/>
    <w:qFormat/>
    <w:rsid w:val="007F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A5A"/>
    <w:pPr>
      <w:spacing w:before="160"/>
      <w:jc w:val="center"/>
    </w:pPr>
    <w:rPr>
      <w:i/>
      <w:iCs/>
      <w:color w:val="404040" w:themeColor="text1" w:themeTint="BF"/>
    </w:rPr>
  </w:style>
  <w:style w:type="character" w:customStyle="1" w:styleId="QuoteChar">
    <w:name w:val="Quote Char"/>
    <w:basedOn w:val="DefaultParagraphFont"/>
    <w:link w:val="Quote"/>
    <w:uiPriority w:val="29"/>
    <w:rsid w:val="007F2A5A"/>
    <w:rPr>
      <w:i/>
      <w:iCs/>
      <w:color w:val="404040" w:themeColor="text1" w:themeTint="BF"/>
    </w:rPr>
  </w:style>
  <w:style w:type="paragraph" w:styleId="ListParagraph">
    <w:name w:val="List Paragraph"/>
    <w:basedOn w:val="Normal"/>
    <w:uiPriority w:val="34"/>
    <w:qFormat/>
    <w:rsid w:val="007F2A5A"/>
    <w:pPr>
      <w:ind w:left="720"/>
      <w:contextualSpacing/>
    </w:pPr>
  </w:style>
  <w:style w:type="character" w:styleId="IntenseEmphasis">
    <w:name w:val="Intense Emphasis"/>
    <w:basedOn w:val="DefaultParagraphFont"/>
    <w:uiPriority w:val="21"/>
    <w:qFormat/>
    <w:rsid w:val="007F2A5A"/>
    <w:rPr>
      <w:i/>
      <w:iCs/>
      <w:color w:val="2F5496" w:themeColor="accent1" w:themeShade="BF"/>
    </w:rPr>
  </w:style>
  <w:style w:type="paragraph" w:styleId="IntenseQuote">
    <w:name w:val="Intense Quote"/>
    <w:basedOn w:val="Normal"/>
    <w:next w:val="Normal"/>
    <w:link w:val="IntenseQuoteChar"/>
    <w:uiPriority w:val="30"/>
    <w:qFormat/>
    <w:rsid w:val="007F2A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F2A5A"/>
    <w:rPr>
      <w:i/>
      <w:iCs/>
      <w:color w:val="2F5496" w:themeColor="accent1" w:themeShade="BF"/>
    </w:rPr>
  </w:style>
  <w:style w:type="character" w:styleId="IntenseReference">
    <w:name w:val="Intense Reference"/>
    <w:basedOn w:val="DefaultParagraphFont"/>
    <w:uiPriority w:val="32"/>
    <w:qFormat/>
    <w:rsid w:val="007F2A5A"/>
    <w:rPr>
      <w:b/>
      <w:bCs/>
      <w:smallCaps/>
      <w:color w:val="2F5496" w:themeColor="accent1" w:themeShade="BF"/>
      <w:spacing w:val="5"/>
    </w:rPr>
  </w:style>
  <w:style w:type="table" w:customStyle="1" w:styleId="PlainTable11">
    <w:name w:val="Plain Table 11"/>
    <w:basedOn w:val="TableNormal"/>
    <w:next w:val="PlainTable1"/>
    <w:uiPriority w:val="41"/>
    <w:rsid w:val="007F2A5A"/>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7F2A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F2A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A5A"/>
  </w:style>
  <w:style w:type="paragraph" w:styleId="Footer">
    <w:name w:val="footer"/>
    <w:basedOn w:val="Normal"/>
    <w:link w:val="FooterChar"/>
    <w:uiPriority w:val="99"/>
    <w:unhideWhenUsed/>
    <w:rsid w:val="007F2A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968</Characters>
  <Application>Microsoft Office Word</Application>
  <DocSecurity>0</DocSecurity>
  <Lines>41</Lines>
  <Paragraphs>23</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Usman Ghori</dc:creator>
  <cp:keywords/>
  <dc:description/>
  <cp:lastModifiedBy>Muhammad Usman Ghori</cp:lastModifiedBy>
  <cp:revision>3</cp:revision>
  <dcterms:created xsi:type="dcterms:W3CDTF">2025-12-05T10:21:00Z</dcterms:created>
  <dcterms:modified xsi:type="dcterms:W3CDTF">2025-12-05T10:27:00Z</dcterms:modified>
</cp:coreProperties>
</file>