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BCE4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eastAsiaTheme="minorEastAsia"/>
          <w:kern w:val="2"/>
          <w:sz w:val="20"/>
          <w:szCs w:val="20"/>
          <w:lang w:val="en-US" w:eastAsia="zh-CN" w:bidi="ar-SA"/>
          <w14:ligatures w14:val="standardContextual"/>
        </w:rPr>
      </w:pPr>
      <w:r>
        <w:rPr>
          <w:rFonts w:hint="eastAsia" w:cs="Times New Roman" w:eastAsiaTheme="minorEastAsia"/>
          <w:b/>
          <w:bCs/>
          <w:kern w:val="2"/>
          <w:sz w:val="20"/>
          <w:szCs w:val="20"/>
          <w:lang w:val="en-US" w:eastAsia="zh-CN" w:bidi="ar-SA"/>
          <w14:ligatures w14:val="standardContextual"/>
        </w:rPr>
        <w:t xml:space="preserve">Supplementary </w:t>
      </w:r>
      <w:r>
        <w:rPr>
          <w:rFonts w:hint="default" w:ascii="Times New Roman" w:hAnsi="Times New Roman" w:cs="Times New Roman" w:eastAsiaTheme="minorEastAsia"/>
          <w:b/>
          <w:bCs/>
          <w:kern w:val="2"/>
          <w:sz w:val="20"/>
          <w:szCs w:val="20"/>
          <w:lang w:val="en-US" w:eastAsia="zh-CN" w:bidi="ar-SA"/>
          <w14:ligatures w14:val="standardContextual"/>
        </w:rPr>
        <w:t>Table 1</w:t>
      </w:r>
      <w:r>
        <w:rPr>
          <w:rFonts w:hint="default" w:ascii="Times New Roman" w:hAnsi="Times New Roman" w:cs="Times New Roman" w:eastAsiaTheme="minorEastAsia"/>
          <w:kern w:val="2"/>
          <w:sz w:val="20"/>
          <w:szCs w:val="20"/>
          <w:lang w:val="en-US" w:eastAsia="zh-CN" w:bidi="ar-SA"/>
          <w14:ligatures w14:val="standardContextual"/>
        </w:rPr>
        <w:t xml:space="preserve"> Previous definitions of medication adherence in studies based on CHARLS</w:t>
      </w:r>
    </w:p>
    <w:tbl>
      <w:tblPr>
        <w:tblStyle w:val="3"/>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6453"/>
        <w:gridCol w:w="2060"/>
      </w:tblGrid>
      <w:tr w14:paraId="30DF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25" w:type="dxa"/>
            <w:tcBorders>
              <w:top w:val="single" w:color="000000" w:sz="12" w:space="0"/>
              <w:left w:val="nil"/>
              <w:bottom w:val="single" w:color="000000" w:sz="4" w:space="0"/>
              <w:right w:val="nil"/>
            </w:tcBorders>
            <w:shd w:val="clear" w:color="auto" w:fill="FFFFFF"/>
          </w:tcPr>
          <w:p w14:paraId="0BED2CB5">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Ref</w:t>
            </w:r>
          </w:p>
        </w:tc>
        <w:tc>
          <w:tcPr>
            <w:tcW w:w="6453" w:type="dxa"/>
            <w:tcBorders>
              <w:top w:val="single" w:color="000000" w:sz="12" w:space="0"/>
              <w:left w:val="nil"/>
              <w:bottom w:val="single" w:color="000000" w:sz="4" w:space="0"/>
              <w:right w:val="nil"/>
            </w:tcBorders>
            <w:shd w:val="clear" w:color="auto" w:fill="FFFFFF"/>
          </w:tcPr>
          <w:p w14:paraId="3A06DFE8">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Definition</w:t>
            </w:r>
          </w:p>
        </w:tc>
        <w:tc>
          <w:tcPr>
            <w:tcW w:w="2060" w:type="dxa"/>
            <w:tcBorders>
              <w:top w:val="single" w:color="000000" w:sz="12" w:space="0"/>
              <w:left w:val="nil"/>
              <w:bottom w:val="single" w:color="000000" w:sz="4" w:space="0"/>
              <w:right w:val="nil"/>
            </w:tcBorders>
            <w:shd w:val="clear" w:color="auto" w:fill="FFFFFF"/>
          </w:tcPr>
          <w:p w14:paraId="55D83DE2">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Journal</w:t>
            </w:r>
          </w:p>
        </w:tc>
      </w:tr>
      <w:tr w14:paraId="6C58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5" w:type="dxa"/>
            <w:tcBorders>
              <w:top w:val="single" w:color="000000" w:sz="4" w:space="0"/>
              <w:left w:val="nil"/>
              <w:bottom w:val="nil"/>
              <w:right w:val="nil"/>
            </w:tcBorders>
            <w:shd w:val="clear" w:color="auto" w:fill="FFFFFF"/>
          </w:tcPr>
          <w:p w14:paraId="770FE072">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Segoe UI" w:cs="Times New Roman"/>
                <w:b w:val="0"/>
                <w:i w:val="0"/>
                <w:iCs w:val="0"/>
                <w:caps w:val="0"/>
                <w:color w:val="000000"/>
                <w:spacing w:val="0"/>
                <w:sz w:val="20"/>
                <w:szCs w:val="20"/>
                <w:shd w:val="clear" w:fill="FFFFFF"/>
              </w:rPr>
              <w:t>Liu J</w:t>
            </w:r>
            <w:r>
              <w:rPr>
                <w:rFonts w:hint="default" w:ascii="Times New Roman" w:hAnsi="Times New Roman" w:cs="Times New Roman"/>
                <w:b w:val="0"/>
                <w:i w:val="0"/>
                <w:iCs w:val="0"/>
                <w:caps w:val="0"/>
                <w:color w:val="000000"/>
                <w:spacing w:val="0"/>
                <w:sz w:val="20"/>
                <w:szCs w:val="20"/>
                <w:shd w:val="clear" w:fill="FFFFFF"/>
                <w:lang w:val="en-US" w:eastAsia="zh-CN"/>
              </w:rPr>
              <w:t>, 2020 [1]</w:t>
            </w:r>
          </w:p>
        </w:tc>
        <w:tc>
          <w:tcPr>
            <w:tcW w:w="6453" w:type="dxa"/>
            <w:tcBorders>
              <w:top w:val="single" w:color="000000" w:sz="4" w:space="0"/>
              <w:left w:val="nil"/>
              <w:bottom w:val="nil"/>
              <w:right w:val="nil"/>
            </w:tcBorders>
            <w:shd w:val="clear" w:color="auto" w:fill="FFFFFF"/>
          </w:tcPr>
          <w:p w14:paraId="1EE52B6C">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eastAsia="URWPalladioL-Roma" w:cs="Times New Roman"/>
                <w:b w:val="0"/>
                <w:color w:val="000000"/>
                <w:kern w:val="0"/>
                <w:sz w:val="20"/>
                <w:szCs w:val="20"/>
                <w:lang w:val="en-US" w:eastAsia="zh-CN" w:bidi="ar"/>
              </w:rPr>
              <w:t>Medication behavior was measured by the question “Are you now taking any of the following treatments to treat or control your hypertension: taking Chinese traditional medicine, taking Western modern medicine, or none of the above?” The answers “taking Chinese traditional medicine” or “taking Western modern medicine” were considered as positive medication behavior, i.e., compliance with medication.</w:t>
            </w:r>
          </w:p>
        </w:tc>
        <w:tc>
          <w:tcPr>
            <w:tcW w:w="2060" w:type="dxa"/>
            <w:tcBorders>
              <w:top w:val="single" w:color="000000" w:sz="4" w:space="0"/>
              <w:left w:val="nil"/>
              <w:bottom w:val="nil"/>
              <w:right w:val="nil"/>
            </w:tcBorders>
            <w:shd w:val="clear" w:color="auto" w:fill="FFFFFF"/>
          </w:tcPr>
          <w:p w14:paraId="32C582D3">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i/>
                <w:iCs/>
                <w:color w:val="000000"/>
                <w:sz w:val="20"/>
                <w:szCs w:val="20"/>
                <w:vertAlign w:val="baseline"/>
                <w:lang w:val="en-US" w:eastAsia="zh-CN"/>
              </w:rPr>
            </w:pPr>
            <w:r>
              <w:rPr>
                <w:rFonts w:hint="default" w:ascii="Times New Roman" w:hAnsi="Times New Roman" w:eastAsia="宋体" w:cs="Times New Roman"/>
                <w:b w:val="0"/>
                <w:bCs/>
                <w:i/>
                <w:iCs/>
                <w:caps w:val="0"/>
                <w:color w:val="000000"/>
                <w:spacing w:val="0"/>
                <w:sz w:val="20"/>
                <w:szCs w:val="20"/>
                <w:u w:val="none"/>
                <w:shd w:val="clear" w:fill="FFFFFF"/>
              </w:rPr>
              <w:fldChar w:fldCharType="begin"/>
            </w:r>
            <w:r>
              <w:rPr>
                <w:rFonts w:hint="default" w:ascii="Times New Roman" w:hAnsi="Times New Roman" w:eastAsia="宋体" w:cs="Times New Roman"/>
                <w:b w:val="0"/>
                <w:bCs/>
                <w:i/>
                <w:iCs/>
                <w:caps w:val="0"/>
                <w:color w:val="000000"/>
                <w:spacing w:val="0"/>
                <w:sz w:val="20"/>
                <w:szCs w:val="20"/>
                <w:u w:val="none"/>
                <w:shd w:val="clear" w:fill="FFFFFF"/>
              </w:rPr>
              <w:instrText xml:space="preserve"> HYPERLINK "https://www.letpub.com.cn/index.php?page=journalapp&amp;view=detail&amp;journalid=3734" </w:instrText>
            </w:r>
            <w:r>
              <w:rPr>
                <w:rFonts w:hint="default" w:ascii="Times New Roman" w:hAnsi="Times New Roman" w:eastAsia="宋体" w:cs="Times New Roman"/>
                <w:b w:val="0"/>
                <w:bCs/>
                <w:i/>
                <w:iCs/>
                <w:caps w:val="0"/>
                <w:color w:val="000000"/>
                <w:spacing w:val="0"/>
                <w:sz w:val="20"/>
                <w:szCs w:val="20"/>
                <w:u w:val="none"/>
                <w:shd w:val="clear" w:fill="FFFFFF"/>
              </w:rPr>
              <w:fldChar w:fldCharType="separate"/>
            </w:r>
            <w:r>
              <w:rPr>
                <w:rStyle w:val="5"/>
                <w:rFonts w:hint="default" w:ascii="Times New Roman" w:hAnsi="Times New Roman" w:eastAsia="宋体" w:cs="Times New Roman"/>
                <w:b w:val="0"/>
                <w:bCs/>
                <w:i/>
                <w:iCs/>
                <w:caps w:val="0"/>
                <w:color w:val="000000"/>
                <w:spacing w:val="0"/>
                <w:sz w:val="20"/>
                <w:szCs w:val="20"/>
                <w:u w:val="none"/>
                <w:shd w:val="clear" w:fill="FFFFFF"/>
              </w:rPr>
              <w:t>International Journal of Environmental Research and Public Health</w:t>
            </w:r>
            <w:r>
              <w:rPr>
                <w:rFonts w:hint="default" w:ascii="Times New Roman" w:hAnsi="Times New Roman" w:eastAsia="宋体" w:cs="Times New Roman"/>
                <w:b w:val="0"/>
                <w:bCs/>
                <w:i/>
                <w:iCs/>
                <w:caps w:val="0"/>
                <w:color w:val="000000"/>
                <w:spacing w:val="0"/>
                <w:sz w:val="20"/>
                <w:szCs w:val="20"/>
                <w:u w:val="none"/>
                <w:shd w:val="clear" w:fill="FFFFFF"/>
              </w:rPr>
              <w:fldChar w:fldCharType="end"/>
            </w:r>
          </w:p>
        </w:tc>
      </w:tr>
      <w:tr w14:paraId="414C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1425" w:type="dxa"/>
            <w:tcBorders>
              <w:top w:val="nil"/>
              <w:left w:val="nil"/>
              <w:bottom w:val="nil"/>
              <w:right w:val="nil"/>
            </w:tcBorders>
            <w:shd w:val="clear" w:color="auto" w:fill="FFFFFF"/>
          </w:tcPr>
          <w:p w14:paraId="1F79D5C2">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eastAsia="宋体" w:cs="Times New Roman"/>
                <w:b w:val="0"/>
                <w:color w:val="000000"/>
                <w:sz w:val="20"/>
                <w:szCs w:val="20"/>
                <w:vertAlign w:val="baseline"/>
                <w:lang w:val="en-US" w:eastAsia="zh-CN"/>
              </w:rPr>
            </w:pPr>
            <w:r>
              <w:rPr>
                <w:rFonts w:hint="default" w:ascii="Times New Roman" w:hAnsi="Times New Roman" w:eastAsia="Segoe UI" w:cs="Times New Roman"/>
                <w:b w:val="0"/>
                <w:i w:val="0"/>
                <w:iCs w:val="0"/>
                <w:caps w:val="0"/>
                <w:color w:val="000000"/>
                <w:spacing w:val="0"/>
                <w:sz w:val="20"/>
                <w:szCs w:val="20"/>
                <w:shd w:val="clear" w:fill="FFFFFF"/>
              </w:rPr>
              <w:t>Liu F</w:t>
            </w:r>
            <w:r>
              <w:rPr>
                <w:rFonts w:hint="default" w:ascii="Times New Roman" w:hAnsi="Times New Roman" w:cs="Times New Roman"/>
                <w:b w:val="0"/>
                <w:i w:val="0"/>
                <w:iCs w:val="0"/>
                <w:caps w:val="0"/>
                <w:color w:val="000000"/>
                <w:spacing w:val="0"/>
                <w:sz w:val="20"/>
                <w:szCs w:val="20"/>
                <w:shd w:val="clear" w:fill="FFFFFF"/>
                <w:lang w:val="en-US" w:eastAsia="zh-CN"/>
              </w:rPr>
              <w:t>, 2023 [2]</w:t>
            </w:r>
          </w:p>
        </w:tc>
        <w:tc>
          <w:tcPr>
            <w:tcW w:w="6453" w:type="dxa"/>
            <w:tcBorders>
              <w:top w:val="nil"/>
              <w:left w:val="nil"/>
              <w:bottom w:val="nil"/>
              <w:right w:val="nil"/>
            </w:tcBorders>
            <w:shd w:val="clear" w:color="auto" w:fill="FFFFFF"/>
          </w:tcPr>
          <w:p w14:paraId="77E1D349">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eastAsia="宋体" w:cs="Times New Roman"/>
                <w:color w:val="000000"/>
                <w:kern w:val="0"/>
                <w:sz w:val="20"/>
                <w:szCs w:val="20"/>
                <w:lang w:val="en-US" w:eastAsia="zh-CN" w:bidi="ar"/>
              </w:rPr>
              <w:t>Medication adherence: at the time of being interviewed, patients who took traditional Chinese medicine, western medicine, or both for hypertension were defined as having good adherence, otherwise defined as poor medication adherence.</w:t>
            </w:r>
          </w:p>
        </w:tc>
        <w:tc>
          <w:tcPr>
            <w:tcW w:w="2060" w:type="dxa"/>
            <w:tcBorders>
              <w:top w:val="nil"/>
              <w:left w:val="nil"/>
              <w:bottom w:val="nil"/>
              <w:right w:val="nil"/>
            </w:tcBorders>
            <w:shd w:val="clear" w:color="auto" w:fill="FFFFFF"/>
          </w:tcPr>
          <w:p w14:paraId="444A0B5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firstLine="0" w:firstLineChars="0"/>
              <w:jc w:val="both"/>
              <w:textAlignment w:val="auto"/>
              <w:rPr>
                <w:rFonts w:hint="default" w:ascii="Times New Roman" w:hAnsi="Times New Roman" w:cs="Times New Roman"/>
                <w:b w:val="0"/>
                <w:i/>
                <w:iCs/>
                <w:color w:val="000000"/>
                <w:sz w:val="20"/>
                <w:szCs w:val="20"/>
                <w:vertAlign w:val="baseline"/>
                <w:lang w:val="en-US" w:eastAsia="zh-CN"/>
              </w:rPr>
            </w:pPr>
            <w:r>
              <w:rPr>
                <w:rFonts w:hint="default" w:ascii="Times New Roman" w:hAnsi="Times New Roman" w:eastAsia="MuseeBold" w:cs="Times New Roman"/>
                <w:b w:val="0"/>
                <w:bCs/>
                <w:i/>
                <w:iCs/>
                <w:color w:val="000000"/>
                <w:kern w:val="0"/>
                <w:sz w:val="20"/>
                <w:szCs w:val="20"/>
                <w:lang w:val="en-US" w:eastAsia="zh-CN" w:bidi="ar"/>
              </w:rPr>
              <w:t>Patient Preference and Adherence</w:t>
            </w:r>
          </w:p>
        </w:tc>
      </w:tr>
      <w:tr w14:paraId="2F2A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5" w:type="dxa"/>
            <w:tcBorders>
              <w:top w:val="nil"/>
              <w:left w:val="nil"/>
              <w:bottom w:val="single" w:color="000000" w:sz="12" w:space="0"/>
              <w:right w:val="nil"/>
            </w:tcBorders>
            <w:shd w:val="clear" w:color="auto" w:fill="FFFFFF"/>
          </w:tcPr>
          <w:p w14:paraId="17D6B273">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eastAsia="Segoe UI" w:cs="Times New Roman"/>
                <w:b w:val="0"/>
                <w:i w:val="0"/>
                <w:iCs w:val="0"/>
                <w:caps w:val="0"/>
                <w:color w:val="000000"/>
                <w:spacing w:val="0"/>
                <w:sz w:val="20"/>
                <w:szCs w:val="20"/>
                <w:shd w:val="clear" w:fill="FFFFFF"/>
              </w:rPr>
              <w:t>Li C</w:t>
            </w:r>
            <w:r>
              <w:rPr>
                <w:rFonts w:hint="default" w:ascii="Times New Roman" w:hAnsi="Times New Roman" w:cs="Times New Roman"/>
                <w:b w:val="0"/>
                <w:color w:val="000000"/>
                <w:sz w:val="20"/>
                <w:szCs w:val="20"/>
                <w:vertAlign w:val="baseline"/>
                <w:lang w:val="en-US" w:eastAsia="zh-CN"/>
              </w:rPr>
              <w:t>, 2025 [3]</w:t>
            </w:r>
          </w:p>
        </w:tc>
        <w:tc>
          <w:tcPr>
            <w:tcW w:w="6453" w:type="dxa"/>
            <w:tcBorders>
              <w:top w:val="nil"/>
              <w:left w:val="nil"/>
              <w:bottom w:val="single" w:color="000000" w:sz="12" w:space="0"/>
              <w:right w:val="nil"/>
            </w:tcBorders>
            <w:shd w:val="clear" w:color="auto" w:fill="FFFFFF"/>
          </w:tcPr>
          <w:p w14:paraId="4C244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color w:val="000000"/>
                <w:sz w:val="20"/>
                <w:szCs w:val="20"/>
                <w:vertAlign w:val="baseline"/>
                <w:lang w:val="en-US" w:eastAsia="zh-CN"/>
              </w:rPr>
            </w:pPr>
            <w:r>
              <w:rPr>
                <w:rFonts w:hint="default" w:ascii="Times New Roman" w:hAnsi="Times New Roman" w:eastAsia="CharisSIL" w:cs="Times New Roman"/>
                <w:b w:val="0"/>
                <w:color w:val="000000"/>
                <w:kern w:val="0"/>
                <w:sz w:val="20"/>
                <w:szCs w:val="20"/>
                <w:highlight w:val="none"/>
                <w:lang w:val="en-US" w:eastAsia="zh-CN" w:bidi="ar"/>
              </w:rPr>
              <w:t>Participants were asked whether they used any Western modern medicine to control hypertension. And those answering “yes” were categorized as using antihypertensive medication at the current wave. Based on baseline and wave 2, we categorized longitudinal adherence to anti-hypertensive medication using the number of waves reporting anti-hypertensive medication use, including 1) normotension, without using medication; 2) hypertension with low adherence (not using antihypertensive medication in both waves 1 and 2, e.g. using medication for 0 wave); 3) hypertension with moderate adherence (using anti-hypertensive medication in single wave 1 or 2, e.g. using medication for 1 wave); and 4) hypertension with high adherence (using anti-hypertensive medication in both waves 1 and 2, e.g. using medication for 2 waves).</w:t>
            </w:r>
          </w:p>
        </w:tc>
        <w:tc>
          <w:tcPr>
            <w:tcW w:w="2060" w:type="dxa"/>
            <w:tcBorders>
              <w:top w:val="nil"/>
              <w:left w:val="nil"/>
              <w:bottom w:val="single" w:color="000000" w:sz="12" w:space="0"/>
              <w:right w:val="nil"/>
            </w:tcBorders>
            <w:shd w:val="clear" w:color="auto" w:fill="FFFFFF"/>
          </w:tcPr>
          <w:p w14:paraId="39BCB0A6">
            <w:pPr>
              <w:keepNext w:val="0"/>
              <w:keepLines w:val="0"/>
              <w:pageBreakBefore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b w:val="0"/>
                <w:i/>
                <w:iCs/>
                <w:color w:val="000000"/>
                <w:sz w:val="20"/>
                <w:szCs w:val="20"/>
                <w:vertAlign w:val="baseline"/>
                <w:lang w:val="en-US" w:eastAsia="zh-CN"/>
              </w:rPr>
            </w:pPr>
            <w:r>
              <w:rPr>
                <w:rFonts w:hint="default" w:ascii="Times New Roman" w:hAnsi="Times New Roman" w:cs="Times New Roman"/>
                <w:b w:val="0"/>
                <w:i/>
                <w:iCs/>
                <w:color w:val="000000"/>
                <w:sz w:val="20"/>
                <w:szCs w:val="20"/>
                <w:vertAlign w:val="baseline"/>
                <w:lang w:val="en-US" w:eastAsia="zh-CN"/>
              </w:rPr>
              <w:t>BMC medicine</w:t>
            </w:r>
          </w:p>
        </w:tc>
      </w:tr>
    </w:tbl>
    <w:p w14:paraId="7BF67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eastAsia="CharisSIL" w:cs="Times New Roman"/>
          <w:b/>
          <w:bCs/>
          <w:color w:val="auto"/>
          <w:kern w:val="0"/>
          <w:sz w:val="20"/>
          <w:szCs w:val="20"/>
          <w:highlight w:val="none"/>
          <w:lang w:val="en-US" w:eastAsia="zh-CN" w:bidi="ar"/>
        </w:rPr>
      </w:pPr>
      <w:r>
        <w:rPr>
          <w:rFonts w:hint="default" w:ascii="Times New Roman" w:hAnsi="Times New Roman" w:eastAsia="CharisSIL" w:cs="Times New Roman"/>
          <w:b/>
          <w:bCs/>
          <w:color w:val="auto"/>
          <w:kern w:val="0"/>
          <w:sz w:val="20"/>
          <w:szCs w:val="20"/>
          <w:highlight w:val="none"/>
          <w:lang w:val="en-US" w:eastAsia="zh-CN" w:bidi="ar"/>
        </w:rPr>
        <w:t>Reference</w:t>
      </w:r>
    </w:p>
    <w:p w14:paraId="4804C2C0">
      <w:pPr>
        <w:pStyle w:val="6"/>
        <w:keepNext w:val="0"/>
        <w:keepLines w:val="0"/>
        <w:pageBreakBefore w:val="0"/>
        <w:kinsoku/>
        <w:wordWrap/>
        <w:overflowPunct/>
        <w:topLinePunct w:val="0"/>
        <w:autoSpaceDE/>
        <w:autoSpaceDN/>
        <w:bidi w:val="0"/>
        <w:adjustRightInd/>
        <w:snapToGrid/>
        <w:spacing w:line="360" w:lineRule="auto"/>
        <w:ind w:left="0" w:right="0" w:firstLine="0"/>
        <w:jc w:val="both"/>
        <w:textAlignment w:val="auto"/>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CharisSIL" w:cs="Times New Roman"/>
          <w:color w:val="auto"/>
          <w:kern w:val="0"/>
          <w:sz w:val="20"/>
          <w:szCs w:val="20"/>
          <w:highlight w:val="none"/>
          <w:lang w:val="en-US" w:eastAsia="zh-CN" w:bidi="ar"/>
        </w:rPr>
        <w:t>[1]</w:t>
      </w:r>
      <w:r>
        <w:rPr>
          <w:rFonts w:hint="default" w:ascii="Times New Roman" w:hAnsi="Times New Roman" w:cs="Times New Roman" w:eastAsiaTheme="minorEastAsia"/>
          <w:kern w:val="2"/>
          <w:sz w:val="20"/>
          <w:szCs w:val="20"/>
          <w:lang w:val="en-US" w:eastAsia="zh-CN" w:bidi="ar-SA"/>
          <w14:ligatures w14:val="standardContextual"/>
        </w:rPr>
        <w:t xml:space="preserve"> Liu J, Yang Y, Zhou J, et al. Prevalence and Associated Factors of Compliance Behaviors among Middle-Aged and Older Hypertensive Patients in China: Results from the China Health and Retirement Longitudinal Study. Int J Environ Res Public Health. 2020;17(19). </w:t>
      </w:r>
      <w:r>
        <w:rPr>
          <w:rFonts w:hint="default" w:ascii="Times New Roman" w:hAnsi="Times New Roman" w:cs="Times New Roman" w:eastAsiaTheme="minorEastAsia"/>
          <w:color w:val="auto"/>
          <w:kern w:val="2"/>
          <w:sz w:val="20"/>
          <w:szCs w:val="20"/>
          <w:u w:val="none"/>
          <w:lang w:val="en-US" w:eastAsia="zh-CN" w:bidi="ar-SA"/>
          <w14:ligatures w14:val="standardContextual"/>
        </w:rPr>
        <w:t>https://doi.org/10.3390/ijerph17197341</w:t>
      </w:r>
      <w:r>
        <w:rPr>
          <w:rFonts w:hint="default" w:ascii="Times New Roman" w:hAnsi="Times New Roman" w:cs="Times New Roman" w:eastAsiaTheme="minorEastAsia"/>
          <w:kern w:val="2"/>
          <w:sz w:val="20"/>
          <w:szCs w:val="20"/>
          <w:lang w:val="en-US" w:eastAsia="zh-CN" w:bidi="ar-SA"/>
          <w14:ligatures w14:val="standardContextual"/>
        </w:rPr>
        <w:t>.</w:t>
      </w:r>
    </w:p>
    <w:p w14:paraId="7674E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firstLine="0" w:firstLineChars="0"/>
        <w:jc w:val="both"/>
        <w:textAlignment w:val="auto"/>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eastAsiaTheme="minorEastAsia"/>
          <w:kern w:val="2"/>
          <w:sz w:val="20"/>
          <w:szCs w:val="20"/>
          <w:lang w:val="en-US" w:eastAsia="zh-CN" w:bidi="ar-SA"/>
          <w14:ligatures w14:val="standardContextual"/>
        </w:rPr>
        <w:t xml:space="preserve">[2] Liu F, Chang H, Liu X. Adherence Behaviors and Related Factors Among Elderly Hypertensive Patients in China: Evidence from the China Health and Retirement Longitudinal Study. Patient Prefer Adherence. 2023;17:3539-53. </w:t>
      </w:r>
      <w:r>
        <w:rPr>
          <w:rFonts w:hint="default" w:ascii="Times New Roman" w:hAnsi="Times New Roman" w:cs="Times New Roman" w:eastAsiaTheme="minorEastAsia"/>
          <w:color w:val="auto"/>
          <w:kern w:val="2"/>
          <w:sz w:val="20"/>
          <w:szCs w:val="20"/>
          <w:u w:val="none"/>
          <w:lang w:val="en-US" w:eastAsia="zh-CN" w:bidi="ar-SA"/>
          <w14:ligatures w14:val="standardContextual"/>
        </w:rPr>
        <w:t>https://doi.org/10.2147/PPA.S445789</w:t>
      </w:r>
      <w:r>
        <w:rPr>
          <w:rFonts w:hint="eastAsia" w:cs="Times New Roman" w:eastAsiaTheme="minorEastAsia"/>
          <w:kern w:val="2"/>
          <w:sz w:val="20"/>
          <w:szCs w:val="20"/>
          <w:lang w:val="en-US" w:eastAsia="zh-CN" w:bidi="ar-SA"/>
          <w14:ligatures w14:val="standardContextual"/>
        </w:rPr>
        <w:t>.</w:t>
      </w:r>
    </w:p>
    <w:p w14:paraId="10F2C23E">
      <w:pPr>
        <w:ind w:left="0" w:leftChars="0" w:firstLine="0" w:firstLineChars="0"/>
      </w:pPr>
      <w:r>
        <w:rPr>
          <w:rFonts w:hint="default" w:ascii="Times New Roman" w:hAnsi="Times New Roman" w:cs="Times New Roman" w:eastAsiaTheme="minorEastAsia"/>
          <w:kern w:val="2"/>
          <w:sz w:val="20"/>
          <w:szCs w:val="20"/>
          <w:lang w:val="en-US" w:eastAsia="zh-CN" w:bidi="ar-SA"/>
          <w14:ligatures w14:val="standardContextual"/>
        </w:rPr>
        <w:t xml:space="preserve">[3] Li C, He D, Liu Y, </w:t>
      </w:r>
      <w:r>
        <w:rPr>
          <w:rFonts w:hint="eastAsia" w:cs="Times New Roman" w:eastAsiaTheme="minorEastAsia"/>
          <w:kern w:val="2"/>
          <w:sz w:val="20"/>
          <w:szCs w:val="20"/>
          <w:lang w:val="en-US" w:eastAsia="zh-CN" w:bidi="ar-SA"/>
          <w14:ligatures w14:val="standardContextual"/>
        </w:rPr>
        <w:t>et al</w:t>
      </w:r>
      <w:r>
        <w:rPr>
          <w:rFonts w:hint="default" w:ascii="Times New Roman" w:hAnsi="Times New Roman" w:cs="Times New Roman" w:eastAsiaTheme="minorEastAsia"/>
          <w:kern w:val="2"/>
          <w:sz w:val="20"/>
          <w:szCs w:val="20"/>
          <w:lang w:val="en-US" w:eastAsia="zh-CN" w:bidi="ar-SA"/>
          <w14:ligatures w14:val="standardContextual"/>
        </w:rPr>
        <w:t xml:space="preserve">. Anti-hypertensive medication adherence, socioeconomic status, and cognitive aging in the Chinese community-dwelling middle-aged and older adults &gt;/= 45 years: a population-based longitudinal study. BMC Med. 2025;23(1):121. </w:t>
      </w:r>
      <w:r>
        <w:rPr>
          <w:rFonts w:hint="default" w:ascii="Times New Roman" w:hAnsi="Times New Roman" w:cs="Times New Roman" w:eastAsiaTheme="minorEastAsia"/>
          <w:color w:val="auto"/>
          <w:kern w:val="2"/>
          <w:sz w:val="20"/>
          <w:szCs w:val="20"/>
          <w:u w:val="none"/>
          <w:lang w:val="en-US" w:eastAsia="zh-CN" w:bidi="ar-SA"/>
          <w14:ligatures w14:val="standardContextual"/>
        </w:rPr>
        <w:t>https://doi.org/10.1186/s12916-025-0</w:t>
      </w:r>
      <w:bookmarkStart w:id="0" w:name="_GoBack"/>
      <w:bookmarkEnd w:id="0"/>
      <w:r>
        <w:rPr>
          <w:rFonts w:hint="default" w:ascii="Times New Roman" w:hAnsi="Times New Roman" w:cs="Times New Roman" w:eastAsiaTheme="minorEastAsia"/>
          <w:color w:val="auto"/>
          <w:kern w:val="2"/>
          <w:sz w:val="20"/>
          <w:szCs w:val="20"/>
          <w:u w:val="none"/>
          <w:lang w:val="en-US" w:eastAsia="zh-CN" w:bidi="ar-SA"/>
          <w14:ligatures w14:val="standardContextual"/>
        </w:rPr>
        <w:t>3949-8</w:t>
      </w:r>
      <w:r>
        <w:rPr>
          <w:rFonts w:hint="default" w:ascii="Times New Roman" w:hAnsi="Times New Roman" w:cs="Times New Roman" w:eastAsiaTheme="minorEastAsia"/>
          <w:kern w:val="2"/>
          <w:sz w:val="20"/>
          <w:szCs w:val="20"/>
          <w:lang w:val="en-US" w:eastAsia="zh-CN" w:bidi="ar-SA"/>
          <w14:ligatures w14:val="standardContextual"/>
        </w:rPr>
        <w:t>.</w:t>
      </w:r>
      <w:r>
        <w:rPr>
          <w:rFonts w:hint="default" w:ascii="Times New Roman" w:hAnsi="Times New Roman" w:eastAsia="宋体" w:cs="Times New Roman"/>
          <w:sz w:val="20"/>
          <w:szCs w:val="20"/>
        </w:rPr>
        <w:br w:type="textWrapp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URWPalladioL-Rom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useeBold">
    <w:altName w:val="Segoe Print"/>
    <w:panose1 w:val="00000000000000000000"/>
    <w:charset w:val="00"/>
    <w:family w:val="auto"/>
    <w:pitch w:val="default"/>
    <w:sig w:usb0="00000000" w:usb1="00000000" w:usb2="00000000" w:usb3="00000000" w:csb0="00000000" w:csb1="00000000"/>
  </w:font>
  <w:font w:name="CharisSIL">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D82F05"/>
    <w:rsid w:val="05A36A82"/>
    <w:rsid w:val="1BD63DCF"/>
    <w:rsid w:val="472A4F52"/>
    <w:rsid w:val="65D8486C"/>
    <w:rsid w:val="6AD82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heme="minorBidi"/>
      <w:kern w:val="2"/>
      <w:sz w:val="24"/>
      <w:szCs w:val="22"/>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nhideWhenUsed/>
    <w:qFormat/>
    <w:uiPriority w:val="99"/>
    <w:rPr>
      <w:color w:val="0026E5" w:themeColor="hyperlink"/>
      <w:u w:val="single"/>
      <w14:textFill>
        <w14:solidFill>
          <w14:schemeClr w14:val="hlink"/>
        </w14:solidFill>
      </w14:textFill>
    </w:rPr>
  </w:style>
  <w:style w:type="paragraph" w:customStyle="1" w:styleId="6">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2"/>
      <w:lang w:val="en-US"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365</Words>
  <Characters>2266</Characters>
  <Lines>0</Lines>
  <Paragraphs>0</Paragraphs>
  <TotalTime>1</TotalTime>
  <ScaleCrop>false</ScaleCrop>
  <LinksUpToDate>false</LinksUpToDate>
  <CharactersWithSpaces>2614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2025-12-06T05:41:00Z</dcterms:created>
  <dc:creator>Zhang Hanxu</dc:creator>
  <cp:lastModifiedBy>Zhang Hanxu</cp:lastModifiedBy>
  <dcterms:modified xsi:type="dcterms:W3CDTF">2025-12-22T04:21:20Z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7CCA205E41AD43A9922F198761BD0B43_11</vt:lpwstr>
  </property>
  <property fmtid="{D5CDD505-2E9C-101B-9397-08002B2CF9AE}" pid="4" name="KSOTemplateDocerSaveRecord">
    <vt:lpwstr>eyJoZGlkIjoiMzEwNTM5NzYwMDRjMzkwZTVkZjY2ODkwMGIxNGU0OTUiLCJ1c2VySWQiOiIyNTUxNjM0MzAifQ==</vt:lpwstr>
  </property>
</Properties>
</file>