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A43C6">
      <w:pPr>
        <w:keepNext w:val="0"/>
        <w:keepLines w:val="0"/>
        <w:pageBreakBefore w:val="0"/>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auto"/>
          <w:sz w:val="20"/>
          <w:szCs w:val="20"/>
          <w:highlight w:val="none"/>
          <w:lang w:val="en-US" w:eastAsia="zh-CN"/>
        </w:rPr>
      </w:pPr>
      <w:bookmarkStart w:id="0" w:name="OLE_LINK4"/>
      <w:r>
        <w:rPr>
          <w:rFonts w:hint="default" w:ascii="Times New Roman" w:hAnsi="Times New Roman" w:eastAsia="宋体" w:cs="Times New Roman"/>
          <w:b/>
          <w:bCs/>
          <w:sz w:val="20"/>
          <w:szCs w:val="20"/>
        </w:rPr>
        <w:t xml:space="preserve">Supplementary </w:t>
      </w:r>
      <w:r>
        <w:rPr>
          <w:rFonts w:hint="default" w:ascii="Times New Roman" w:hAnsi="Times New Roman" w:cs="Times New Roman"/>
          <w:b/>
          <w:bCs/>
          <w:color w:val="auto"/>
          <w:sz w:val="20"/>
          <w:szCs w:val="20"/>
          <w:highlight w:val="none"/>
        </w:rPr>
        <w:t xml:space="preserve">Table </w:t>
      </w:r>
      <w:bookmarkEnd w:id="0"/>
      <w:r>
        <w:rPr>
          <w:rFonts w:hint="eastAsia" w:cs="Times New Roman"/>
          <w:b/>
          <w:bCs/>
          <w:color w:val="auto"/>
          <w:sz w:val="20"/>
          <w:szCs w:val="20"/>
          <w:highlight w:val="none"/>
          <w:lang w:val="en-US" w:eastAsia="zh-CN"/>
        </w:rPr>
        <w:t>2</w:t>
      </w:r>
      <w:r>
        <w:rPr>
          <w:rFonts w:hint="default" w:ascii="Times New Roman" w:hAnsi="Times New Roman" w:cs="Times New Roman"/>
          <w:b w:val="0"/>
          <w:bCs w:val="0"/>
          <w:color w:val="auto"/>
          <w:sz w:val="20"/>
          <w:szCs w:val="20"/>
          <w:highlight w:val="none"/>
        </w:rPr>
        <w:t xml:space="preserve"> </w:t>
      </w:r>
      <w:r>
        <w:rPr>
          <w:rFonts w:hint="eastAsia" w:cs="Times New Roman"/>
          <w:b w:val="0"/>
          <w:bCs w:val="0"/>
          <w:color w:val="auto"/>
          <w:sz w:val="20"/>
          <w:szCs w:val="20"/>
          <w:highlight w:val="none"/>
          <w:lang w:val="en-US" w:eastAsia="zh-CN"/>
        </w:rPr>
        <w:t>Definitions o</w:t>
      </w:r>
      <w:bookmarkStart w:id="2" w:name="_GoBack"/>
      <w:bookmarkEnd w:id="2"/>
      <w:r>
        <w:rPr>
          <w:rFonts w:hint="eastAsia" w:cs="Times New Roman"/>
          <w:b w:val="0"/>
          <w:bCs w:val="0"/>
          <w:color w:val="auto"/>
          <w:sz w:val="20"/>
          <w:szCs w:val="20"/>
          <w:highlight w:val="none"/>
          <w:lang w:val="en-US" w:eastAsia="zh-CN"/>
        </w:rPr>
        <w:t xml:space="preserve">f </w:t>
      </w:r>
      <w:r>
        <w:rPr>
          <w:rFonts w:hint="default" w:ascii="Times New Roman" w:hAnsi="Times New Roman" w:cs="Times New Roman"/>
          <w:b w:val="0"/>
          <w:bCs w:val="0"/>
          <w:color w:val="auto"/>
          <w:sz w:val="20"/>
          <w:szCs w:val="20"/>
          <w:highlight w:val="none"/>
        </w:rPr>
        <w:t>variables</w:t>
      </w:r>
    </w:p>
    <w:tbl>
      <w:tblPr>
        <w:tblStyle w:val="5"/>
        <w:tblW w:w="5983"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50"/>
        <w:gridCol w:w="6947"/>
      </w:tblGrid>
      <w:tr w14:paraId="247DF9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593" w:type="pct"/>
            <w:tcBorders>
              <w:top w:val="single" w:color="000000" w:sz="12" w:space="0"/>
              <w:bottom w:val="single" w:color="000000" w:sz="4" w:space="0"/>
              <w:tl2br w:val="nil"/>
            </w:tcBorders>
            <w:shd w:val="clear" w:color="auto" w:fill="FFFFFF"/>
            <w:noWrap/>
            <w:vAlign w:val="bottom"/>
          </w:tcPr>
          <w:p w14:paraId="4A22DF57">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bCs w:val="0"/>
                <w:color w:val="000000"/>
                <w:kern w:val="0"/>
                <w:sz w:val="20"/>
                <w:szCs w:val="20"/>
                <w:highlight w:val="none"/>
                <w:u w:val="single"/>
              </w:rPr>
            </w:pPr>
            <w:r>
              <w:rPr>
                <w:rFonts w:hint="default" w:ascii="Times New Roman" w:hAnsi="Times New Roman" w:eastAsia="等线" w:cs="Times New Roman"/>
                <w:b w:val="0"/>
                <w:bCs w:val="0"/>
                <w:color w:val="000000"/>
                <w:kern w:val="0"/>
                <w:sz w:val="20"/>
                <w:szCs w:val="20"/>
                <w:highlight w:val="none"/>
              </w:rPr>
              <w:t>Variables</w:t>
            </w:r>
          </w:p>
        </w:tc>
        <w:tc>
          <w:tcPr>
            <w:tcW w:w="3406" w:type="pct"/>
            <w:tcBorders>
              <w:top w:val="single" w:color="000000" w:sz="12" w:space="0"/>
              <w:bottom w:val="single" w:color="000000" w:sz="4" w:space="0"/>
            </w:tcBorders>
            <w:shd w:val="clear" w:color="auto" w:fill="FFFFFF"/>
            <w:noWrap/>
            <w:vAlign w:val="bottom"/>
          </w:tcPr>
          <w:p w14:paraId="3D6443BE">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bCs w:val="0"/>
                <w:color w:val="000000"/>
                <w:kern w:val="0"/>
                <w:sz w:val="20"/>
                <w:szCs w:val="20"/>
                <w:highlight w:val="none"/>
              </w:rPr>
            </w:pPr>
            <w:r>
              <w:rPr>
                <w:rFonts w:hint="default" w:ascii="Times New Roman" w:hAnsi="Times New Roman" w:eastAsia="等线" w:cs="Times New Roman"/>
                <w:b w:val="0"/>
                <w:bCs w:val="0"/>
                <w:color w:val="000000"/>
                <w:kern w:val="0"/>
                <w:sz w:val="20"/>
                <w:szCs w:val="20"/>
                <w:highlight w:val="none"/>
                <w:lang w:val="en-US" w:eastAsia="zh-CN"/>
              </w:rPr>
              <w:t>D</w:t>
            </w:r>
            <w:r>
              <w:rPr>
                <w:rFonts w:hint="default" w:ascii="Times New Roman" w:hAnsi="Times New Roman" w:eastAsia="等线" w:cs="Times New Roman"/>
                <w:b w:val="0"/>
                <w:bCs w:val="0"/>
                <w:color w:val="000000"/>
                <w:kern w:val="0"/>
                <w:sz w:val="20"/>
                <w:szCs w:val="20"/>
                <w:highlight w:val="none"/>
              </w:rPr>
              <w:t>efinition</w:t>
            </w:r>
            <w:r>
              <w:rPr>
                <w:rFonts w:hint="default" w:ascii="Times New Roman" w:hAnsi="Times New Roman" w:eastAsia="等线" w:cs="Times New Roman"/>
                <w:b w:val="0"/>
                <w:bCs w:val="0"/>
                <w:color w:val="000000"/>
                <w:kern w:val="0"/>
                <w:sz w:val="20"/>
                <w:szCs w:val="20"/>
                <w:highlight w:val="none"/>
                <w:lang w:val="en-US" w:eastAsia="zh-CN"/>
              </w:rPr>
              <w:t>s</w:t>
            </w:r>
          </w:p>
        </w:tc>
      </w:tr>
      <w:tr w14:paraId="505ED6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single" w:color="000000" w:sz="4" w:space="0"/>
            </w:tcBorders>
            <w:shd w:val="clear" w:color="auto" w:fill="FFFFFF"/>
            <w:noWrap/>
            <w:vAlign w:val="center"/>
          </w:tcPr>
          <w:p w14:paraId="667203E2">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等线" w:cs="Times New Roman"/>
                <w:b w:val="0"/>
                <w:color w:val="000000"/>
                <w:kern w:val="0"/>
                <w:sz w:val="20"/>
                <w:szCs w:val="20"/>
                <w:highlight w:val="none"/>
                <w:lang w:val="en-US" w:eastAsia="zh-CN"/>
              </w:rPr>
              <w:t>Age</w:t>
            </w:r>
          </w:p>
        </w:tc>
        <w:tc>
          <w:tcPr>
            <w:tcW w:w="3406" w:type="pct"/>
            <w:tcBorders>
              <w:top w:val="single" w:color="000000" w:sz="4" w:space="0"/>
            </w:tcBorders>
            <w:shd w:val="clear" w:color="auto" w:fill="FFFFFF"/>
            <w:noWrap/>
            <w:vAlign w:val="center"/>
          </w:tcPr>
          <w:p w14:paraId="5B6DA7CB">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i w:val="0"/>
                <w:iCs w:val="0"/>
                <w:color w:val="000000"/>
                <w:kern w:val="2"/>
                <w:sz w:val="20"/>
                <w:szCs w:val="20"/>
                <w:highlight w:val="none"/>
                <w:u w:val="none"/>
                <w:lang w:val="en-US" w:eastAsia="zh-CN" w:bidi="ar-SA"/>
              </w:rPr>
              <w:t>Age at interview</w:t>
            </w:r>
          </w:p>
        </w:tc>
      </w:tr>
      <w:tr w14:paraId="5B0D1C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6912F7AE">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i w:val="0"/>
                <w:iCs w:val="0"/>
                <w:color w:val="000000"/>
                <w:kern w:val="0"/>
                <w:sz w:val="20"/>
                <w:szCs w:val="20"/>
                <w:highlight w:val="none"/>
                <w:u w:val="none"/>
                <w:lang w:val="en-US" w:eastAsia="zh-CN" w:bidi="ar"/>
              </w:rPr>
              <w:t>Gender</w:t>
            </w:r>
          </w:p>
        </w:tc>
        <w:tc>
          <w:tcPr>
            <w:tcW w:w="3406" w:type="pct"/>
            <w:tcBorders>
              <w:top w:val="nil"/>
            </w:tcBorders>
            <w:shd w:val="clear" w:color="auto" w:fill="FFFFFF"/>
            <w:noWrap/>
            <w:vAlign w:val="center"/>
          </w:tcPr>
          <w:p w14:paraId="02BF9367">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i w:val="0"/>
                <w:iCs w:val="0"/>
                <w:color w:val="000000"/>
                <w:kern w:val="0"/>
                <w:sz w:val="20"/>
                <w:szCs w:val="20"/>
                <w:highlight w:val="none"/>
                <w:u w:val="none"/>
                <w:lang w:val="en-US" w:eastAsia="zh-CN" w:bidi="ar"/>
              </w:rPr>
              <w:t>Male; Female</w:t>
            </w:r>
          </w:p>
        </w:tc>
      </w:tr>
      <w:tr w14:paraId="37CA98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2EB67FE9">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bidi="ar-SA"/>
              </w:rPr>
            </w:pPr>
            <w:r>
              <w:rPr>
                <w:rFonts w:hint="default" w:ascii="Times New Roman" w:hAnsi="Times New Roman" w:eastAsia="等线" w:cs="Times New Roman"/>
                <w:b w:val="0"/>
                <w:color w:val="000000"/>
                <w:kern w:val="0"/>
                <w:sz w:val="20"/>
                <w:szCs w:val="20"/>
                <w:highlight w:val="none"/>
              </w:rPr>
              <w:t>Marital status</w:t>
            </w:r>
          </w:p>
        </w:tc>
        <w:tc>
          <w:tcPr>
            <w:tcW w:w="3406" w:type="pct"/>
            <w:tcBorders>
              <w:top w:val="nil"/>
            </w:tcBorders>
            <w:shd w:val="clear" w:color="auto" w:fill="FFFFFF"/>
            <w:noWrap/>
            <w:vAlign w:val="bottom"/>
          </w:tcPr>
          <w:p w14:paraId="66063A9E">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Segoe UI" w:cs="Times New Roman"/>
                <w:b w:val="0"/>
                <w:bCs w:val="0"/>
                <w:i w:val="0"/>
                <w:iCs w:val="0"/>
                <w:caps w:val="0"/>
                <w:color w:val="000000"/>
                <w:spacing w:val="0"/>
                <w:sz w:val="20"/>
                <w:szCs w:val="20"/>
                <w:highlight w:val="none"/>
                <w:shd w:val="clear" w:fill="FFFFFF"/>
                <w:lang w:val="en-US" w:eastAsia="zh-CN"/>
              </w:rPr>
            </w:pPr>
            <w:r>
              <w:rPr>
                <w:rFonts w:hint="default" w:ascii="Times New Roman" w:hAnsi="Times New Roman" w:eastAsia="Segoe UI" w:cs="Times New Roman"/>
                <w:b w:val="0"/>
                <w:bCs w:val="0"/>
                <w:i w:val="0"/>
                <w:iCs w:val="0"/>
                <w:caps w:val="0"/>
                <w:color w:val="000000"/>
                <w:spacing w:val="0"/>
                <w:sz w:val="20"/>
                <w:szCs w:val="20"/>
                <w:highlight w:val="none"/>
                <w:shd w:val="clear" w:fill="FFFFFF"/>
              </w:rPr>
              <w:t>Marital status was categorized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"married"</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for individuals reporting</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either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8"/>
                <w:rFonts w:hint="default" w:ascii="Times New Roman" w:hAnsi="Times New Roman" w:eastAsia="Segoe UI" w:cs="Times New Roman"/>
                <w:b w:val="0"/>
                <w:bCs w:val="0"/>
                <w:i w:val="0"/>
                <w:iCs w:val="0"/>
                <w:caps w:val="0"/>
                <w:color w:val="000000"/>
                <w:spacing w:val="0"/>
                <w:sz w:val="20"/>
                <w:szCs w:val="20"/>
                <w:highlight w:val="none"/>
                <w:shd w:val="clear" w:fill="FFFFFF"/>
              </w:rPr>
              <w:t>married with spouse present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or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8"/>
                <w:rFonts w:hint="default" w:ascii="Times New Roman" w:hAnsi="Times New Roman" w:eastAsia="Segoe UI" w:cs="Times New Roman"/>
                <w:b w:val="0"/>
                <w:bCs w:val="0"/>
                <w:i w:val="0"/>
                <w:iCs w:val="0"/>
                <w:caps w:val="0"/>
                <w:color w:val="000000"/>
                <w:spacing w:val="0"/>
                <w:sz w:val="20"/>
                <w:szCs w:val="20"/>
                <w:highlight w:val="none"/>
                <w:shd w:val="clear" w:fill="FFFFFF"/>
              </w:rPr>
              <w:t>married but not living with the spouse temporarily for reasons such as work</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it was categorized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"single"</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for those</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who were</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separated, divorced, widowed,</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or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never married.</w:t>
            </w:r>
          </w:p>
        </w:tc>
      </w:tr>
      <w:tr w14:paraId="26732E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3D958C64">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Education level</w:t>
            </w:r>
          </w:p>
        </w:tc>
        <w:tc>
          <w:tcPr>
            <w:tcW w:w="3406" w:type="pct"/>
            <w:tcBorders>
              <w:top w:val="nil"/>
            </w:tcBorders>
            <w:shd w:val="clear" w:color="auto" w:fill="FFFFFF"/>
            <w:noWrap/>
            <w:vAlign w:val="bottom"/>
          </w:tcPr>
          <w:p w14:paraId="23B639F8">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jc w:val="left"/>
              <w:rPr>
                <w:rFonts w:hint="default" w:ascii="Times New Roman" w:hAnsi="Times New Roman" w:eastAsia="宋体" w:cs="Times New Roman"/>
                <w:b w:val="0"/>
                <w:bCs w:val="0"/>
                <w:i w:val="0"/>
                <w:iCs w:val="0"/>
                <w:color w:val="000000"/>
                <w:kern w:val="0"/>
                <w:sz w:val="20"/>
                <w:szCs w:val="20"/>
                <w:highlight w:val="none"/>
                <w:lang w:val="en-US" w:eastAsia="zh-CN" w:bidi="ar"/>
              </w:rPr>
            </w:pP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Educational level was categorized as "less than secondary school" for those with no formal education (illiterate), did not finish primary school but </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c</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an </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r</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ead, sishu (private tutoring), elementary school, or middle school; and as "secondary </w:t>
            </w:r>
            <w:r>
              <w:rPr>
                <w:rFonts w:hint="default" w:ascii="Times New Roman" w:hAnsi="Times New Roman" w:eastAsia="宋体" w:cs="Times New Roman"/>
                <w:b w:val="0"/>
                <w:bCs w:val="0"/>
                <w:i w:val="0"/>
                <w:iCs w:val="0"/>
                <w:color w:val="000000"/>
                <w:kern w:val="0"/>
                <w:sz w:val="20"/>
                <w:szCs w:val="20"/>
                <w:highlight w:val="none"/>
                <w:lang w:val="en-US" w:eastAsia="zh-CN" w:bidi="ar"/>
              </w:rPr>
              <w:t xml:space="preserve">school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or above" for individuals holding high school, vocational school, two/three year college, </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four year </w:t>
            </w:r>
            <w:r>
              <w:rPr>
                <w:rFonts w:hint="default" w:ascii="Times New Roman" w:hAnsi="Times New Roman" w:eastAsia="宋体" w:cs="Times New Roman"/>
                <w:b w:val="0"/>
                <w:bCs w:val="0"/>
                <w:i w:val="0"/>
                <w:iCs w:val="0"/>
                <w:color w:val="000000"/>
                <w:kern w:val="0"/>
                <w:sz w:val="20"/>
                <w:szCs w:val="20"/>
                <w:highlight w:val="none"/>
                <w:lang w:val="en-US" w:eastAsia="zh-CN" w:bidi="ar"/>
              </w:rPr>
              <w:t>college/Bachelor's degree</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or post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w:t>
            </w:r>
            <w:r>
              <w:rPr>
                <w:rFonts w:hint="default" w:ascii="Times New Roman" w:hAnsi="Times New Roman" w:eastAsia="Segoe UI" w:cs="Times New Roman"/>
                <w:b w:val="0"/>
                <w:bCs w:val="0"/>
                <w:i w:val="0"/>
                <w:iCs w:val="0"/>
                <w:caps w:val="0"/>
                <w:color w:val="000000"/>
                <w:spacing w:val="0"/>
                <w:sz w:val="20"/>
                <w:szCs w:val="20"/>
                <w:highlight w:val="none"/>
                <w:shd w:val="clear" w:fill="FFFFFF"/>
              </w:rPr>
              <w:t>graduate degree</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w:t>
            </w:r>
          </w:p>
        </w:tc>
      </w:tr>
      <w:tr w14:paraId="006311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22F4A241">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Intrinsic capacity</w:t>
            </w:r>
          </w:p>
        </w:tc>
        <w:tc>
          <w:tcPr>
            <w:tcW w:w="3406" w:type="pct"/>
            <w:tcBorders>
              <w:top w:val="nil"/>
            </w:tcBorders>
            <w:shd w:val="clear" w:color="auto" w:fill="FFFFFF"/>
            <w:noWrap/>
            <w:vAlign w:val="center"/>
          </w:tcPr>
          <w:p w14:paraId="1783D2BF">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bCs w:val="0"/>
                <w:color w:val="000000"/>
                <w:kern w:val="0"/>
                <w:sz w:val="20"/>
                <w:szCs w:val="20"/>
                <w:highlight w:val="none"/>
                <w:lang w:val="en-US" w:eastAsia="zh-CN" w:bidi="ar"/>
              </w:rPr>
              <w:t xml:space="preserve">Intrinsic capacity </w:t>
            </w:r>
            <w:r>
              <w:rPr>
                <w:rFonts w:hint="default" w:ascii="Times New Roman" w:hAnsi="Times New Roman" w:eastAsia="CharisSIL" w:cs="Times New Roman"/>
                <w:b w:val="0"/>
                <w:bCs w:val="0"/>
                <w:color w:val="000000"/>
                <w:kern w:val="0"/>
                <w:sz w:val="20"/>
                <w:szCs w:val="20"/>
                <w:highlight w:val="none"/>
                <w:lang w:val="en-US" w:eastAsia="zh-CN" w:bidi="ar"/>
              </w:rPr>
              <w:t>was assessed by six dimensions: locomotion, vitality, hearing, vision, cognition, and psychology. Each dimension was scored as 1 point for intact function and 0 points for impaired function, with a total score of 0</w:t>
            </w:r>
            <w:r>
              <w:rPr>
                <w:rFonts w:hint="default" w:ascii="Times New Roman" w:hAnsi="Times New Roman" w:eastAsia="STIX-Regular" w:cs="Times New Roman"/>
                <w:b w:val="0"/>
                <w:bCs w:val="0"/>
                <w:color w:val="000000"/>
                <w:kern w:val="0"/>
                <w:sz w:val="20"/>
                <w:szCs w:val="20"/>
                <w:highlight w:val="none"/>
                <w:lang w:val="en-US" w:eastAsia="zh-CN" w:bidi="ar"/>
              </w:rPr>
              <w:t>–</w:t>
            </w:r>
            <w:r>
              <w:rPr>
                <w:rFonts w:hint="default" w:ascii="Times New Roman" w:hAnsi="Times New Roman" w:eastAsia="CharisSIL" w:cs="Times New Roman"/>
                <w:b w:val="0"/>
                <w:bCs w:val="0"/>
                <w:color w:val="000000"/>
                <w:kern w:val="0"/>
                <w:sz w:val="20"/>
                <w:szCs w:val="20"/>
                <w:highlight w:val="none"/>
                <w:lang w:val="en-US" w:eastAsia="zh-CN" w:bidi="ar"/>
              </w:rPr>
              <w:t xml:space="preserve">6. A total score of five or less was defined as a decrease in </w:t>
            </w:r>
            <w:r>
              <w:rPr>
                <w:rFonts w:hint="default" w:ascii="Times New Roman" w:hAnsi="Times New Roman" w:eastAsia="宋体" w:cs="Times New Roman"/>
                <w:b w:val="0"/>
                <w:bCs w:val="0"/>
                <w:color w:val="000000"/>
                <w:kern w:val="0"/>
                <w:sz w:val="20"/>
                <w:szCs w:val="20"/>
                <w:highlight w:val="none"/>
                <w:lang w:val="en-US" w:eastAsia="zh-CN" w:bidi="ar"/>
              </w:rPr>
              <w:t>intrinsic capacity</w:t>
            </w:r>
            <w:r>
              <w:rPr>
                <w:rFonts w:hint="default" w:ascii="Times New Roman" w:hAnsi="Times New Roman" w:eastAsia="CharisSIL" w:cs="Times New Roman"/>
                <w:b w:val="0"/>
                <w:bCs w:val="0"/>
                <w:color w:val="000000"/>
                <w:kern w:val="0"/>
                <w:sz w:val="20"/>
                <w:szCs w:val="20"/>
                <w:highlight w:val="none"/>
                <w:lang w:val="en-US" w:eastAsia="zh-CN" w:bidi="ar"/>
              </w:rPr>
              <w:t xml:space="preserve">. Therefore, </w:t>
            </w:r>
            <w:r>
              <w:rPr>
                <w:rFonts w:hint="default" w:ascii="Times New Roman" w:hAnsi="Times New Roman" w:eastAsia="宋体" w:cs="Times New Roman"/>
                <w:b w:val="0"/>
                <w:bCs w:val="0"/>
                <w:color w:val="000000"/>
                <w:kern w:val="0"/>
                <w:sz w:val="20"/>
                <w:szCs w:val="20"/>
                <w:highlight w:val="none"/>
                <w:lang w:val="en-US" w:eastAsia="zh-CN" w:bidi="ar"/>
              </w:rPr>
              <w:t xml:space="preserve">intrinsic capacity was categorized as 6 or ≤5. </w:t>
            </w:r>
          </w:p>
        </w:tc>
      </w:tr>
      <w:tr w14:paraId="41B61E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627BCA8A">
            <w:pPr>
              <w:keepNext w:val="0"/>
              <w:keepLines w:val="0"/>
              <w:pageBreakBefore w:val="0"/>
              <w:widowControl/>
              <w:kinsoku/>
              <w:wordWrap/>
              <w:overflowPunct/>
              <w:topLinePunct w:val="0"/>
              <w:autoSpaceDE/>
              <w:autoSpaceDN/>
              <w:bidi w:val="0"/>
              <w:adjustRightInd/>
              <w:snapToGrid/>
              <w:spacing w:beforeAutospacing="0" w:line="360" w:lineRule="auto"/>
              <w:ind w:left="0" w:leftChars="0" w:firstLine="0" w:firstLineChars="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等线" w:cs="Times New Roman"/>
                <w:b w:val="0"/>
                <w:color w:val="000000"/>
                <w:kern w:val="0"/>
                <w:sz w:val="20"/>
                <w:szCs w:val="20"/>
                <w:highlight w:val="none"/>
                <w:lang w:val="en-US" w:eastAsia="zh-CN"/>
              </w:rPr>
              <w:t>Number of chronic conditions</w:t>
            </w:r>
          </w:p>
        </w:tc>
        <w:tc>
          <w:tcPr>
            <w:tcW w:w="3406" w:type="pct"/>
            <w:tcBorders>
              <w:top w:val="nil"/>
            </w:tcBorders>
            <w:shd w:val="clear" w:color="auto" w:fill="FFFFFF"/>
            <w:noWrap/>
            <w:vAlign w:val="center"/>
          </w:tcPr>
          <w:p w14:paraId="72EB0F50">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CharisSIL" w:cs="Times New Roman"/>
                <w:b w:val="0"/>
                <w:bCs w:val="0"/>
                <w:color w:val="000000"/>
                <w:kern w:val="0"/>
                <w:sz w:val="20"/>
                <w:szCs w:val="20"/>
                <w:highlight w:val="none"/>
                <w:lang w:val="en-US" w:eastAsia="zh-CN" w:bidi="ar"/>
              </w:rPr>
            </w:pPr>
            <w:r>
              <w:rPr>
                <w:rFonts w:hint="default" w:ascii="Times New Roman" w:hAnsi="Times New Roman" w:eastAsia="CharisSIL" w:cs="Times New Roman"/>
                <w:b w:val="0"/>
                <w:bCs w:val="0"/>
                <w:color w:val="000000"/>
                <w:kern w:val="0"/>
                <w:sz w:val="20"/>
                <w:szCs w:val="20"/>
                <w:highlight w:val="none"/>
                <w:lang w:val="en-US" w:eastAsia="zh-CN" w:bidi="ar"/>
              </w:rPr>
              <w:t>Participants were stratified into three groups based on 14 self-reported non-communicable chronic diseases: no chronic disease, single chronic disease, and multimorbidity (≥2 chronic diseases). The evaluated non-communicable chronic diseases included hypertension, dyslipidemia, diabetes, cancer, chronic lung disease, liver disease, heart problem, stroke, kidney disease, asthma, psychiatric problems, digestive disease, memory-related disease and arthritis.</w:t>
            </w:r>
          </w:p>
        </w:tc>
      </w:tr>
      <w:tr w14:paraId="4152FB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4129B409">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CharisSIL" w:cs="Times New Roman"/>
                <w:b w:val="0"/>
                <w:bCs w:val="0"/>
                <w:color w:val="000000"/>
                <w:kern w:val="0"/>
                <w:sz w:val="20"/>
                <w:szCs w:val="20"/>
                <w:highlight w:val="none"/>
                <w:lang w:val="en-US" w:eastAsia="zh-CN" w:bidi="ar"/>
              </w:rPr>
              <w:t>CMM</w:t>
            </w:r>
          </w:p>
        </w:tc>
        <w:tc>
          <w:tcPr>
            <w:tcW w:w="3406" w:type="pct"/>
            <w:tcBorders>
              <w:top w:val="nil"/>
            </w:tcBorders>
            <w:shd w:val="clear" w:color="auto" w:fill="FFFFFF"/>
            <w:noWrap/>
            <w:vAlign w:val="bottom"/>
          </w:tcPr>
          <w:p w14:paraId="6DB41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jc w:val="both"/>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CharisSIL" w:cs="Times New Roman"/>
                <w:b w:val="0"/>
                <w:bCs w:val="0"/>
                <w:color w:val="000000"/>
                <w:kern w:val="0"/>
                <w:sz w:val="20"/>
                <w:szCs w:val="20"/>
                <w:highlight w:val="none"/>
                <w:lang w:val="en-US" w:eastAsia="zh-CN" w:bidi="ar"/>
              </w:rPr>
              <w:t xml:space="preserve">CMM was defined as the coexistence of two or more physician-diagnosed conditions among heart disease, diabetes, stroke, and/or hypertension. </w:t>
            </w:r>
          </w:p>
        </w:tc>
      </w:tr>
      <w:tr w14:paraId="537C32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4495A653">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i w:val="0"/>
                <w:iCs w:val="0"/>
                <w:color w:val="000000"/>
                <w:kern w:val="0"/>
                <w:sz w:val="20"/>
                <w:szCs w:val="20"/>
                <w:highlight w:val="none"/>
                <w:u w:val="none"/>
                <w:lang w:val="en-US" w:eastAsia="zh-CN" w:bidi="ar"/>
              </w:rPr>
              <w:t>ADL disability</w:t>
            </w:r>
          </w:p>
        </w:tc>
        <w:tc>
          <w:tcPr>
            <w:tcW w:w="3406" w:type="pct"/>
            <w:tcBorders>
              <w:top w:val="nil"/>
            </w:tcBorders>
            <w:shd w:val="clear" w:color="auto" w:fill="FFFFFF"/>
            <w:noWrap/>
            <w:vAlign w:val="bottom"/>
          </w:tcPr>
          <w:p w14:paraId="16D17B90">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等线" w:cs="Times New Roman"/>
                <w:b w:val="0"/>
                <w:color w:val="000000"/>
                <w:kern w:val="0"/>
                <w:sz w:val="20"/>
                <w:szCs w:val="20"/>
                <w:highlight w:val="none"/>
              </w:rPr>
              <w:t xml:space="preserve">ADL </w:t>
            </w:r>
            <w:r>
              <w:rPr>
                <w:rFonts w:hint="default" w:ascii="Times New Roman" w:hAnsi="Times New Roman" w:eastAsia="等线" w:cs="Times New Roman"/>
                <w:b w:val="0"/>
                <w:color w:val="000000"/>
                <w:kern w:val="0"/>
                <w:sz w:val="20"/>
                <w:szCs w:val="20"/>
                <w:highlight w:val="none"/>
                <w:lang w:val="en-US" w:eastAsia="zh-CN"/>
              </w:rPr>
              <w:t>was</w:t>
            </w:r>
            <w:r>
              <w:rPr>
                <w:rFonts w:hint="default" w:ascii="Times New Roman" w:hAnsi="Times New Roman" w:eastAsia="等线" w:cs="Times New Roman"/>
                <w:b w:val="0"/>
                <w:color w:val="000000"/>
                <w:kern w:val="0"/>
                <w:sz w:val="20"/>
                <w:szCs w:val="20"/>
                <w:highlight w:val="none"/>
              </w:rPr>
              <w:t xml:space="preserve"> assessed by reporting difficulty in dressing, bathing, eating, getting into or out of bed, going to the toilet, and controlling urination and defecation. Difficulty in any item was recorded as 1, and 0 otherwise</w:t>
            </w:r>
            <w:r>
              <w:rPr>
                <w:rFonts w:hint="default" w:ascii="Times New Roman" w:hAnsi="Times New Roman" w:eastAsia="等线" w:cs="Times New Roman"/>
                <w:b w:val="0"/>
                <w:color w:val="000000"/>
                <w:kern w:val="0"/>
                <w:sz w:val="20"/>
                <w:szCs w:val="20"/>
                <w:highlight w:val="none"/>
                <w:lang w:val="en-US" w:eastAsia="zh-CN"/>
              </w:rPr>
              <w:t>.</w:t>
            </w:r>
          </w:p>
        </w:tc>
      </w:tr>
      <w:tr w14:paraId="2EC782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69590D13">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i w:val="0"/>
                <w:iCs w:val="0"/>
                <w:color w:val="000000"/>
                <w:kern w:val="0"/>
                <w:sz w:val="20"/>
                <w:szCs w:val="20"/>
                <w:highlight w:val="none"/>
                <w:u w:val="none"/>
                <w:lang w:val="en-US" w:eastAsia="zh-CN" w:bidi="ar"/>
              </w:rPr>
              <w:t>IADL disability</w:t>
            </w:r>
          </w:p>
        </w:tc>
        <w:tc>
          <w:tcPr>
            <w:tcW w:w="3406" w:type="pct"/>
            <w:tcBorders>
              <w:top w:val="nil"/>
            </w:tcBorders>
            <w:shd w:val="clear" w:color="auto" w:fill="FFFFFF"/>
            <w:noWrap/>
            <w:vAlign w:val="bottom"/>
          </w:tcPr>
          <w:p w14:paraId="7B84CC20">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等线" w:cs="Times New Roman"/>
                <w:b w:val="0"/>
                <w:color w:val="000000"/>
                <w:kern w:val="0"/>
                <w:sz w:val="20"/>
                <w:szCs w:val="20"/>
                <w:highlight w:val="none"/>
              </w:rPr>
              <w:t>For IADL, each subject was asked whether he or she had difficulty in doing household chores, preparing hot meals, shopping, managing money and taking medications</w:t>
            </w:r>
            <w:r>
              <w:rPr>
                <w:rFonts w:hint="default" w:ascii="Times New Roman" w:hAnsi="Times New Roman" w:eastAsia="等线" w:cs="Times New Roman"/>
                <w:b w:val="0"/>
                <w:color w:val="000000"/>
                <w:kern w:val="0"/>
                <w:sz w:val="20"/>
                <w:szCs w:val="20"/>
                <w:highlight w:val="none"/>
                <w:lang w:val="en-US" w:eastAsia="zh-CN"/>
              </w:rPr>
              <w:t xml:space="preserve">. </w:t>
            </w:r>
            <w:r>
              <w:rPr>
                <w:rFonts w:hint="default" w:ascii="Times New Roman" w:hAnsi="Times New Roman" w:eastAsia="等线" w:cs="Times New Roman"/>
                <w:b w:val="0"/>
                <w:color w:val="000000"/>
                <w:kern w:val="0"/>
                <w:sz w:val="20"/>
                <w:szCs w:val="20"/>
                <w:highlight w:val="none"/>
              </w:rPr>
              <w:t>Difficulty in any item was recorded as 1, and 0 otherwise</w:t>
            </w:r>
            <w:r>
              <w:rPr>
                <w:rFonts w:hint="default" w:ascii="Times New Roman" w:hAnsi="Times New Roman" w:eastAsia="等线" w:cs="Times New Roman"/>
                <w:b w:val="0"/>
                <w:color w:val="000000"/>
                <w:kern w:val="0"/>
                <w:sz w:val="20"/>
                <w:szCs w:val="20"/>
                <w:highlight w:val="none"/>
                <w:lang w:val="en-US" w:eastAsia="zh-CN"/>
              </w:rPr>
              <w:t>.</w:t>
            </w:r>
          </w:p>
        </w:tc>
      </w:tr>
      <w:tr w14:paraId="009E9F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93" w:type="pct"/>
            <w:tcBorders>
              <w:top w:val="nil"/>
            </w:tcBorders>
            <w:shd w:val="clear" w:color="auto" w:fill="FFFFFF"/>
            <w:noWrap/>
            <w:vAlign w:val="center"/>
          </w:tcPr>
          <w:p w14:paraId="7E9D5BAB">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等线" w:cs="Times New Roman"/>
                <w:b w:val="0"/>
                <w:color w:val="000000"/>
                <w:kern w:val="0"/>
                <w:sz w:val="20"/>
                <w:szCs w:val="20"/>
                <w:highlight w:val="none"/>
                <w:lang w:val="en-US" w:eastAsia="zh-CN"/>
              </w:rPr>
              <w:t>BMI</w:t>
            </w:r>
          </w:p>
        </w:tc>
        <w:tc>
          <w:tcPr>
            <w:tcW w:w="3406" w:type="pct"/>
            <w:tcBorders>
              <w:top w:val="nil"/>
            </w:tcBorders>
            <w:shd w:val="clear" w:color="auto" w:fill="FFFFFF"/>
            <w:noWrap/>
            <w:vAlign w:val="center"/>
          </w:tcPr>
          <w:p w14:paraId="59E36CB1">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QxtdgsAdvTT86d47313" w:cs="Times New Roman"/>
                <w:b w:val="0"/>
                <w:bCs w:val="0"/>
                <w:color w:val="000000"/>
                <w:kern w:val="0"/>
                <w:sz w:val="20"/>
                <w:szCs w:val="20"/>
                <w:highlight w:val="none"/>
                <w:vertAlign w:val="baseli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BMI</w:t>
            </w:r>
            <w:r>
              <w:rPr>
                <w:rFonts w:hint="default" w:ascii="Times New Roman" w:hAnsi="Times New Roman" w:eastAsia="QxtdgsAdvTT86d47313" w:cs="Times New Roman"/>
                <w:b w:val="0"/>
                <w:bCs w:val="0"/>
                <w:color w:val="000000"/>
                <w:kern w:val="0"/>
                <w:sz w:val="20"/>
                <w:szCs w:val="20"/>
                <w:highlight w:val="none"/>
                <w:lang w:val="en-US" w:eastAsia="zh-CN" w:bidi="ar"/>
              </w:rPr>
              <w:t xml:space="preserve"> was calculated as the weight in kilograms divided by the square of the height in meters and was categorized as follows: &lt; 18.5 (</w:t>
            </w:r>
            <w:r>
              <w:rPr>
                <w:rFonts w:hint="default" w:ascii="Times New Roman" w:hAnsi="Times New Roman" w:eastAsia="宋体" w:cs="Times New Roman"/>
                <w:b w:val="0"/>
                <w:i w:val="0"/>
                <w:iCs w:val="0"/>
                <w:color w:val="000000"/>
                <w:kern w:val="0"/>
                <w:sz w:val="20"/>
                <w:szCs w:val="20"/>
                <w:highlight w:val="none"/>
                <w:u w:val="none"/>
                <w:lang w:val="en-US" w:eastAsia="zh-CN" w:bidi="ar"/>
              </w:rPr>
              <w:t>Underweight</w:t>
            </w:r>
            <w:r>
              <w:rPr>
                <w:rFonts w:hint="default" w:ascii="Times New Roman" w:hAnsi="Times New Roman" w:eastAsia="QxtdgsAdvTT86d47313" w:cs="Times New Roman"/>
                <w:b w:val="0"/>
                <w:bCs w:val="0"/>
                <w:color w:val="000000"/>
                <w:kern w:val="0"/>
                <w:sz w:val="20"/>
                <w:szCs w:val="20"/>
                <w:highlight w:val="none"/>
                <w:lang w:val="en-US" w:eastAsia="zh-CN" w:bidi="ar"/>
              </w:rPr>
              <w:t>), 18.5</w:t>
            </w:r>
            <w:r>
              <w:rPr>
                <w:rFonts w:hint="default" w:ascii="Times New Roman" w:hAnsi="Times New Roman" w:eastAsia="JbgwvmAdvTT86d47313+20" w:cs="Times New Roman"/>
                <w:b w:val="0"/>
                <w:bCs w:val="0"/>
                <w:color w:val="000000"/>
                <w:kern w:val="0"/>
                <w:sz w:val="20"/>
                <w:szCs w:val="20"/>
                <w:highlight w:val="none"/>
                <w:lang w:val="en-US" w:eastAsia="zh-CN" w:bidi="ar"/>
              </w:rPr>
              <w:t>–</w:t>
            </w:r>
            <w:r>
              <w:rPr>
                <w:rFonts w:hint="default" w:ascii="Times New Roman" w:hAnsi="Times New Roman" w:eastAsia="QxtdgsAdvTT86d47313" w:cs="Times New Roman"/>
                <w:b w:val="0"/>
                <w:bCs w:val="0"/>
                <w:color w:val="000000"/>
                <w:kern w:val="0"/>
                <w:sz w:val="20"/>
                <w:szCs w:val="20"/>
                <w:highlight w:val="none"/>
                <w:lang w:val="en-US" w:eastAsia="zh-CN" w:bidi="ar"/>
              </w:rPr>
              <w:t>24 (</w:t>
            </w:r>
            <w:r>
              <w:rPr>
                <w:rFonts w:hint="default" w:ascii="Times New Roman" w:hAnsi="Times New Roman" w:eastAsia="宋体" w:cs="Times New Roman"/>
                <w:b w:val="0"/>
                <w:i w:val="0"/>
                <w:iCs w:val="0"/>
                <w:color w:val="000000"/>
                <w:kern w:val="0"/>
                <w:sz w:val="20"/>
                <w:szCs w:val="20"/>
                <w:highlight w:val="none"/>
                <w:u w:val="none"/>
                <w:lang w:val="en-US" w:eastAsia="zh-CN" w:bidi="ar"/>
              </w:rPr>
              <w:t>Normal</w:t>
            </w:r>
            <w:r>
              <w:rPr>
                <w:rFonts w:hint="default" w:ascii="Times New Roman" w:hAnsi="Times New Roman" w:eastAsia="QxtdgsAdvTT86d47313" w:cs="Times New Roman"/>
                <w:b w:val="0"/>
                <w:bCs w:val="0"/>
                <w:color w:val="000000"/>
                <w:kern w:val="0"/>
                <w:sz w:val="20"/>
                <w:szCs w:val="20"/>
                <w:highlight w:val="none"/>
                <w:lang w:val="en-US" w:eastAsia="zh-CN" w:bidi="ar"/>
              </w:rPr>
              <w:t>), 24.0</w:t>
            </w:r>
            <w:r>
              <w:rPr>
                <w:rFonts w:hint="default" w:ascii="Times New Roman" w:hAnsi="Times New Roman" w:eastAsia="JbgwvmAdvTT86d47313+20" w:cs="Times New Roman"/>
                <w:b w:val="0"/>
                <w:bCs w:val="0"/>
                <w:color w:val="000000"/>
                <w:kern w:val="0"/>
                <w:sz w:val="20"/>
                <w:szCs w:val="20"/>
                <w:highlight w:val="none"/>
                <w:lang w:val="en-US" w:eastAsia="zh-CN" w:bidi="ar"/>
              </w:rPr>
              <w:t>–</w:t>
            </w:r>
            <w:r>
              <w:rPr>
                <w:rFonts w:hint="default" w:ascii="Times New Roman" w:hAnsi="Times New Roman" w:eastAsia="QxtdgsAdvTT86d47313" w:cs="Times New Roman"/>
                <w:b w:val="0"/>
                <w:bCs w:val="0"/>
                <w:color w:val="000000"/>
                <w:kern w:val="0"/>
                <w:sz w:val="20"/>
                <w:szCs w:val="20"/>
                <w:highlight w:val="none"/>
                <w:lang w:val="en-US" w:eastAsia="zh-CN" w:bidi="ar"/>
              </w:rPr>
              <w:t>28 (</w:t>
            </w:r>
            <w:r>
              <w:rPr>
                <w:rFonts w:hint="default" w:ascii="Times New Roman" w:hAnsi="Times New Roman" w:eastAsia="宋体" w:cs="Times New Roman"/>
                <w:b w:val="0"/>
                <w:i w:val="0"/>
                <w:iCs w:val="0"/>
                <w:color w:val="000000"/>
                <w:kern w:val="0"/>
                <w:sz w:val="20"/>
                <w:szCs w:val="20"/>
                <w:highlight w:val="none"/>
                <w:u w:val="none"/>
                <w:lang w:val="en-US" w:eastAsia="zh-CN" w:bidi="ar"/>
              </w:rPr>
              <w:t>Overweight</w:t>
            </w:r>
            <w:r>
              <w:rPr>
                <w:rFonts w:hint="default" w:ascii="Times New Roman" w:hAnsi="Times New Roman" w:eastAsia="QxtdgsAdvTT86d47313" w:cs="Times New Roman"/>
                <w:b w:val="0"/>
                <w:bCs w:val="0"/>
                <w:color w:val="000000"/>
                <w:kern w:val="0"/>
                <w:sz w:val="20"/>
                <w:szCs w:val="20"/>
                <w:highlight w:val="none"/>
                <w:lang w:val="en-US" w:eastAsia="zh-CN" w:bidi="ar"/>
              </w:rPr>
              <w:t xml:space="preserve">), and </w:t>
            </w:r>
            <w:r>
              <w:rPr>
                <w:rFonts w:hint="default" w:ascii="Times New Roman" w:hAnsi="Times New Roman" w:eastAsia="BbwybnAdvTT86d47313+22" w:cs="Times New Roman"/>
                <w:b w:val="0"/>
                <w:bCs w:val="0"/>
                <w:color w:val="000000"/>
                <w:kern w:val="0"/>
                <w:sz w:val="20"/>
                <w:szCs w:val="20"/>
                <w:highlight w:val="none"/>
                <w:lang w:val="en-US" w:eastAsia="zh-CN" w:bidi="ar"/>
              </w:rPr>
              <w:t xml:space="preserve">≥ </w:t>
            </w:r>
            <w:r>
              <w:rPr>
                <w:rFonts w:hint="default" w:ascii="Times New Roman" w:hAnsi="Times New Roman" w:eastAsia="QxtdgsAdvTT86d47313" w:cs="Times New Roman"/>
                <w:b w:val="0"/>
                <w:bCs w:val="0"/>
                <w:color w:val="000000"/>
                <w:kern w:val="0"/>
                <w:sz w:val="20"/>
                <w:szCs w:val="20"/>
                <w:highlight w:val="none"/>
                <w:lang w:val="en-US" w:eastAsia="zh-CN" w:bidi="ar"/>
              </w:rPr>
              <w:t>28.0 (</w:t>
            </w:r>
            <w:r>
              <w:rPr>
                <w:rFonts w:hint="default" w:ascii="Times New Roman" w:hAnsi="Times New Roman" w:eastAsia="宋体" w:cs="Times New Roman"/>
                <w:b w:val="0"/>
                <w:i w:val="0"/>
                <w:iCs w:val="0"/>
                <w:color w:val="000000"/>
                <w:kern w:val="0"/>
                <w:sz w:val="20"/>
                <w:szCs w:val="20"/>
                <w:highlight w:val="none"/>
                <w:u w:val="none"/>
                <w:lang w:val="en-US" w:eastAsia="zh-CN" w:bidi="ar"/>
              </w:rPr>
              <w:t>Obesity</w:t>
            </w:r>
            <w:r>
              <w:rPr>
                <w:rFonts w:hint="default" w:ascii="Times New Roman" w:hAnsi="Times New Roman" w:eastAsia="QxtdgsAdvTT86d47313" w:cs="Times New Roman"/>
                <w:b w:val="0"/>
                <w:bCs w:val="0"/>
                <w:color w:val="000000"/>
                <w:kern w:val="0"/>
                <w:sz w:val="20"/>
                <w:szCs w:val="20"/>
                <w:highlight w:val="none"/>
                <w:lang w:val="en-US" w:eastAsia="zh-CN" w:bidi="ar"/>
              </w:rPr>
              <w:t>) kg/m</w:t>
            </w:r>
            <w:r>
              <w:rPr>
                <w:rFonts w:hint="default" w:ascii="Times New Roman" w:hAnsi="Times New Roman" w:eastAsia="QxtdgsAdvTT86d47313" w:cs="Times New Roman"/>
                <w:b w:val="0"/>
                <w:bCs w:val="0"/>
                <w:color w:val="000000"/>
                <w:kern w:val="0"/>
                <w:sz w:val="20"/>
                <w:szCs w:val="20"/>
                <w:highlight w:val="none"/>
                <w:vertAlign w:val="superscript"/>
                <w:lang w:val="en-US" w:eastAsia="zh-CN" w:bidi="ar"/>
              </w:rPr>
              <w:t>2</w:t>
            </w:r>
            <w:r>
              <w:rPr>
                <w:rFonts w:hint="default" w:ascii="Times New Roman" w:hAnsi="Times New Roman" w:eastAsia="QxtdgsAdvTT86d47313" w:cs="Times New Roman"/>
                <w:b w:val="0"/>
                <w:bCs w:val="0"/>
                <w:color w:val="000000"/>
                <w:kern w:val="0"/>
                <w:sz w:val="20"/>
                <w:szCs w:val="20"/>
                <w:highlight w:val="none"/>
                <w:vertAlign w:val="baseline"/>
                <w:lang w:val="en-US" w:eastAsia="zh-CN" w:bidi="ar"/>
              </w:rPr>
              <w:t>.</w:t>
            </w:r>
          </w:p>
        </w:tc>
      </w:tr>
      <w:tr w14:paraId="7A9F77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58A52991">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WarnockPro-Regular" w:cs="Times New Roman"/>
                <w:b w:val="0"/>
                <w:bCs w:val="0"/>
                <w:color w:val="000000"/>
                <w:kern w:val="0"/>
                <w:sz w:val="20"/>
                <w:szCs w:val="20"/>
                <w:highlight w:val="none"/>
                <w:lang w:val="en-US" w:eastAsia="zh-CN" w:bidi="ar"/>
              </w:rPr>
              <w:t>Systolic blood pressure</w:t>
            </w:r>
          </w:p>
        </w:tc>
        <w:tc>
          <w:tcPr>
            <w:tcW w:w="3406" w:type="pct"/>
            <w:tcBorders>
              <w:top w:val="nil"/>
            </w:tcBorders>
            <w:shd w:val="clear" w:color="auto" w:fill="FFFFFF"/>
            <w:noWrap/>
            <w:vAlign w:val="bottom"/>
          </w:tcPr>
          <w:p w14:paraId="6DCA9717">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color w:val="000000"/>
                <w:kern w:val="0"/>
                <w:sz w:val="20"/>
                <w:szCs w:val="20"/>
                <w:highlight w:val="none"/>
                <w:lang w:val="en-US" w:eastAsia="zh-CN" w:bidi="ar-SA"/>
              </w:rPr>
            </w:pPr>
            <w:r>
              <w:rPr>
                <w:rFonts w:hint="default" w:ascii="Times New Roman" w:hAnsi="Times New Roman" w:eastAsia="WarnockPro-Regular" w:cs="Times New Roman"/>
                <w:b w:val="0"/>
                <w:bCs w:val="0"/>
                <w:color w:val="000000"/>
                <w:kern w:val="0"/>
                <w:sz w:val="20"/>
                <w:szCs w:val="20"/>
                <w:highlight w:val="none"/>
                <w:lang w:val="en-US" w:eastAsia="zh-CN" w:bidi="ar"/>
              </w:rPr>
              <w:t>Systolic blood pressure was</w:t>
            </w:r>
            <w:r>
              <w:rPr>
                <w:rFonts w:hint="default" w:ascii="Times New Roman" w:hAnsi="Times New Roman" w:eastAsia="宋体" w:cs="Times New Roman"/>
                <w:b w:val="0"/>
                <w:bCs w:val="0"/>
                <w:color w:val="000000"/>
                <w:kern w:val="0"/>
                <w:sz w:val="20"/>
                <w:szCs w:val="20"/>
                <w:highlight w:val="none"/>
                <w:lang w:val="en-US" w:eastAsia="zh-CN" w:bidi="ar"/>
              </w:rPr>
              <w:t xml:space="preserve"> defined as </w:t>
            </w:r>
            <w:r>
              <w:rPr>
                <w:rFonts w:hint="default" w:ascii="Times New Roman" w:hAnsi="Times New Roman" w:eastAsia="WarnockPro-Regular" w:cs="Times New Roman"/>
                <w:b w:val="0"/>
                <w:bCs w:val="0"/>
                <w:color w:val="000000"/>
                <w:kern w:val="0"/>
                <w:sz w:val="20"/>
                <w:szCs w:val="20"/>
                <w:highlight w:val="none"/>
                <w:lang w:val="en-US" w:eastAsia="zh-CN" w:bidi="ar"/>
              </w:rPr>
              <w:t>the average of the second and third blood pressure readings to determine the blood pressure level.</w:t>
            </w:r>
          </w:p>
        </w:tc>
      </w:tr>
      <w:tr w14:paraId="4FDC87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25A06303">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Diastolic blood pressure</w:t>
            </w:r>
          </w:p>
        </w:tc>
        <w:tc>
          <w:tcPr>
            <w:tcW w:w="3406" w:type="pct"/>
            <w:tcBorders>
              <w:top w:val="nil"/>
            </w:tcBorders>
            <w:shd w:val="clear" w:color="auto" w:fill="FFFFFF"/>
            <w:noWrap/>
            <w:vAlign w:val="bottom"/>
          </w:tcPr>
          <w:p w14:paraId="609517A1">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Diastolic</w:t>
            </w:r>
            <w:r>
              <w:rPr>
                <w:rFonts w:hint="default" w:ascii="Times New Roman" w:hAnsi="Times New Roman" w:eastAsia="WarnockPro-Regular" w:cs="Times New Roman"/>
                <w:b w:val="0"/>
                <w:bCs w:val="0"/>
                <w:color w:val="000000"/>
                <w:kern w:val="0"/>
                <w:sz w:val="20"/>
                <w:szCs w:val="20"/>
                <w:highlight w:val="none"/>
                <w:lang w:val="en-US" w:eastAsia="zh-CN" w:bidi="ar"/>
              </w:rPr>
              <w:t xml:space="preserve"> blood pressure was</w:t>
            </w:r>
            <w:r>
              <w:rPr>
                <w:rFonts w:hint="default" w:ascii="Times New Roman" w:hAnsi="Times New Roman" w:eastAsia="宋体" w:cs="Times New Roman"/>
                <w:b w:val="0"/>
                <w:bCs w:val="0"/>
                <w:color w:val="000000"/>
                <w:kern w:val="0"/>
                <w:sz w:val="20"/>
                <w:szCs w:val="20"/>
                <w:highlight w:val="none"/>
                <w:lang w:val="en-US" w:eastAsia="zh-CN" w:bidi="ar"/>
              </w:rPr>
              <w:t xml:space="preserve"> defined as </w:t>
            </w:r>
            <w:r>
              <w:rPr>
                <w:rFonts w:hint="default" w:ascii="Times New Roman" w:hAnsi="Times New Roman" w:eastAsia="WarnockPro-Regular" w:cs="Times New Roman"/>
                <w:b w:val="0"/>
                <w:bCs w:val="0"/>
                <w:color w:val="000000"/>
                <w:kern w:val="0"/>
                <w:sz w:val="20"/>
                <w:szCs w:val="20"/>
                <w:highlight w:val="none"/>
                <w:lang w:val="en-US" w:eastAsia="zh-CN" w:bidi="ar"/>
              </w:rPr>
              <w:t>the average of the second and third blood pressure readings to determine the blood pressure level.</w:t>
            </w:r>
          </w:p>
        </w:tc>
      </w:tr>
      <w:tr w14:paraId="54219C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1593" w:type="pct"/>
            <w:tcBorders>
              <w:top w:val="nil"/>
            </w:tcBorders>
            <w:shd w:val="clear" w:color="auto" w:fill="FFFFFF"/>
            <w:noWrap/>
            <w:vAlign w:val="center"/>
          </w:tcPr>
          <w:p w14:paraId="6857EA8E">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QxtdgsAdvTT86d47313" w:cs="Times New Roman"/>
                <w:b w:val="0"/>
                <w:bCs w:val="0"/>
                <w:color w:val="000000"/>
                <w:kern w:val="0"/>
                <w:sz w:val="20"/>
                <w:szCs w:val="20"/>
                <w:highlight w:val="none"/>
                <w:lang w:val="en-US" w:eastAsia="zh-CN" w:bidi="ar"/>
              </w:rPr>
              <w:t>Intelligence score</w:t>
            </w:r>
          </w:p>
        </w:tc>
        <w:tc>
          <w:tcPr>
            <w:tcW w:w="3406" w:type="pct"/>
            <w:tcBorders>
              <w:top w:val="nil"/>
            </w:tcBorders>
            <w:shd w:val="clear" w:color="auto" w:fill="FFFFFF"/>
            <w:noWrap/>
            <w:vAlign w:val="bottom"/>
          </w:tcPr>
          <w:p w14:paraId="4795EAC6">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QxtdgsAdvTT86d47313" w:cs="Times New Roman"/>
                <w:b w:val="0"/>
                <w:bCs w:val="0"/>
                <w:color w:val="000000"/>
                <w:kern w:val="0"/>
                <w:sz w:val="20"/>
                <w:szCs w:val="20"/>
                <w:highlight w:val="none"/>
                <w:lang w:val="en-US" w:eastAsia="zh-CN" w:bidi="ar"/>
              </w:rPr>
            </w:pPr>
            <w:r>
              <w:rPr>
                <w:rFonts w:hint="default" w:ascii="Times New Roman" w:hAnsi="Times New Roman" w:eastAsia="QxtdgsAdvTT86d47313" w:cs="Times New Roman"/>
                <w:b w:val="0"/>
                <w:bCs w:val="0"/>
                <w:color w:val="000000"/>
                <w:kern w:val="0"/>
                <w:sz w:val="20"/>
                <w:szCs w:val="20"/>
                <w:highlight w:val="none"/>
                <w:lang w:val="en-US" w:eastAsia="zh-CN" w:bidi="ar"/>
              </w:rPr>
              <w:t xml:space="preserve">Four intellectual activities (playing Mahjong, cards, or chess; attending an educational or training course; investing in stock; and surfing the internet) in the past month were assessed in the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QxtdgsAdvTT86d47313" w:cs="Times New Roman"/>
                <w:b w:val="0"/>
                <w:bCs w:val="0"/>
                <w:color w:val="000000"/>
                <w:kern w:val="0"/>
                <w:sz w:val="20"/>
                <w:szCs w:val="20"/>
                <w:highlight w:val="none"/>
                <w:lang w:val="en-US" w:eastAsia="zh-CN" w:bidi="ar"/>
              </w:rPr>
              <w:t>health status and function</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JbgwvmAdvTT86d47313+20" w:cs="Times New Roman"/>
                <w:b w:val="0"/>
                <w:bCs w:val="0"/>
                <w:color w:val="000000"/>
                <w:kern w:val="0"/>
                <w:sz w:val="20"/>
                <w:szCs w:val="20"/>
                <w:highlight w:val="none"/>
                <w:lang w:val="en-US" w:eastAsia="zh-CN" w:bidi="ar"/>
              </w:rPr>
              <w:t xml:space="preserve"> </w:t>
            </w:r>
            <w:r>
              <w:rPr>
                <w:rFonts w:hint="default" w:ascii="Times New Roman" w:hAnsi="Times New Roman" w:eastAsia="QxtdgsAdvTT86d47313" w:cs="Times New Roman"/>
                <w:b w:val="0"/>
                <w:bCs w:val="0"/>
                <w:color w:val="000000"/>
                <w:kern w:val="0"/>
                <w:sz w:val="20"/>
                <w:szCs w:val="20"/>
                <w:highlight w:val="none"/>
                <w:lang w:val="en-US" w:eastAsia="zh-CN" w:bidi="ar"/>
              </w:rPr>
              <w:t>module of CHARLS. The frequency of each activity was rated as never (score = 0), not regularly (score = 1), almost every week (score = 2), or almost daily (score = 3). The total scores for intellectual activities could range from 0 to 12 points and were categorized as 0, 1</w:t>
            </w:r>
            <w:r>
              <w:rPr>
                <w:rFonts w:hint="default" w:ascii="Times New Roman" w:hAnsi="Times New Roman" w:eastAsia="JbgwvmAdvTT86d47313+20" w:cs="Times New Roman"/>
                <w:b w:val="0"/>
                <w:bCs w:val="0"/>
                <w:color w:val="000000"/>
                <w:kern w:val="0"/>
                <w:sz w:val="20"/>
                <w:szCs w:val="20"/>
                <w:highlight w:val="none"/>
                <w:lang w:val="en-US" w:eastAsia="zh-CN" w:bidi="ar"/>
              </w:rPr>
              <w:t>–</w:t>
            </w:r>
            <w:r>
              <w:rPr>
                <w:rFonts w:hint="default" w:ascii="Times New Roman" w:hAnsi="Times New Roman" w:eastAsia="QxtdgsAdvTT86d47313" w:cs="Times New Roman"/>
                <w:b w:val="0"/>
                <w:bCs w:val="0"/>
                <w:color w:val="000000"/>
                <w:kern w:val="0"/>
                <w:sz w:val="20"/>
                <w:szCs w:val="20"/>
                <w:highlight w:val="none"/>
                <w:lang w:val="en-US" w:eastAsia="zh-CN" w:bidi="ar"/>
              </w:rPr>
              <w:t xml:space="preserve">2, and </w:t>
            </w:r>
            <w:r>
              <w:rPr>
                <w:rFonts w:hint="default" w:ascii="Times New Roman" w:hAnsi="Times New Roman" w:eastAsia="BbwybnAdvTT86d47313+22" w:cs="Times New Roman"/>
                <w:b w:val="0"/>
                <w:bCs w:val="0"/>
                <w:color w:val="000000"/>
                <w:kern w:val="0"/>
                <w:sz w:val="20"/>
                <w:szCs w:val="20"/>
                <w:highlight w:val="none"/>
                <w:lang w:val="en-US" w:eastAsia="zh-CN" w:bidi="ar"/>
              </w:rPr>
              <w:t xml:space="preserve">≥ </w:t>
            </w:r>
            <w:r>
              <w:rPr>
                <w:rFonts w:hint="default" w:ascii="Times New Roman" w:hAnsi="Times New Roman" w:eastAsia="QxtdgsAdvTT86d47313" w:cs="Times New Roman"/>
                <w:b w:val="0"/>
                <w:bCs w:val="0"/>
                <w:color w:val="000000"/>
                <w:kern w:val="0"/>
                <w:sz w:val="20"/>
                <w:szCs w:val="20"/>
                <w:highlight w:val="none"/>
                <w:lang w:val="en-US" w:eastAsia="zh-CN" w:bidi="ar"/>
              </w:rPr>
              <w:t>3.</w:t>
            </w:r>
          </w:p>
        </w:tc>
      </w:tr>
      <w:tr w14:paraId="6A6D9D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1593" w:type="pct"/>
            <w:tcBorders>
              <w:top w:val="nil"/>
            </w:tcBorders>
            <w:shd w:val="clear" w:color="auto" w:fill="FFFFFF"/>
            <w:noWrap/>
            <w:vAlign w:val="center"/>
          </w:tcPr>
          <w:p w14:paraId="7081F070">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URWPalladioL-Roma" w:cs="Times New Roman"/>
                <w:b w:val="0"/>
                <w:bCs w:val="0"/>
                <w:color w:val="000000"/>
                <w:kern w:val="0"/>
                <w:sz w:val="20"/>
                <w:szCs w:val="20"/>
                <w:highlight w:val="none"/>
                <w:lang w:val="en-US" w:eastAsia="zh-CN" w:bidi="ar"/>
              </w:rPr>
              <w:t>Cognitive level</w:t>
            </w:r>
          </w:p>
        </w:tc>
        <w:tc>
          <w:tcPr>
            <w:tcW w:w="3406" w:type="pct"/>
            <w:tcBorders>
              <w:top w:val="nil"/>
            </w:tcBorders>
            <w:shd w:val="clear" w:color="auto" w:fill="FFFFFF"/>
            <w:noWrap/>
            <w:vAlign w:val="bottom"/>
          </w:tcPr>
          <w:p w14:paraId="1498D3C0">
            <w:pPr>
              <w:keepNext w:val="0"/>
              <w:keepLines w:val="0"/>
              <w:pageBreakBefore w:val="0"/>
              <w:widowControl/>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eastAsia="URWPalladioL-Roma" w:cs="Times New Roman"/>
                <w:b w:val="0"/>
                <w:bCs w:val="0"/>
                <w:color w:val="000000"/>
                <w:kern w:val="0"/>
                <w:sz w:val="20"/>
                <w:szCs w:val="20"/>
                <w:highlight w:val="none"/>
                <w:lang w:val="en-US" w:eastAsia="zh-CN" w:bidi="ar"/>
              </w:rPr>
            </w:pPr>
            <w:r>
              <w:rPr>
                <w:rFonts w:hint="default" w:ascii="Times New Roman" w:hAnsi="Times New Roman" w:eastAsia="URWPalladioL-Roma" w:cs="Times New Roman"/>
                <w:b w:val="0"/>
                <w:bCs w:val="0"/>
                <w:color w:val="000000"/>
                <w:kern w:val="0"/>
                <w:sz w:val="20"/>
                <w:szCs w:val="20"/>
                <w:highlight w:val="none"/>
                <w:lang w:val="en-US" w:eastAsia="zh-CN" w:bidi="ar"/>
              </w:rPr>
              <w:t xml:space="preserve">Cognitive function was measured through orientation, attention, memory, and visual spatial ability, in which the total score ranged from 0 to 21. In the present study, we categorized participants’ cognitive function as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 xml:space="preserve">scored </w:t>
            </w:r>
            <w:r>
              <w:rPr>
                <w:rFonts w:hint="default" w:ascii="Times New Roman" w:hAnsi="Times New Roman" w:eastAsia="Rpxr" w:cs="Times New Roman"/>
                <w:b w:val="0"/>
                <w:bCs w:val="0"/>
                <w:color w:val="000000"/>
                <w:kern w:val="0"/>
                <w:sz w:val="20"/>
                <w:szCs w:val="20"/>
                <w:highlight w:val="none"/>
                <w:lang w:val="en-US" w:eastAsia="zh-CN" w:bidi="ar"/>
              </w:rPr>
              <w:t xml:space="preserve">&lt; </w:t>
            </w:r>
            <w:r>
              <w:rPr>
                <w:rFonts w:hint="default" w:ascii="Times New Roman" w:hAnsi="Times New Roman" w:eastAsia="URWPalladioL-Roma" w:cs="Times New Roman"/>
                <w:b w:val="0"/>
                <w:bCs w:val="0"/>
                <w:color w:val="000000"/>
                <w:kern w:val="0"/>
                <w:sz w:val="20"/>
                <w:szCs w:val="20"/>
                <w:highlight w:val="none"/>
                <w:lang w:val="en-US" w:eastAsia="zh-CN" w:bidi="ar"/>
              </w:rPr>
              <w:t>10</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 xml:space="preserve"> and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 xml:space="preserve">scored </w:t>
            </w:r>
            <w:r>
              <w:rPr>
                <w:rFonts w:hint="default" w:ascii="Times New Roman" w:hAnsi="Times New Roman" w:eastAsia="Pxsy" w:cs="Times New Roman"/>
                <w:b w:val="0"/>
                <w:bCs w:val="0"/>
                <w:color w:val="000000"/>
                <w:kern w:val="0"/>
                <w:sz w:val="20"/>
                <w:szCs w:val="20"/>
                <w:highlight w:val="none"/>
                <w:lang w:val="en-US" w:eastAsia="zh-CN" w:bidi="ar"/>
              </w:rPr>
              <w:t xml:space="preserve">≥ </w:t>
            </w:r>
            <w:r>
              <w:rPr>
                <w:rFonts w:hint="default" w:ascii="Times New Roman" w:hAnsi="Times New Roman" w:eastAsia="URWPalladioL-Roma" w:cs="Times New Roman"/>
                <w:b w:val="0"/>
                <w:bCs w:val="0"/>
                <w:color w:val="000000"/>
                <w:kern w:val="0"/>
                <w:sz w:val="20"/>
                <w:szCs w:val="20"/>
                <w:highlight w:val="none"/>
                <w:lang w:val="en-US" w:eastAsia="zh-CN" w:bidi="ar"/>
              </w:rPr>
              <w:t>10</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w:t>
            </w:r>
          </w:p>
        </w:tc>
      </w:tr>
      <w:tr w14:paraId="69A548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2ED97B27">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cs="Times New Roman"/>
                <w:b w:val="0"/>
                <w:color w:val="000000"/>
                <w:spacing w:val="-1"/>
                <w:sz w:val="20"/>
                <w:szCs w:val="20"/>
                <w:highlight w:val="none"/>
              </w:rPr>
              <w:t>Depression</w:t>
            </w:r>
          </w:p>
        </w:tc>
        <w:tc>
          <w:tcPr>
            <w:tcW w:w="3406" w:type="pct"/>
            <w:tcBorders>
              <w:top w:val="nil"/>
            </w:tcBorders>
            <w:shd w:val="clear" w:color="auto" w:fill="FFFFFF"/>
            <w:noWrap/>
            <w:vAlign w:val="bottom"/>
          </w:tcPr>
          <w:p w14:paraId="7EE728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jc w:val="both"/>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QxtdgsAdvTT86d47313" w:cs="Times New Roman"/>
                <w:b w:val="0"/>
                <w:bCs w:val="0"/>
                <w:color w:val="000000"/>
                <w:kern w:val="0"/>
                <w:sz w:val="20"/>
                <w:szCs w:val="20"/>
                <w:highlight w:val="none"/>
                <w:lang w:val="en-US" w:eastAsia="zh-CN" w:bidi="ar"/>
              </w:rPr>
              <w:t xml:space="preserve">Depressive symptoms were assessed using the 10-item version of the Center for Epidemiologic Studies Depression Scale, and a score of </w:t>
            </w:r>
            <w:r>
              <w:rPr>
                <w:rFonts w:hint="default" w:ascii="Times New Roman" w:hAnsi="Times New Roman" w:eastAsia="BbwybnAdvTT86d47313+22" w:cs="Times New Roman"/>
                <w:b w:val="0"/>
                <w:bCs w:val="0"/>
                <w:color w:val="000000"/>
                <w:kern w:val="0"/>
                <w:sz w:val="20"/>
                <w:szCs w:val="20"/>
                <w:highlight w:val="none"/>
                <w:lang w:val="en-US" w:eastAsia="zh-CN" w:bidi="ar"/>
              </w:rPr>
              <w:t xml:space="preserve">≥ </w:t>
            </w:r>
            <w:r>
              <w:rPr>
                <w:rFonts w:hint="default" w:ascii="Times New Roman" w:hAnsi="Times New Roman" w:eastAsia="QxtdgsAdvTT86d47313" w:cs="Times New Roman"/>
                <w:b w:val="0"/>
                <w:bCs w:val="0"/>
                <w:color w:val="000000"/>
                <w:kern w:val="0"/>
                <w:sz w:val="20"/>
                <w:szCs w:val="20"/>
                <w:highlight w:val="none"/>
                <w:lang w:val="en-US" w:eastAsia="zh-CN" w:bidi="ar"/>
              </w:rPr>
              <w:t>10 indicated the presence of depressive symptoms.</w:t>
            </w:r>
          </w:p>
        </w:tc>
      </w:tr>
      <w:tr w14:paraId="0A41D0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25CBFA9E">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Smoking</w:t>
            </w:r>
          </w:p>
        </w:tc>
        <w:tc>
          <w:tcPr>
            <w:tcW w:w="3406" w:type="pct"/>
            <w:tcBorders>
              <w:top w:val="nil"/>
            </w:tcBorders>
            <w:shd w:val="clear" w:color="auto" w:fill="FFFFFF"/>
            <w:noWrap/>
            <w:vAlign w:val="center"/>
          </w:tcPr>
          <w:p w14:paraId="6BAF9979">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Smoking was defined as whether the respondent reports ever smoking.</w:t>
            </w:r>
          </w:p>
        </w:tc>
      </w:tr>
      <w:tr w14:paraId="19C66A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0E73705E">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等线" w:cs="Times New Roman"/>
                <w:b w:val="0"/>
                <w:color w:val="000000"/>
                <w:kern w:val="0"/>
                <w:sz w:val="20"/>
                <w:szCs w:val="20"/>
                <w:highlight w:val="none"/>
                <w:lang w:val="en-US" w:eastAsia="zh-CN"/>
              </w:rPr>
              <w:t>D</w:t>
            </w:r>
            <w:r>
              <w:rPr>
                <w:rFonts w:hint="default" w:ascii="Times New Roman" w:hAnsi="Times New Roman" w:eastAsia="等线" w:cs="Times New Roman"/>
                <w:b w:val="0"/>
                <w:color w:val="000000"/>
                <w:kern w:val="0"/>
                <w:sz w:val="20"/>
                <w:szCs w:val="20"/>
                <w:highlight w:val="none"/>
              </w:rPr>
              <w:t>rinking</w:t>
            </w:r>
          </w:p>
        </w:tc>
        <w:tc>
          <w:tcPr>
            <w:tcW w:w="3406" w:type="pct"/>
            <w:tcBorders>
              <w:top w:val="nil"/>
            </w:tcBorders>
            <w:shd w:val="clear" w:color="auto" w:fill="FFFFFF"/>
            <w:noWrap/>
            <w:vAlign w:val="center"/>
          </w:tcPr>
          <w:p w14:paraId="6A4053FE">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Drinking was defined as whether the respondent has had any alcoholic beverages in the past.</w:t>
            </w:r>
          </w:p>
        </w:tc>
      </w:tr>
      <w:tr w14:paraId="3E8E92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0B6C79B8">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Sleep duration</w:t>
            </w:r>
          </w:p>
        </w:tc>
        <w:tc>
          <w:tcPr>
            <w:tcW w:w="3406" w:type="pct"/>
            <w:tcBorders>
              <w:top w:val="nil"/>
            </w:tcBorders>
            <w:shd w:val="clear" w:color="auto" w:fill="FFFFFF"/>
            <w:noWrap/>
            <w:vAlign w:val="center"/>
          </w:tcPr>
          <w:p w14:paraId="13EAA794">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Sleep duration was categorized as&lt;6h, 6-8h and ≥8h.</w:t>
            </w:r>
          </w:p>
        </w:tc>
      </w:tr>
      <w:tr w14:paraId="638852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27DB1114">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cs="Times New Roman"/>
                <w:b w:val="0"/>
                <w:bCs w:val="0"/>
                <w:color w:val="000000"/>
                <w:sz w:val="20"/>
                <w:szCs w:val="20"/>
                <w:highlight w:val="none"/>
                <w:lang w:val="en-US" w:eastAsia="zh-CN"/>
              </w:rPr>
              <w:t>R</w:t>
            </w:r>
            <w:r>
              <w:rPr>
                <w:rFonts w:hint="default" w:ascii="Times New Roman" w:hAnsi="Times New Roman" w:cs="Times New Roman"/>
                <w:b w:val="0"/>
                <w:bCs w:val="0"/>
                <w:color w:val="000000"/>
                <w:sz w:val="20"/>
                <w:szCs w:val="20"/>
                <w:highlight w:val="none"/>
              </w:rPr>
              <w:t>egular exerc</w:t>
            </w:r>
            <w:r>
              <w:rPr>
                <w:rFonts w:hint="default" w:ascii="Times New Roman" w:hAnsi="Times New Roman" w:cs="Times New Roman"/>
                <w:b w:val="0"/>
                <w:bCs w:val="0"/>
                <w:color w:val="000000"/>
                <w:spacing w:val="-1"/>
                <w:sz w:val="20"/>
                <w:szCs w:val="20"/>
                <w:highlight w:val="none"/>
              </w:rPr>
              <w:t>ise</w:t>
            </w:r>
          </w:p>
        </w:tc>
        <w:tc>
          <w:tcPr>
            <w:tcW w:w="3406" w:type="pct"/>
            <w:tcBorders>
              <w:top w:val="nil"/>
            </w:tcBorders>
            <w:shd w:val="clear" w:color="auto" w:fill="FFFFFF"/>
            <w:noWrap/>
            <w:vAlign w:val="center"/>
          </w:tcPr>
          <w:p w14:paraId="645F8445">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cs="Times New Roman"/>
                <w:b w:val="0"/>
                <w:bCs w:val="0"/>
                <w:color w:val="000000"/>
                <w:spacing w:val="-1"/>
                <w:sz w:val="20"/>
                <w:szCs w:val="20"/>
                <w:highlight w:val="none"/>
                <w:lang w:val="en-US" w:eastAsia="zh-CN"/>
              </w:rPr>
            </w:pPr>
            <w:r>
              <w:rPr>
                <w:rFonts w:hint="default" w:ascii="Times New Roman" w:hAnsi="Times New Roman" w:cs="Times New Roman"/>
                <w:b w:val="0"/>
                <w:bCs w:val="0"/>
                <w:color w:val="000000"/>
                <w:sz w:val="20"/>
                <w:szCs w:val="20"/>
                <w:highlight w:val="none"/>
              </w:rPr>
              <w:t xml:space="preserve">Participants who exercised 5–7 d/week for more </w:t>
            </w:r>
            <w:r>
              <w:rPr>
                <w:rFonts w:hint="default" w:ascii="Times New Roman" w:hAnsi="Times New Roman" w:cs="Times New Roman"/>
                <w:b w:val="0"/>
                <w:bCs w:val="0"/>
                <w:color w:val="000000"/>
                <w:spacing w:val="-1"/>
                <w:sz w:val="20"/>
                <w:szCs w:val="20"/>
                <w:highlight w:val="none"/>
              </w:rPr>
              <w:t>than 10 min/d</w:t>
            </w:r>
            <w:r>
              <w:rPr>
                <w:rFonts w:hint="default" w:ascii="Times New Roman" w:hAnsi="Times New Roman" w:cs="Times New Roman"/>
                <w:b w:val="0"/>
                <w:bCs w:val="0"/>
                <w:color w:val="000000"/>
                <w:sz w:val="20"/>
                <w:szCs w:val="20"/>
                <w:highlight w:val="none"/>
              </w:rPr>
              <w:t xml:space="preserve"> were considered as regular exerc</w:t>
            </w:r>
            <w:r>
              <w:rPr>
                <w:rFonts w:hint="default" w:ascii="Times New Roman" w:hAnsi="Times New Roman" w:cs="Times New Roman"/>
                <w:b w:val="0"/>
                <w:bCs w:val="0"/>
                <w:color w:val="000000"/>
                <w:spacing w:val="-1"/>
                <w:sz w:val="20"/>
                <w:szCs w:val="20"/>
                <w:highlight w:val="none"/>
              </w:rPr>
              <w:t>ise.</w:t>
            </w:r>
          </w:p>
        </w:tc>
      </w:tr>
      <w:tr w14:paraId="485261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01B2B4C">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URWPalladioL-Roma" w:cs="Times New Roman"/>
                <w:b w:val="0"/>
                <w:bCs w:val="0"/>
                <w:color w:val="000000"/>
                <w:kern w:val="0"/>
                <w:sz w:val="20"/>
                <w:szCs w:val="20"/>
                <w:highlight w:val="none"/>
                <w:lang w:val="en-US" w:eastAsia="zh-CN" w:bidi="ar"/>
              </w:rPr>
              <w:t>Blood pressure monitoring behavior</w:t>
            </w:r>
          </w:p>
        </w:tc>
        <w:tc>
          <w:tcPr>
            <w:tcW w:w="3406" w:type="pct"/>
            <w:tcBorders>
              <w:top w:val="nil"/>
            </w:tcBorders>
            <w:shd w:val="clear" w:color="auto" w:fill="FFFFFF"/>
            <w:noWrap/>
            <w:vAlign w:val="center"/>
          </w:tcPr>
          <w:p w14:paraId="7C1F0719">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URWPalladioL-Roma" w:cs="Times New Roman"/>
                <w:b w:val="0"/>
                <w:bCs w:val="0"/>
                <w:color w:val="000000"/>
                <w:kern w:val="0"/>
                <w:sz w:val="20"/>
                <w:szCs w:val="20"/>
                <w:highlight w:val="none"/>
                <w:lang w:val="en-US" w:eastAsia="zh-CN" w:bidi="ar"/>
              </w:rPr>
            </w:pPr>
            <w:r>
              <w:rPr>
                <w:rFonts w:hint="default" w:ascii="Times New Roman" w:hAnsi="Times New Roman" w:eastAsia="URWPalladioL-Roma" w:cs="Times New Roman"/>
                <w:b w:val="0"/>
                <w:bCs w:val="0"/>
                <w:color w:val="000000"/>
                <w:kern w:val="0"/>
                <w:sz w:val="20"/>
                <w:szCs w:val="20"/>
                <w:highlight w:val="none"/>
                <w:lang w:val="en-US" w:eastAsia="zh-CN" w:bidi="ar"/>
              </w:rPr>
              <w:t xml:space="preserve">Blood pressure monitoring behavior was assessed by asking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During last year (last 12 months), how many times have you had blood pressure examination?</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 xml:space="preserve"> According to the health management guideline for hypertension, hypertensive patients are recommended to monitor their blood pressure at least once a month. Therefore, we dichotomized the number of blood pressure monitoring into </w:t>
            </w:r>
            <w:r>
              <w:rPr>
                <w:rFonts w:hint="default" w:ascii="Times New Roman" w:hAnsi="Times New Roman" w:eastAsia="Rpxr" w:cs="Times New Roman"/>
                <w:b w:val="0"/>
                <w:bCs w:val="0"/>
                <w:color w:val="000000"/>
                <w:kern w:val="0"/>
                <w:sz w:val="20"/>
                <w:szCs w:val="20"/>
                <w:highlight w:val="none"/>
                <w:lang w:val="en-US" w:eastAsia="zh-CN" w:bidi="ar"/>
              </w:rPr>
              <w:t>&lt;</w:t>
            </w:r>
            <w:r>
              <w:rPr>
                <w:rFonts w:hint="default" w:ascii="Times New Roman" w:hAnsi="Times New Roman" w:eastAsia="URWPalladioL-Roma" w:cs="Times New Roman"/>
                <w:b w:val="0"/>
                <w:bCs w:val="0"/>
                <w:color w:val="000000"/>
                <w:kern w:val="0"/>
                <w:sz w:val="20"/>
                <w:szCs w:val="20"/>
                <w:highlight w:val="none"/>
                <w:lang w:val="en-US" w:eastAsia="zh-CN" w:bidi="ar"/>
              </w:rPr>
              <w:t>12 times</w:t>
            </w:r>
            <w:r>
              <w:rPr>
                <w:rFonts w:hint="default" w:ascii="Times New Roman" w:hAnsi="Times New Roman" w:eastAsia="Rpxr"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 xml:space="preserve">year and </w:t>
            </w:r>
            <w:r>
              <w:rPr>
                <w:rFonts w:hint="default" w:ascii="Times New Roman" w:hAnsi="Times New Roman" w:eastAsia="Pxsy"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12 times</w:t>
            </w:r>
            <w:r>
              <w:rPr>
                <w:rFonts w:hint="default" w:ascii="Times New Roman" w:hAnsi="Times New Roman" w:eastAsia="Rpxr" w:cs="Times New Roman"/>
                <w:b w:val="0"/>
                <w:bCs w:val="0"/>
                <w:color w:val="000000"/>
                <w:kern w:val="0"/>
                <w:sz w:val="20"/>
                <w:szCs w:val="20"/>
                <w:highlight w:val="none"/>
                <w:lang w:val="en-US" w:eastAsia="zh-CN" w:bidi="ar"/>
              </w:rPr>
              <w:t>/</w:t>
            </w:r>
            <w:r>
              <w:rPr>
                <w:rFonts w:hint="default" w:ascii="Times New Roman" w:hAnsi="Times New Roman" w:eastAsia="URWPalladioL-Roma" w:cs="Times New Roman"/>
                <w:b w:val="0"/>
                <w:bCs w:val="0"/>
                <w:color w:val="000000"/>
                <w:kern w:val="0"/>
                <w:sz w:val="20"/>
                <w:szCs w:val="20"/>
                <w:highlight w:val="none"/>
                <w:lang w:val="en-US" w:eastAsia="zh-CN" w:bidi="ar"/>
              </w:rPr>
              <w:t>year.</w:t>
            </w:r>
          </w:p>
        </w:tc>
      </w:tr>
      <w:tr w14:paraId="2E3D8B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C05B0C1">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CharisSIL" w:cs="Times New Roman"/>
                <w:b w:val="0"/>
                <w:bCs w:val="0"/>
                <w:color w:val="000000"/>
                <w:kern w:val="0"/>
                <w:sz w:val="20"/>
                <w:szCs w:val="20"/>
                <w:highlight w:val="none"/>
                <w:lang w:val="en-US" w:eastAsia="zh-CN" w:bidi="ar"/>
              </w:rPr>
              <w:t>Life satisfaction</w:t>
            </w:r>
          </w:p>
        </w:tc>
        <w:tc>
          <w:tcPr>
            <w:tcW w:w="3406" w:type="pct"/>
            <w:tcBorders>
              <w:top w:val="nil"/>
            </w:tcBorders>
            <w:shd w:val="clear" w:color="auto" w:fill="FFFFFF"/>
            <w:noWrap/>
            <w:vAlign w:val="center"/>
          </w:tcPr>
          <w:p w14:paraId="5910259A">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CharisSIL" w:cs="Times New Roman"/>
                <w:b w:val="0"/>
                <w:bCs w:val="0"/>
                <w:color w:val="000000"/>
                <w:kern w:val="0"/>
                <w:sz w:val="20"/>
                <w:szCs w:val="20"/>
                <w:highlight w:val="none"/>
                <w:lang w:val="en-US" w:eastAsia="zh-CN" w:bidi="ar"/>
              </w:rPr>
            </w:pPr>
            <w:r>
              <w:rPr>
                <w:rFonts w:hint="default" w:ascii="Times New Roman" w:hAnsi="Times New Roman" w:eastAsia="CharisSIL" w:cs="Times New Roman"/>
                <w:b w:val="0"/>
                <w:bCs w:val="0"/>
                <w:color w:val="000000"/>
                <w:kern w:val="0"/>
                <w:sz w:val="20"/>
                <w:szCs w:val="20"/>
                <w:highlight w:val="none"/>
                <w:lang w:val="en-US" w:eastAsia="zh-CN" w:bidi="ar"/>
              </w:rPr>
              <w:t>Life satisfaction was assessed at baseline with one single item by asking participants, "How satisfied are you with your life overall?"</w:t>
            </w:r>
            <w:r>
              <w:rPr>
                <w:rFonts w:hint="default" w:ascii="Times New Roman" w:hAnsi="Times New Roman" w:eastAsia="STIX-Regular" w:cs="Times New Roman"/>
                <w:b w:val="0"/>
                <w:bCs w:val="0"/>
                <w:color w:val="000000"/>
                <w:kern w:val="0"/>
                <w:sz w:val="20"/>
                <w:szCs w:val="20"/>
                <w:highlight w:val="none"/>
                <w:lang w:val="en-US" w:eastAsia="zh-CN" w:bidi="ar"/>
              </w:rPr>
              <w:t xml:space="preserve"> </w:t>
            </w:r>
            <w:r>
              <w:rPr>
                <w:rFonts w:hint="default" w:ascii="Times New Roman" w:hAnsi="Times New Roman" w:eastAsia="CharisSIL" w:cs="Times New Roman"/>
                <w:b w:val="0"/>
                <w:bCs w:val="0"/>
                <w:color w:val="000000"/>
                <w:kern w:val="0"/>
                <w:sz w:val="20"/>
                <w:szCs w:val="20"/>
                <w:highlight w:val="none"/>
                <w:lang w:val="en-US" w:eastAsia="zh-CN" w:bidi="ar"/>
              </w:rPr>
              <w:t>This single-item measure is strongly correlative with the validated 5-item Satisfaction with Life Scale (SWLS) and has been used widely in previous research. Scores ranged from 1 to 5, with higher values indicating greater life satisfaction.</w:t>
            </w:r>
          </w:p>
        </w:tc>
      </w:tr>
      <w:tr w14:paraId="167408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717F2078">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MinionPro-Regular" w:cs="Times New Roman"/>
                <w:b w:val="0"/>
                <w:bCs w:val="0"/>
                <w:color w:val="000000"/>
                <w:kern w:val="0"/>
                <w:sz w:val="20"/>
                <w:szCs w:val="20"/>
                <w:highlight w:val="none"/>
                <w:lang w:val="en-US" w:eastAsia="zh-CN" w:bidi="ar"/>
              </w:rPr>
              <w:t>Self-rated health</w:t>
            </w:r>
          </w:p>
        </w:tc>
        <w:tc>
          <w:tcPr>
            <w:tcW w:w="3406" w:type="pct"/>
            <w:tcBorders>
              <w:top w:val="nil"/>
            </w:tcBorders>
            <w:shd w:val="clear" w:color="auto" w:fill="FFFFFF"/>
            <w:noWrap/>
            <w:vAlign w:val="center"/>
          </w:tcPr>
          <w:p w14:paraId="46801C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jc w:val="both"/>
              <w:textAlignment w:val="auto"/>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MinionPro-Regular" w:cs="Times New Roman"/>
                <w:b w:val="0"/>
                <w:bCs w:val="0"/>
                <w:color w:val="000000"/>
                <w:kern w:val="0"/>
                <w:sz w:val="20"/>
                <w:szCs w:val="20"/>
                <w:highlight w:val="none"/>
                <w:lang w:val="en-US" w:eastAsia="zh-CN" w:bidi="ar"/>
              </w:rPr>
              <w:t xml:space="preserve">Self-rated health comes from the question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What do you think of your health?</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There are five options from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poor</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to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excellent</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with values of 1–5 in turn. The self expectation was assessed by asking, "How confident are you in your ability to reach a certain age?" Five response options ranged from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almost impossible</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to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almost certain</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numerically scaled from 1 to 5. </w:t>
            </w:r>
          </w:p>
        </w:tc>
      </w:tr>
      <w:tr w14:paraId="03EADD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10C55395">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MinionPro-Regular" w:cs="Times New Roman"/>
                <w:b w:val="0"/>
                <w:bCs w:val="0"/>
                <w:color w:val="000000"/>
                <w:kern w:val="0"/>
                <w:sz w:val="20"/>
                <w:szCs w:val="20"/>
                <w:highlight w:val="none"/>
                <w:lang w:val="en-US" w:eastAsia="zh-CN" w:bidi="ar"/>
              </w:rPr>
            </w:pPr>
            <w:r>
              <w:rPr>
                <w:rFonts w:hint="default" w:ascii="Times New Roman" w:hAnsi="Times New Roman" w:eastAsia="MinionPro-Regular" w:cs="Times New Roman"/>
                <w:b w:val="0"/>
                <w:bCs w:val="0"/>
                <w:color w:val="000000"/>
                <w:kern w:val="0"/>
                <w:sz w:val="20"/>
                <w:szCs w:val="20"/>
                <w:highlight w:val="none"/>
                <w:lang w:val="en-US" w:eastAsia="zh-CN" w:bidi="ar"/>
              </w:rPr>
              <w:t>Self expectation</w:t>
            </w:r>
          </w:p>
        </w:tc>
        <w:tc>
          <w:tcPr>
            <w:tcW w:w="3406" w:type="pct"/>
            <w:tcBorders>
              <w:top w:val="nil"/>
            </w:tcBorders>
            <w:shd w:val="clear" w:color="auto" w:fill="FFFFFF"/>
            <w:noWrap/>
            <w:vAlign w:val="center"/>
          </w:tcPr>
          <w:p w14:paraId="729520E0">
            <w:pPr>
              <w:keepNext w:val="0"/>
              <w:keepLines w:val="0"/>
              <w:pageBreakBefore w:val="0"/>
              <w:widowControl/>
              <w:suppressLineNumbers w:val="0"/>
              <w:kinsoku/>
              <w:wordWrap/>
              <w:overflowPunct/>
              <w:topLinePunct w:val="0"/>
              <w:autoSpaceDE/>
              <w:autoSpaceDN/>
              <w:bidi w:val="0"/>
              <w:adjustRightInd/>
              <w:snapToGrid/>
              <w:spacing w:line="360" w:lineRule="auto"/>
              <w:jc w:val="both"/>
              <w:rPr>
                <w:rFonts w:hint="default" w:ascii="Times New Roman" w:hAnsi="Times New Roman" w:eastAsia="MinionPro-Regular" w:cs="Times New Roman"/>
                <w:b w:val="0"/>
                <w:bCs w:val="0"/>
                <w:color w:val="000000"/>
                <w:kern w:val="0"/>
                <w:sz w:val="20"/>
                <w:szCs w:val="20"/>
                <w:highlight w:val="none"/>
                <w:lang w:val="en-US" w:eastAsia="zh-CN" w:bidi="ar"/>
              </w:rPr>
            </w:pPr>
            <w:r>
              <w:rPr>
                <w:rFonts w:hint="default" w:ascii="Times New Roman" w:hAnsi="Times New Roman" w:eastAsia="MinionPro-Regular" w:cs="Times New Roman"/>
                <w:b w:val="0"/>
                <w:bCs w:val="0"/>
                <w:color w:val="000000"/>
                <w:kern w:val="0"/>
                <w:sz w:val="20"/>
                <w:szCs w:val="20"/>
                <w:highlight w:val="none"/>
                <w:lang w:val="en-US" w:eastAsia="zh-CN" w:bidi="ar"/>
              </w:rPr>
              <w:t xml:space="preserve">Self expectation was assessed by asking, "How confident are you in your ability to reach a certain age?" Five response options ranged from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almost impossible</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to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almost certain</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MinionPro-Regular" w:cs="Times New Roman"/>
                <w:b w:val="0"/>
                <w:bCs w:val="0"/>
                <w:color w:val="000000"/>
                <w:kern w:val="0"/>
                <w:sz w:val="20"/>
                <w:szCs w:val="20"/>
                <w:highlight w:val="none"/>
                <w:lang w:val="en-US" w:eastAsia="zh-CN" w:bidi="ar"/>
              </w:rPr>
              <w:t xml:space="preserve">, numerically scaled from 1 to 5. </w:t>
            </w:r>
          </w:p>
        </w:tc>
      </w:tr>
      <w:tr w14:paraId="74239C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1593" w:type="pct"/>
            <w:tcBorders>
              <w:top w:val="nil"/>
            </w:tcBorders>
            <w:shd w:val="clear" w:color="auto" w:fill="FFFFFF"/>
            <w:noWrap/>
            <w:vAlign w:val="center"/>
          </w:tcPr>
          <w:p w14:paraId="5FA041CE">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lang w:val="en-US" w:eastAsia="zh-CN"/>
              </w:rPr>
              <w:t>Re</w:t>
            </w:r>
            <w:r>
              <w:rPr>
                <w:rFonts w:hint="default" w:ascii="Times New Roman" w:hAnsi="Times New Roman" w:eastAsia="宋体" w:cs="Times New Roman"/>
                <w:b w:val="0"/>
                <w:bCs w:val="0"/>
                <w:color w:val="000000"/>
                <w:kern w:val="0"/>
                <w:sz w:val="20"/>
                <w:szCs w:val="20"/>
                <w:highlight w:val="none"/>
                <w:lang w:val="en-US" w:eastAsia="zh-CN" w:bidi="ar"/>
              </w:rPr>
              <w:t>sidence</w:t>
            </w:r>
          </w:p>
        </w:tc>
        <w:tc>
          <w:tcPr>
            <w:tcW w:w="3406" w:type="pct"/>
            <w:tcBorders>
              <w:top w:val="nil"/>
            </w:tcBorders>
            <w:shd w:val="clear" w:color="auto" w:fill="FFFFFF"/>
            <w:noWrap/>
            <w:vAlign w:val="center"/>
          </w:tcPr>
          <w:p w14:paraId="4A71F67A">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i w:val="0"/>
                <w:iCs w:val="0"/>
                <w:color w:val="000000"/>
                <w:kern w:val="0"/>
                <w:sz w:val="20"/>
                <w:szCs w:val="20"/>
                <w:highlight w:val="none"/>
                <w:u w:val="none"/>
                <w:lang w:val="en-US" w:eastAsia="zh-CN" w:bidi="ar"/>
              </w:rPr>
              <w:t>Rural; Urban</w:t>
            </w:r>
          </w:p>
        </w:tc>
      </w:tr>
      <w:tr w14:paraId="6A3E00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21815166">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Style w:val="7"/>
                <w:rFonts w:hint="default" w:ascii="Times New Roman" w:hAnsi="Times New Roman" w:eastAsia="Segoe UI" w:cs="Times New Roman"/>
                <w:b w:val="0"/>
                <w:bCs w:val="0"/>
                <w:i w:val="0"/>
                <w:iCs w:val="0"/>
                <w:caps w:val="0"/>
                <w:color w:val="000000"/>
                <w:spacing w:val="0"/>
                <w:sz w:val="20"/>
                <w:szCs w:val="20"/>
                <w:highlight w:val="none"/>
                <w:shd w:val="clear" w:fill="FFFFFF"/>
                <w:lang w:val="en-US" w:eastAsia="zh-CN"/>
              </w:rPr>
            </w:pPr>
            <w:r>
              <w:rPr>
                <w:rFonts w:hint="default" w:ascii="Times New Roman" w:hAnsi="Times New Roman" w:eastAsia="宋体" w:cs="Times New Roman"/>
                <w:b w:val="0"/>
                <w:i w:val="0"/>
                <w:iCs w:val="0"/>
                <w:color w:val="auto"/>
                <w:kern w:val="0"/>
                <w:sz w:val="20"/>
                <w:szCs w:val="20"/>
                <w:highlight w:val="none"/>
                <w:u w:val="none"/>
                <w:lang w:val="en-US" w:eastAsia="zh-CN" w:bidi="ar"/>
              </w:rPr>
              <w:t>Regional category</w:t>
            </w:r>
          </w:p>
        </w:tc>
        <w:tc>
          <w:tcPr>
            <w:tcW w:w="3406" w:type="pct"/>
            <w:tcBorders>
              <w:top w:val="nil"/>
            </w:tcBorders>
            <w:shd w:val="clear" w:color="auto" w:fill="FFFFFF"/>
            <w:noWrap/>
            <w:vAlign w:val="center"/>
          </w:tcPr>
          <w:p w14:paraId="289731BB">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bCs w:val="0"/>
                <w:i w:val="0"/>
                <w:iCs w:val="0"/>
                <w:color w:val="000000"/>
                <w:kern w:val="0"/>
                <w:sz w:val="20"/>
                <w:szCs w:val="20"/>
                <w:highlight w:val="none"/>
                <w:u w:val="none"/>
                <w:lang w:val="en-US" w:eastAsia="zh-CN" w:bidi="ar"/>
              </w:rPr>
              <w:t>East; Midland; West</w:t>
            </w:r>
            <w:r>
              <w:rPr>
                <w:rFonts w:hint="eastAsia" w:cs="Times New Roman"/>
                <w:b w:val="0"/>
                <w:bCs w:val="0"/>
                <w:i w:val="0"/>
                <w:iCs w:val="0"/>
                <w:color w:val="000000"/>
                <w:kern w:val="0"/>
                <w:sz w:val="20"/>
                <w:szCs w:val="20"/>
                <w:highlight w:val="none"/>
                <w:u w:val="none"/>
                <w:lang w:val="en-US" w:eastAsia="zh-CN" w:bidi="ar"/>
              </w:rPr>
              <w:t>; Northeast</w:t>
            </w:r>
          </w:p>
        </w:tc>
      </w:tr>
      <w:tr w14:paraId="4FD7FE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8AADCB0">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Household expenditure</w:t>
            </w:r>
          </w:p>
        </w:tc>
        <w:tc>
          <w:tcPr>
            <w:tcW w:w="3406" w:type="pct"/>
            <w:tcBorders>
              <w:top w:val="nil"/>
            </w:tcBorders>
            <w:shd w:val="clear" w:color="auto" w:fill="FFFFFF"/>
            <w:noWrap/>
            <w:vAlign w:val="center"/>
          </w:tcPr>
          <w:p w14:paraId="5C43B195">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bCs w:val="0"/>
                <w:i w:val="0"/>
                <w:iCs w:val="0"/>
                <w:color w:val="000000"/>
                <w:kern w:val="0"/>
                <w:sz w:val="20"/>
                <w:szCs w:val="20"/>
                <w:highlight w:val="none"/>
                <w:u w:val="none"/>
                <w:lang w:val="en-US" w:eastAsia="zh-CN" w:bidi="ar"/>
              </w:rPr>
            </w:pPr>
            <w:r>
              <w:rPr>
                <w:rFonts w:hint="default" w:ascii="Times New Roman" w:hAnsi="Times New Roman" w:cs="Times New Roman"/>
                <w:b w:val="0"/>
                <w:bCs w:val="0"/>
                <w:color w:val="000000"/>
                <w:sz w:val="20"/>
                <w:szCs w:val="20"/>
                <w:highlight w:val="none"/>
                <w:lang w:val="en-US" w:eastAsia="zh-CN"/>
              </w:rPr>
              <w:t>We defined four groups on the basis of quartiles of per-capita household expenditure among all participants in wave 1.</w:t>
            </w:r>
          </w:p>
        </w:tc>
      </w:tr>
      <w:tr w14:paraId="4F4FEB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0358041D">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Health insurance</w:t>
            </w:r>
          </w:p>
        </w:tc>
        <w:tc>
          <w:tcPr>
            <w:tcW w:w="3406" w:type="pct"/>
            <w:tcBorders>
              <w:top w:val="nil"/>
            </w:tcBorders>
            <w:shd w:val="clear" w:color="auto" w:fill="FFFFFF"/>
            <w:noWrap/>
            <w:vAlign w:val="center"/>
          </w:tcPr>
          <w:p w14:paraId="4A058D3A">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bCs w:val="0"/>
                <w:i w:val="0"/>
                <w:iCs w:val="0"/>
                <w:color w:val="000000"/>
                <w:kern w:val="0"/>
                <w:sz w:val="20"/>
                <w:szCs w:val="20"/>
                <w:highlight w:val="none"/>
                <w:u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Health insurance</w:t>
            </w:r>
            <w:r>
              <w:rPr>
                <w:rFonts w:hint="default" w:ascii="Times New Roman" w:hAnsi="Times New Roman" w:eastAsia="WarnockPro-Regular" w:cs="Times New Roman"/>
                <w:b w:val="0"/>
                <w:bCs w:val="0"/>
                <w:color w:val="000000"/>
                <w:kern w:val="0"/>
                <w:sz w:val="20"/>
                <w:szCs w:val="20"/>
                <w:highlight w:val="none"/>
                <w:lang w:val="en-US" w:eastAsia="zh-CN" w:bidi="ar"/>
              </w:rPr>
              <w:t xml:space="preserve"> was categorized into insured (covered by private health insurance plans or public health insurance plans) and uninsured.</w:t>
            </w:r>
          </w:p>
        </w:tc>
      </w:tr>
      <w:tr w14:paraId="40D656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1593" w:type="pct"/>
            <w:tcBorders>
              <w:top w:val="nil"/>
            </w:tcBorders>
            <w:shd w:val="clear" w:color="auto" w:fill="FFFFFF"/>
            <w:noWrap/>
            <w:vAlign w:val="center"/>
          </w:tcPr>
          <w:p w14:paraId="63113309">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等线" w:cs="Times New Roman"/>
                <w:b w:val="0"/>
                <w:color w:val="000000"/>
                <w:kern w:val="0"/>
                <w:sz w:val="20"/>
                <w:szCs w:val="20"/>
                <w:highlight w:val="none"/>
                <w:lang w:val="en-US" w:eastAsia="zh-CN"/>
              </w:rPr>
            </w:pPr>
            <w:r>
              <w:rPr>
                <w:rFonts w:hint="default" w:ascii="Times New Roman" w:hAnsi="Times New Roman" w:eastAsia="宋体" w:cs="Times New Roman"/>
                <w:b w:val="0"/>
                <w:bCs w:val="0"/>
                <w:color w:val="000000"/>
                <w:kern w:val="0"/>
                <w:sz w:val="20"/>
                <w:szCs w:val="20"/>
                <w:highlight w:val="none"/>
                <w:lang w:val="en-US" w:eastAsia="zh-CN" w:bidi="ar"/>
              </w:rPr>
              <w:t>Health education</w:t>
            </w:r>
          </w:p>
        </w:tc>
        <w:tc>
          <w:tcPr>
            <w:tcW w:w="3406" w:type="pct"/>
            <w:tcBorders>
              <w:top w:val="nil"/>
            </w:tcBorders>
            <w:shd w:val="clear" w:color="auto" w:fill="FFFFFF"/>
            <w:noWrap/>
            <w:vAlign w:val="center"/>
          </w:tcPr>
          <w:p w14:paraId="27B55D78">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bCs w:val="0"/>
                <w:color w:val="000000"/>
                <w:kern w:val="0"/>
                <w:sz w:val="20"/>
                <w:szCs w:val="20"/>
                <w:highlight w:val="none"/>
                <w:lang w:val="en-US" w:eastAsia="zh-CN" w:bidi="ar"/>
              </w:rPr>
              <w:t xml:space="preserve">Health education was assessed by the question that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cs="Times New Roman"/>
                <w:b w:val="0"/>
                <w:bCs w:val="0"/>
                <w:color w:val="000000"/>
                <w:sz w:val="20"/>
                <w:szCs w:val="20"/>
                <w:highlight w:val="none"/>
              </w:rPr>
              <w:t>Have your care providers ever given you health education/</w:t>
            </w:r>
            <w:r>
              <w:rPr>
                <w:rFonts w:hint="default" w:ascii="Times New Roman" w:hAnsi="Times New Roman" w:cs="Times New Roman"/>
                <w:b w:val="0"/>
                <w:bCs w:val="0"/>
                <w:color w:val="000000"/>
                <w:spacing w:val="-1"/>
                <w:sz w:val="20"/>
                <w:szCs w:val="20"/>
                <w:highlight w:val="none"/>
              </w:rPr>
              <w:t>advice on the</w:t>
            </w:r>
            <w:r>
              <w:rPr>
                <w:rFonts w:hint="default" w:ascii="Times New Roman" w:hAnsi="Times New Roman" w:cs="Times New Roman"/>
                <w:b w:val="0"/>
                <w:bCs w:val="0"/>
                <w:color w:val="000000"/>
                <w:spacing w:val="4"/>
                <w:sz w:val="20"/>
                <w:szCs w:val="20"/>
                <w:highlight w:val="none"/>
              </w:rPr>
              <w:t xml:space="preserve"> </w:t>
            </w:r>
            <w:r>
              <w:rPr>
                <w:rFonts w:hint="default" w:ascii="Times New Roman" w:hAnsi="Times New Roman" w:cs="Times New Roman"/>
                <w:b w:val="0"/>
                <w:bCs w:val="0"/>
                <w:color w:val="000000"/>
                <w:spacing w:val="-1"/>
                <w:sz w:val="20"/>
                <w:szCs w:val="20"/>
                <w:highlight w:val="none"/>
              </w:rPr>
              <w:t>following</w:t>
            </w:r>
            <w:r>
              <w:rPr>
                <w:rFonts w:hint="default" w:ascii="Times New Roman" w:hAnsi="Times New Roman" w:cs="Times New Roman"/>
                <w:b w:val="0"/>
                <w:bCs w:val="0"/>
                <w:color w:val="000000"/>
                <w:spacing w:val="12"/>
                <w:w w:val="102"/>
                <w:sz w:val="20"/>
                <w:szCs w:val="20"/>
                <w:highlight w:val="none"/>
              </w:rPr>
              <w:t xml:space="preserve"> </w:t>
            </w:r>
            <w:r>
              <w:rPr>
                <w:rFonts w:hint="default" w:ascii="Times New Roman" w:hAnsi="Times New Roman" w:cs="Times New Roman"/>
                <w:b w:val="0"/>
                <w:bCs w:val="0"/>
                <w:color w:val="000000"/>
                <w:spacing w:val="-1"/>
                <w:sz w:val="20"/>
                <w:szCs w:val="20"/>
                <w:highlight w:val="none"/>
              </w:rPr>
              <w:t>(check</w:t>
            </w:r>
            <w:r>
              <w:rPr>
                <w:rFonts w:hint="default" w:ascii="Times New Roman" w:hAnsi="Times New Roman" w:cs="Times New Roman"/>
                <w:b w:val="0"/>
                <w:bCs w:val="0"/>
                <w:color w:val="000000"/>
                <w:spacing w:val="4"/>
                <w:sz w:val="20"/>
                <w:szCs w:val="20"/>
                <w:highlight w:val="none"/>
              </w:rPr>
              <w:t xml:space="preserve"> </w:t>
            </w:r>
            <w:r>
              <w:rPr>
                <w:rFonts w:hint="default" w:ascii="Times New Roman" w:hAnsi="Times New Roman" w:cs="Times New Roman"/>
                <w:b w:val="0"/>
                <w:bCs w:val="0"/>
                <w:color w:val="000000"/>
                <w:spacing w:val="-1"/>
                <w:sz w:val="20"/>
                <w:szCs w:val="20"/>
                <w:highlight w:val="none"/>
              </w:rPr>
              <w:t>all</w:t>
            </w:r>
            <w:r>
              <w:rPr>
                <w:rFonts w:hint="default" w:ascii="Times New Roman" w:hAnsi="Times New Roman" w:cs="Times New Roman"/>
                <w:b w:val="0"/>
                <w:bCs w:val="0"/>
                <w:color w:val="000000"/>
                <w:sz w:val="20"/>
                <w:szCs w:val="20"/>
                <w:highlight w:val="none"/>
              </w:rPr>
              <w:t xml:space="preserve"> that apply)? Weight control, exercise, diet and/or smoking control?</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cs="Times New Roman"/>
                <w:b w:val="0"/>
                <w:bCs w:val="0"/>
                <w:color w:val="000000"/>
                <w:sz w:val="20"/>
                <w:szCs w:val="20"/>
                <w:highlight w:val="none"/>
                <w:lang w:val="en-US" w:eastAsia="zh-CN"/>
              </w:rPr>
              <w:t xml:space="preserve"> </w:t>
            </w:r>
            <w:r>
              <w:rPr>
                <w:rFonts w:hint="default" w:ascii="Times New Roman" w:hAnsi="Times New Roman" w:cs="Times New Roman"/>
                <w:b w:val="0"/>
                <w:bCs w:val="0"/>
                <w:color w:val="000000"/>
                <w:sz w:val="20"/>
                <w:szCs w:val="20"/>
                <w:highlight w:val="none"/>
              </w:rPr>
              <w:t xml:space="preserve">When participants answer, </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cs="Times New Roman"/>
                <w:b w:val="0"/>
                <w:bCs w:val="0"/>
                <w:color w:val="000000"/>
                <w:sz w:val="20"/>
                <w:szCs w:val="20"/>
                <w:highlight w:val="none"/>
              </w:rPr>
              <w:t>None of the above</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cs="Times New Roman"/>
                <w:b w:val="0"/>
                <w:bCs w:val="0"/>
                <w:color w:val="000000"/>
                <w:sz w:val="20"/>
                <w:szCs w:val="20"/>
                <w:highlight w:val="none"/>
              </w:rPr>
              <w:t>, it refers to not having received health education; otherwise, it means having received health education</w:t>
            </w:r>
            <w:r>
              <w:rPr>
                <w:rFonts w:hint="default" w:ascii="Times New Roman" w:hAnsi="Times New Roman" w:cs="Times New Roman"/>
                <w:b w:val="0"/>
                <w:bCs w:val="0"/>
                <w:color w:val="000000"/>
                <w:sz w:val="20"/>
                <w:szCs w:val="20"/>
                <w:highlight w:val="none"/>
                <w:lang w:val="en-US" w:eastAsia="zh-CN"/>
              </w:rPr>
              <w:t>.</w:t>
            </w:r>
          </w:p>
        </w:tc>
      </w:tr>
      <w:tr w14:paraId="7B035A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0A65D93C">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Employment status</w:t>
            </w:r>
          </w:p>
        </w:tc>
        <w:tc>
          <w:tcPr>
            <w:tcW w:w="3406" w:type="pct"/>
            <w:tcBorders>
              <w:top w:val="nil"/>
            </w:tcBorders>
            <w:shd w:val="clear" w:color="auto" w:fill="FFFFFF"/>
            <w:noWrap/>
            <w:vAlign w:val="center"/>
          </w:tcPr>
          <w:p w14:paraId="0D3161B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360" w:lineRule="auto"/>
              <w:ind w:left="0" w:right="0" w:firstLine="0"/>
              <w:jc w:val="left"/>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Segoe UI" w:cs="Times New Roman"/>
                <w:b w:val="0"/>
                <w:bCs w:val="0"/>
                <w:i w:val="0"/>
                <w:iCs w:val="0"/>
                <w:caps w:val="0"/>
                <w:color w:val="000000"/>
                <w:spacing w:val="0"/>
                <w:sz w:val="20"/>
                <w:szCs w:val="20"/>
                <w:highlight w:val="none"/>
                <w:shd w:val="clear" w:fill="FFFFFF"/>
              </w:rPr>
              <w:t>The employment status was defined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CharisSIL" w:cs="Times New Roman"/>
                <w:b w:val="0"/>
                <w:bCs w:val="0"/>
                <w:color w:val="000000"/>
                <w:kern w:val="0"/>
                <w:sz w:val="20"/>
                <w:szCs w:val="20"/>
                <w:highlight w:val="none"/>
                <w:lang w:val="en-US" w:eastAsia="zh-CN" w:bidi="ar"/>
              </w:rPr>
              <w:t>"</w:t>
            </w:r>
            <w:r>
              <w:rPr>
                <w:rStyle w:val="8"/>
                <w:rFonts w:hint="default" w:ascii="Times New Roman" w:hAnsi="Times New Roman" w:eastAsia="Segoe UI" w:cs="Times New Roman"/>
                <w:b w:val="0"/>
                <w:bCs w:val="0"/>
                <w:i w:val="0"/>
                <w:iCs w:val="0"/>
                <w:caps w:val="0"/>
                <w:color w:val="000000"/>
                <w:spacing w:val="0"/>
                <w:sz w:val="20"/>
                <w:szCs w:val="20"/>
                <w:highlight w:val="none"/>
                <w:shd w:val="clear" w:fill="FFFFFF"/>
              </w:rPr>
              <w:t>working</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for individuals in</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agricultural employed, agricultural self-employed, non-agricultural employed, non-agricultural self-employed,</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or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non-agricultural unpaid family business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categories</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and</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CharisSIL" w:cs="Times New Roman"/>
                <w:b w:val="0"/>
                <w:bCs w:val="0"/>
                <w:color w:val="000000"/>
                <w:kern w:val="0"/>
                <w:sz w:val="20"/>
                <w:szCs w:val="20"/>
                <w:highlight w:val="none"/>
                <w:lang w:val="en-US" w:eastAsia="zh-CN" w:bidi="ar"/>
              </w:rPr>
              <w:t>"</w:t>
            </w:r>
            <w:r>
              <w:rPr>
                <w:rStyle w:val="8"/>
                <w:rFonts w:hint="default" w:ascii="Times New Roman" w:hAnsi="Times New Roman" w:eastAsia="Segoe UI" w:cs="Times New Roman"/>
                <w:b w:val="0"/>
                <w:bCs w:val="0"/>
                <w:i w:val="0"/>
                <w:iCs w:val="0"/>
                <w:caps w:val="0"/>
                <w:color w:val="000000"/>
                <w:spacing w:val="0"/>
                <w:sz w:val="20"/>
                <w:szCs w:val="20"/>
                <w:highlight w:val="none"/>
                <w:shd w:val="clear" w:fill="FFFFFF"/>
              </w:rPr>
              <w:t>not working</w:t>
            </w:r>
            <w:r>
              <w:rPr>
                <w:rFonts w:hint="default" w:ascii="Times New Roman" w:hAnsi="Times New Roman" w:eastAsia="CharisSIL" w:cs="Times New Roman"/>
                <w:b w:val="0"/>
                <w:bCs w:val="0"/>
                <w:color w:val="000000"/>
                <w:kern w:val="0"/>
                <w:sz w:val="20"/>
                <w:szCs w:val="20"/>
                <w:highlight w:val="none"/>
                <w:lang w:val="en-US" w:eastAsia="zh-CN" w:bidi="ar"/>
              </w:rPr>
              <w:t>"</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for those categorized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unemployed, retired,</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or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never worked.</w:t>
            </w:r>
          </w:p>
        </w:tc>
      </w:tr>
      <w:tr w14:paraId="0D13D5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51DF3416">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Social score</w:t>
            </w:r>
          </w:p>
        </w:tc>
        <w:tc>
          <w:tcPr>
            <w:tcW w:w="3406" w:type="pct"/>
            <w:tcBorders>
              <w:top w:val="nil"/>
            </w:tcBorders>
            <w:shd w:val="clear" w:color="auto" w:fill="FFFFFF"/>
            <w:noWrap/>
            <w:vAlign w:val="center"/>
          </w:tcPr>
          <w:p w14:paraId="36D670A5">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QxtdgsAdvTT86d47313" w:cs="Times New Roman"/>
                <w:b w:val="0"/>
                <w:bCs w:val="0"/>
                <w:color w:val="000000"/>
                <w:kern w:val="0"/>
                <w:sz w:val="20"/>
                <w:szCs w:val="20"/>
                <w:highlight w:val="none"/>
                <w:lang w:val="en-US" w:eastAsia="zh-CN" w:bidi="ar"/>
              </w:rPr>
              <w:t>Social score was evaluated using four indicators (interacting with friendsgoing dancing, exercising, or practicing Qigong; participating in community-related organizations; and doing voluntary charity work or assisting others). A composite score (0-12 points) was calculated based on participation frequency in the past month, with results stratified into three groups: 0 points, 1–2 points, and ≥3 points.</w:t>
            </w:r>
          </w:p>
        </w:tc>
      </w:tr>
      <w:tr w14:paraId="34CF4F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B273A54">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Social isolation</w:t>
            </w:r>
          </w:p>
        </w:tc>
        <w:tc>
          <w:tcPr>
            <w:tcW w:w="3406" w:type="pct"/>
            <w:tcBorders>
              <w:top w:val="nil"/>
            </w:tcBorders>
            <w:shd w:val="clear" w:color="auto" w:fill="FFFFFF"/>
            <w:noWrap/>
            <w:vAlign w:val="center"/>
          </w:tcPr>
          <w:p w14:paraId="6A073188">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bCs w:val="0"/>
                <w:color w:val="000000"/>
                <w:kern w:val="0"/>
                <w:sz w:val="20"/>
                <w:szCs w:val="20"/>
                <w:highlight w:val="none"/>
                <w:lang w:val="en-US" w:eastAsia="zh-CN" w:bidi="ar"/>
              </w:rPr>
              <w:t>Social isolation was evaluated based on the number of people in the household, frequency of social activities, contact with others, and marriage status. For the social isolation evaluation, participants received 1 point for each of the following: being unmarried (including separated, divorced, widowed, or never married), living alone, having less than weekly contact with their children (via phone, in person, or email), and not participating in any social activities over the past month (including interacting with friends, playing chess or cards, attending sports, social, or other clubs). Scores on the social isolation index ranged from 0 to 4, with higher scores indicating a higher level of social isolation. Participants with ≥2 points were allocated to the social isolation group.</w:t>
            </w:r>
          </w:p>
        </w:tc>
      </w:tr>
      <w:tr w14:paraId="47483F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368BF596">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Number of living children</w:t>
            </w:r>
          </w:p>
        </w:tc>
        <w:tc>
          <w:tcPr>
            <w:tcW w:w="3406" w:type="pct"/>
            <w:tcBorders>
              <w:top w:val="nil"/>
            </w:tcBorders>
            <w:shd w:val="clear" w:color="auto" w:fill="FFFFFF"/>
            <w:noWrap/>
            <w:vAlign w:val="center"/>
          </w:tcPr>
          <w:p w14:paraId="540B439F">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jc w:val="left"/>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宋体" w:cs="Times New Roman"/>
                <w:b w:val="0"/>
                <w:bCs w:val="0"/>
                <w:color w:val="000000"/>
                <w:kern w:val="0"/>
                <w:sz w:val="20"/>
                <w:szCs w:val="20"/>
                <w:highlight w:val="none"/>
                <w:lang w:val="en-US" w:eastAsia="zh-CN" w:bidi="ar"/>
              </w:rPr>
              <w:t xml:space="preserve">Number of living children </w:t>
            </w:r>
            <w:r>
              <w:rPr>
                <w:rFonts w:hint="default" w:ascii="Times New Roman" w:hAnsi="Times New Roman" w:eastAsia="宋体" w:cs="Times New Roman"/>
                <w:b w:val="0"/>
                <w:color w:val="000000"/>
                <w:kern w:val="0"/>
                <w:sz w:val="20"/>
                <w:szCs w:val="20"/>
                <w:highlight w:val="none"/>
                <w:lang w:val="en-US" w:eastAsia="zh-CN" w:bidi="ar"/>
              </w:rPr>
              <w:t>indicated the number of living children of the respondent and spouse, including co-resident or non-co-resident children.</w:t>
            </w:r>
          </w:p>
        </w:tc>
      </w:tr>
      <w:tr w14:paraId="3F0AFD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C90D55F">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Living alone</w:t>
            </w:r>
          </w:p>
        </w:tc>
        <w:tc>
          <w:tcPr>
            <w:tcW w:w="3406" w:type="pct"/>
            <w:tcBorders>
              <w:top w:val="nil"/>
            </w:tcBorders>
            <w:shd w:val="clear" w:color="auto" w:fill="FFFFFF"/>
            <w:noWrap/>
            <w:vAlign w:val="center"/>
          </w:tcPr>
          <w:p w14:paraId="53A3CF0F">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jc w:val="left"/>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Segoe UI" w:cs="Times New Roman"/>
                <w:b w:val="0"/>
                <w:i w:val="0"/>
                <w:iCs w:val="0"/>
                <w:caps w:val="0"/>
                <w:color w:val="000000"/>
                <w:spacing w:val="0"/>
                <w:sz w:val="20"/>
                <w:szCs w:val="20"/>
                <w:highlight w:val="none"/>
                <w:shd w:val="clear" w:fill="FFFFFF"/>
              </w:rPr>
              <w:t>In</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dividuals </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were</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 categorized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8"/>
                <w:rFonts w:hint="default" w:ascii="Times New Roman" w:hAnsi="Times New Roman" w:eastAsia="Segoe UI" w:cs="Times New Roman"/>
                <w:b w:val="0"/>
                <w:bCs w:val="0"/>
                <w:i w:val="0"/>
                <w:iCs/>
                <w:caps w:val="0"/>
                <w:color w:val="000000"/>
                <w:spacing w:val="0"/>
                <w:sz w:val="20"/>
                <w:szCs w:val="20"/>
                <w:highlight w:val="none"/>
                <w:shd w:val="clear" w:fill="FFFFFF"/>
              </w:rPr>
              <w:t>living alone</w:t>
            </w:r>
            <w:r>
              <w:rPr>
                <w:rStyle w:val="8"/>
                <w:rFonts w:hint="default" w:ascii="Times New Roman" w:hAnsi="Times New Roman" w:eastAsia="宋体" w:cs="Times New Roman"/>
                <w:b w:val="0"/>
                <w:bCs w:val="0"/>
                <w:i w:val="0"/>
                <w:iCs/>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when the</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n</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umber of </w:t>
            </w:r>
            <w:r>
              <w:rPr>
                <w:rStyle w:val="7"/>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h</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ousehold </w:t>
            </w:r>
            <w:r>
              <w:rPr>
                <w:rStyle w:val="7"/>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r</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espondents</w:t>
            </w:r>
            <w:r>
              <w:rPr>
                <w:rStyle w:val="7"/>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equals 1.</w:t>
            </w:r>
          </w:p>
        </w:tc>
      </w:tr>
      <w:tr w14:paraId="6832BC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6CD8EDE1">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 xml:space="preserve">Bidirectional financial </w:t>
            </w:r>
            <w:r>
              <w:rPr>
                <w:rFonts w:hint="default" w:ascii="Times New Roman" w:hAnsi="Times New Roman" w:eastAsia="AdvOT5fa4e291" w:cs="Times New Roman"/>
                <w:b w:val="0"/>
                <w:bCs w:val="0"/>
                <w:color w:val="000000"/>
                <w:kern w:val="0"/>
                <w:sz w:val="20"/>
                <w:szCs w:val="20"/>
                <w:highlight w:val="none"/>
                <w:lang w:val="en-US" w:eastAsia="zh-CN" w:bidi="ar"/>
              </w:rPr>
              <w:t>support</w:t>
            </w:r>
          </w:p>
        </w:tc>
        <w:tc>
          <w:tcPr>
            <w:tcW w:w="3406" w:type="pct"/>
            <w:tcBorders>
              <w:top w:val="nil"/>
            </w:tcBorders>
            <w:shd w:val="clear" w:color="auto" w:fill="FFFFFF"/>
            <w:noWrap/>
            <w:vAlign w:val="center"/>
          </w:tcPr>
          <w:p w14:paraId="6EA0363A">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AdvOT5fa4e291" w:cs="Times New Roman"/>
                <w:b w:val="0"/>
                <w:bCs w:val="0"/>
                <w:color w:val="000000"/>
                <w:kern w:val="0"/>
                <w:sz w:val="20"/>
                <w:szCs w:val="20"/>
                <w:highlight w:val="none"/>
                <w:lang w:val="en-US" w:eastAsia="zh-CN" w:bidi="ar"/>
              </w:rPr>
              <w:t xml:space="preserve">Financial support assessed bidirectional exchange: (1) whether older adults received financialor material support from their children and (2) whether they provided such support to their children in the past year. Responses were categorized into four patterns: over-benefited (older parents received only), under-benefited (older parents provided only), reciprocal (bidirectional exchange), and no </w:t>
            </w:r>
            <w:r>
              <w:rPr>
                <w:rFonts w:hint="default" w:ascii="Times New Roman" w:hAnsi="Times New Roman" w:eastAsia="AdvOT5fa4e291+fb" w:cs="Times New Roman"/>
                <w:b w:val="0"/>
                <w:bCs w:val="0"/>
                <w:color w:val="000000"/>
                <w:kern w:val="0"/>
                <w:sz w:val="20"/>
                <w:szCs w:val="20"/>
                <w:highlight w:val="none"/>
                <w:lang w:val="en-US" w:eastAsia="zh-CN" w:bidi="ar"/>
              </w:rPr>
              <w:t>fl</w:t>
            </w:r>
            <w:r>
              <w:rPr>
                <w:rFonts w:hint="default" w:ascii="Times New Roman" w:hAnsi="Times New Roman" w:eastAsia="AdvOT5fa4e291" w:cs="Times New Roman"/>
                <w:b w:val="0"/>
                <w:bCs w:val="0"/>
                <w:color w:val="000000"/>
                <w:kern w:val="0"/>
                <w:sz w:val="20"/>
                <w:szCs w:val="20"/>
                <w:highlight w:val="none"/>
                <w:lang w:val="en-US" w:eastAsia="zh-CN" w:bidi="ar"/>
              </w:rPr>
              <w:t>ow of exchange (no exchange).</w:t>
            </w:r>
          </w:p>
        </w:tc>
      </w:tr>
      <w:tr w14:paraId="3DEE23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tcBorders>
            <w:shd w:val="clear" w:color="auto" w:fill="FFFFFF"/>
            <w:noWrap/>
            <w:vAlign w:val="center"/>
          </w:tcPr>
          <w:p w14:paraId="771C5604">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 xml:space="preserve">Bidirectional caring </w:t>
            </w:r>
            <w:r>
              <w:rPr>
                <w:rFonts w:hint="default" w:ascii="Times New Roman" w:hAnsi="Times New Roman" w:eastAsia="AdvOT5fa4e291" w:cs="Times New Roman"/>
                <w:b w:val="0"/>
                <w:bCs w:val="0"/>
                <w:color w:val="000000"/>
                <w:kern w:val="0"/>
                <w:sz w:val="20"/>
                <w:szCs w:val="20"/>
                <w:highlight w:val="none"/>
                <w:lang w:val="en-US" w:eastAsia="zh-CN" w:bidi="ar"/>
              </w:rPr>
              <w:t>support</w:t>
            </w:r>
          </w:p>
        </w:tc>
        <w:tc>
          <w:tcPr>
            <w:tcW w:w="3406" w:type="pct"/>
            <w:tcBorders>
              <w:top w:val="nil"/>
            </w:tcBorders>
            <w:shd w:val="clear" w:color="auto" w:fill="FFFFFF"/>
            <w:noWrap/>
            <w:vAlign w:val="center"/>
          </w:tcPr>
          <w:p w14:paraId="13013A69">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left="0" w:leftChars="0" w:firstLine="0" w:firstLineChars="0"/>
              <w:jc w:val="left"/>
              <w:textAlignment w:val="center"/>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AdvOT5fa4e291" w:cs="Times New Roman"/>
                <w:b w:val="0"/>
                <w:bCs w:val="0"/>
                <w:color w:val="000000"/>
                <w:kern w:val="0"/>
                <w:sz w:val="20"/>
                <w:szCs w:val="20"/>
                <w:highlight w:val="none"/>
                <w:lang w:val="en-US" w:eastAsia="zh-CN" w:bidi="ar"/>
              </w:rPr>
              <w:t xml:space="preserve">Caring support evaluated reciprocal caregiving: (1) whether older adults spend time taking care of your grandchildren and (2) whether children or grandchildren help them with daily activities. Responses were categorized into four patterns: over-benefited (older parents received only), under-benefited (older parents provided only), reciprocal (bidirectional exchange), and no </w:t>
            </w:r>
            <w:r>
              <w:rPr>
                <w:rFonts w:hint="default" w:ascii="Times New Roman" w:hAnsi="Times New Roman" w:eastAsia="AdvOT5fa4e291+fb" w:cs="Times New Roman"/>
                <w:b w:val="0"/>
                <w:bCs w:val="0"/>
                <w:color w:val="000000"/>
                <w:kern w:val="0"/>
                <w:sz w:val="20"/>
                <w:szCs w:val="20"/>
                <w:highlight w:val="none"/>
                <w:lang w:val="en-US" w:eastAsia="zh-CN" w:bidi="ar"/>
              </w:rPr>
              <w:t>fl</w:t>
            </w:r>
            <w:r>
              <w:rPr>
                <w:rFonts w:hint="default" w:ascii="Times New Roman" w:hAnsi="Times New Roman" w:eastAsia="AdvOT5fa4e291" w:cs="Times New Roman"/>
                <w:b w:val="0"/>
                <w:bCs w:val="0"/>
                <w:color w:val="000000"/>
                <w:kern w:val="0"/>
                <w:sz w:val="20"/>
                <w:szCs w:val="20"/>
                <w:highlight w:val="none"/>
                <w:lang w:val="en-US" w:eastAsia="zh-CN" w:bidi="ar"/>
              </w:rPr>
              <w:t>ow of exchange (no exchange).</w:t>
            </w:r>
          </w:p>
        </w:tc>
      </w:tr>
      <w:tr w14:paraId="4FF13A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93" w:type="pct"/>
            <w:tcBorders>
              <w:top w:val="nil"/>
              <w:bottom w:val="single" w:color="000000" w:sz="12" w:space="0"/>
            </w:tcBorders>
            <w:shd w:val="clear" w:color="auto" w:fill="FFFFFF"/>
            <w:noWrap/>
            <w:vAlign w:val="center"/>
          </w:tcPr>
          <w:p w14:paraId="32CBE616">
            <w:pPr>
              <w:keepNext w:val="0"/>
              <w:keepLines w:val="0"/>
              <w:pageBreakBefore w:val="0"/>
              <w:widowControl/>
              <w:kinsoku/>
              <w:wordWrap/>
              <w:overflowPunct/>
              <w:topLinePunct w:val="0"/>
              <w:autoSpaceDE/>
              <w:autoSpaceDN/>
              <w:bidi w:val="0"/>
              <w:adjustRightInd/>
              <w:snapToGrid/>
              <w:spacing w:beforeAutospacing="0" w:line="360" w:lineRule="auto"/>
              <w:ind w:left="0"/>
              <w:textAlignment w:val="auto"/>
              <w:rPr>
                <w:rFonts w:hint="default" w:ascii="Times New Roman" w:hAnsi="Times New Roman" w:eastAsia="宋体" w:cs="Times New Roman"/>
                <w:b w:val="0"/>
                <w:bCs w:val="0"/>
                <w:color w:val="000000"/>
                <w:kern w:val="0"/>
                <w:sz w:val="20"/>
                <w:szCs w:val="20"/>
                <w:highlight w:val="none"/>
                <w:lang w:val="en-US" w:eastAsia="zh-CN" w:bidi="ar"/>
              </w:rPr>
            </w:pPr>
            <w:r>
              <w:rPr>
                <w:rFonts w:hint="default" w:ascii="Times New Roman" w:hAnsi="Times New Roman" w:eastAsia="宋体" w:cs="Times New Roman"/>
                <w:b w:val="0"/>
                <w:bCs w:val="0"/>
                <w:color w:val="000000"/>
                <w:kern w:val="0"/>
                <w:sz w:val="20"/>
                <w:szCs w:val="20"/>
                <w:highlight w:val="none"/>
                <w:lang w:val="en-US" w:eastAsia="zh-CN" w:bidi="ar"/>
              </w:rPr>
              <w:t xml:space="preserve">Bidirectional emotional </w:t>
            </w:r>
            <w:r>
              <w:rPr>
                <w:rFonts w:hint="default" w:ascii="Times New Roman" w:hAnsi="Times New Roman" w:eastAsia="AdvTTb83ee1dd.B" w:cs="Times New Roman"/>
                <w:b w:val="0"/>
                <w:bCs w:val="0"/>
                <w:color w:val="000000"/>
                <w:kern w:val="0"/>
                <w:sz w:val="20"/>
                <w:szCs w:val="20"/>
                <w:highlight w:val="none"/>
                <w:lang w:val="en-US" w:eastAsia="zh-CN" w:bidi="ar"/>
              </w:rPr>
              <w:t>communication</w:t>
            </w:r>
          </w:p>
        </w:tc>
        <w:tc>
          <w:tcPr>
            <w:tcW w:w="3406" w:type="pct"/>
            <w:tcBorders>
              <w:top w:val="nil"/>
              <w:bottom w:val="single" w:color="000000" w:sz="12" w:space="0"/>
            </w:tcBorders>
            <w:shd w:val="clear" w:color="auto" w:fill="FFFFFF"/>
            <w:noWrap/>
            <w:vAlign w:val="center"/>
          </w:tcPr>
          <w:p w14:paraId="4B8FD3F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宋体" w:cs="Times New Roman"/>
                <w:b w:val="0"/>
                <w:i w:val="0"/>
                <w:iCs w:val="0"/>
                <w:color w:val="000000"/>
                <w:kern w:val="2"/>
                <w:sz w:val="20"/>
                <w:szCs w:val="20"/>
                <w:highlight w:val="none"/>
                <w:u w:val="none"/>
                <w:lang w:val="en-US" w:eastAsia="zh-CN" w:bidi="ar-SA"/>
              </w:rPr>
            </w:pPr>
            <w:r>
              <w:rPr>
                <w:rFonts w:hint="default" w:ascii="Times New Roman" w:hAnsi="Times New Roman" w:eastAsia="AdvTTb83ee1dd.B" w:cs="Times New Roman"/>
                <w:b w:val="0"/>
                <w:bCs w:val="0"/>
                <w:color w:val="000000"/>
                <w:kern w:val="0"/>
                <w:sz w:val="20"/>
                <w:szCs w:val="20"/>
                <w:highlight w:val="none"/>
                <w:lang w:val="en-US" w:eastAsia="zh-CN" w:bidi="ar"/>
              </w:rPr>
              <w:t xml:space="preserve">Bidirectional emotional communication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was defined as</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AdvOT5fa4e291" w:cs="Times New Roman"/>
                <w:b w:val="0"/>
                <w:bCs w:val="0"/>
                <w:color w:val="000000"/>
                <w:kern w:val="0"/>
                <w:sz w:val="20"/>
                <w:szCs w:val="20"/>
                <w:highlight w:val="none"/>
                <w:lang w:val="en-US" w:eastAsia="zh-CN" w:bidi="ar"/>
              </w:rPr>
              <w:t xml:space="preserve">adequate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when non-cohabitating older adults met their children at least once a month</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Style w:val="7"/>
                <w:rFonts w:hint="default" w:ascii="Times New Roman" w:hAnsi="Times New Roman" w:eastAsia="Segoe UI" w:cs="Times New Roman"/>
                <w:b w:val="0"/>
                <w:bCs w:val="0"/>
                <w:i w:val="0"/>
                <w:iCs w:val="0"/>
                <w:caps w:val="0"/>
                <w:color w:val="000000"/>
                <w:spacing w:val="0"/>
                <w:sz w:val="20"/>
                <w:szCs w:val="20"/>
                <w:highlight w:val="none"/>
                <w:shd w:val="clear" w:fill="FFFFFF"/>
              </w:rPr>
              <w:t>or</w:t>
            </w:r>
            <w:r>
              <w:rPr>
                <w:rFonts w:hint="default" w:ascii="Times New Roman" w:hAnsi="Times New Roman" w:eastAsia="宋体" w:cs="Times New Roman"/>
                <w:b w:val="0"/>
                <w:bCs w:val="0"/>
                <w:i w:val="0"/>
                <w:iCs w:val="0"/>
                <w:caps w:val="0"/>
                <w:color w:val="000000"/>
                <w:spacing w:val="0"/>
                <w:sz w:val="20"/>
                <w:szCs w:val="20"/>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communicated weekly via phone calls,</w:t>
            </w:r>
            <w:r>
              <w:rPr>
                <w:rFonts w:hint="default" w:ascii="Times New Roman" w:hAnsi="Times New Roman" w:eastAsia="AdvOT5fa4e291" w:cs="Times New Roman"/>
                <w:b w:val="0"/>
                <w:bCs w:val="0"/>
                <w:color w:val="000000"/>
                <w:kern w:val="0"/>
                <w:sz w:val="20"/>
                <w:szCs w:val="20"/>
                <w:highlight w:val="none"/>
                <w:lang w:val="en-US" w:eastAsia="zh-CN" w:bidi="ar"/>
              </w:rPr>
              <w:t>text messages</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 letters, WeChat, or </w:t>
            </w:r>
            <w:r>
              <w:rPr>
                <w:rFonts w:hint="default" w:ascii="Times New Roman" w:hAnsi="Times New Roman" w:eastAsia="AdvOT5fa4e291" w:cs="Times New Roman"/>
                <w:b w:val="0"/>
                <w:bCs w:val="0"/>
                <w:color w:val="000000"/>
                <w:kern w:val="0"/>
                <w:sz w:val="20"/>
                <w:szCs w:val="20"/>
                <w:highlight w:val="none"/>
                <w:lang w:val="en-US" w:eastAsia="zh-CN" w:bidi="ar"/>
              </w:rPr>
              <w:t>mail exchanges</w:t>
            </w:r>
            <w:r>
              <w:rPr>
                <w:rFonts w:hint="default" w:ascii="Times New Roman" w:hAnsi="Times New Roman" w:eastAsia="Segoe UI" w:cs="Times New Roman"/>
                <w:b w:val="0"/>
                <w:bCs w:val="0"/>
                <w:i w:val="0"/>
                <w:iCs w:val="0"/>
                <w:caps w:val="0"/>
                <w:color w:val="000000"/>
                <w:spacing w:val="0"/>
                <w:sz w:val="20"/>
                <w:szCs w:val="20"/>
                <w:highlight w:val="none"/>
                <w:shd w:val="clear" w:fill="FFFFFF"/>
              </w:rPr>
              <w:t xml:space="preserve">, based on prior criteria. </w:t>
            </w:r>
            <w:r>
              <w:rPr>
                <w:rFonts w:hint="default" w:ascii="Times New Roman" w:hAnsi="Times New Roman" w:eastAsia="AdvOT5fa4e291" w:cs="Times New Roman"/>
                <w:b w:val="0"/>
                <w:bCs w:val="0"/>
                <w:color w:val="000000"/>
                <w:kern w:val="0"/>
                <w:sz w:val="20"/>
                <w:szCs w:val="20"/>
                <w:highlight w:val="none"/>
                <w:lang w:val="en-US" w:eastAsia="zh-CN" w:bidi="ar"/>
              </w:rPr>
              <w:t xml:space="preserve">Otherwise, communication </w:t>
            </w:r>
            <w:r>
              <w:rPr>
                <w:rFonts w:hint="default" w:ascii="Times New Roman" w:hAnsi="Times New Roman" w:eastAsia="Segoe UI" w:cs="Times New Roman"/>
                <w:b w:val="0"/>
                <w:bCs w:val="0"/>
                <w:i w:val="0"/>
                <w:iCs w:val="0"/>
                <w:caps w:val="0"/>
                <w:color w:val="000000"/>
                <w:spacing w:val="0"/>
                <w:sz w:val="20"/>
                <w:szCs w:val="20"/>
                <w:highlight w:val="none"/>
                <w:shd w:val="clear" w:fill="FFFFFF"/>
              </w:rPr>
              <w:t>were categorized as</w:t>
            </w:r>
            <w:r>
              <w:rPr>
                <w:rFonts w:hint="default" w:ascii="Times New Roman" w:hAnsi="Times New Roman" w:eastAsia="AdvOT5fa4e291" w:cs="Times New Roman"/>
                <w:b w:val="0"/>
                <w:bCs w:val="0"/>
                <w:color w:val="000000"/>
                <w:kern w:val="0"/>
                <w:sz w:val="20"/>
                <w:szCs w:val="20"/>
                <w:highlight w:val="none"/>
                <w:lang w:val="en-US" w:eastAsia="zh-CN" w:bidi="ar"/>
              </w:rPr>
              <w:t xml:space="preserve"> not adequate.</w:t>
            </w:r>
          </w:p>
        </w:tc>
      </w:tr>
    </w:tbl>
    <w:p w14:paraId="5CFB2EC3">
      <w:pPr>
        <w:keepNext w:val="0"/>
        <w:keepLines w:val="0"/>
        <w:pageBreakBefore w:val="0"/>
        <w:kinsoku/>
        <w:wordWrap/>
        <w:overflowPunct/>
        <w:topLinePunct w:val="0"/>
        <w:autoSpaceDE/>
        <w:autoSpaceDN/>
        <w:bidi w:val="0"/>
        <w:adjustRightInd/>
        <w:snapToGrid/>
        <w:spacing w:beforeAutospacing="0" w:line="360" w:lineRule="auto"/>
        <w:ind w:left="0"/>
        <w:jc w:val="left"/>
        <w:textAlignment w:val="auto"/>
        <w:rPr>
          <w:rFonts w:hint="default" w:ascii="Times New Roman" w:hAnsi="Times New Roman" w:cs="Times New Roman"/>
          <w:sz w:val="20"/>
          <w:szCs w:val="20"/>
        </w:rPr>
      </w:pPr>
      <w:r>
        <w:rPr>
          <w:rFonts w:hint="default" w:ascii="Times New Roman" w:hAnsi="Times New Roman" w:cs="Times New Roman"/>
          <w:color w:val="auto"/>
          <w:sz w:val="20"/>
          <w:szCs w:val="20"/>
          <w:highlight w:val="none"/>
        </w:rPr>
        <w:t>ADL, activities of daily living</w:t>
      </w:r>
      <w:r>
        <w:rPr>
          <w:rFonts w:hint="default" w:ascii="Times New Roman" w:hAnsi="Times New Roman" w:cs="Times New Roman"/>
          <w:color w:val="auto"/>
          <w:sz w:val="20"/>
          <w:szCs w:val="20"/>
          <w:highlight w:val="none"/>
          <w:lang w:val="en-US" w:eastAsia="zh-CN"/>
        </w:rPr>
        <w:t xml:space="preserve">; </w:t>
      </w:r>
      <w:r>
        <w:rPr>
          <w:rFonts w:hint="default" w:ascii="Times New Roman" w:hAnsi="Times New Roman" w:cs="Times New Roman"/>
          <w:color w:val="auto"/>
          <w:sz w:val="20"/>
          <w:szCs w:val="20"/>
          <w:highlight w:val="none"/>
        </w:rPr>
        <w:t>BMI, body mass index</w:t>
      </w:r>
      <w:r>
        <w:rPr>
          <w:rFonts w:hint="default" w:ascii="Times New Roman" w:hAnsi="Times New Roman" w:cs="Times New Roman"/>
          <w:color w:val="auto"/>
          <w:sz w:val="20"/>
          <w:szCs w:val="20"/>
          <w:highlight w:val="none"/>
          <w:lang w:val="en-US" w:eastAsia="zh-CN"/>
        </w:rPr>
        <w:t xml:space="preserve">; CMM: </w:t>
      </w:r>
      <w:r>
        <w:rPr>
          <w:rFonts w:hint="default" w:ascii="Times New Roman" w:hAnsi="Times New Roman" w:cs="Times New Roman"/>
          <w:b w:val="0"/>
          <w:bCs w:val="0"/>
          <w:color w:val="auto"/>
          <w:sz w:val="20"/>
          <w:szCs w:val="20"/>
          <w:highlight w:val="none"/>
          <w:lang w:val="en-US" w:eastAsia="zh-CN"/>
        </w:rPr>
        <w:t xml:space="preserve">cardiometabolic multimorbidity; h, hour; </w:t>
      </w:r>
      <w:r>
        <w:rPr>
          <w:rFonts w:hint="default" w:ascii="Times New Roman" w:hAnsi="Times New Roman" w:cs="Times New Roman"/>
          <w:color w:val="auto"/>
          <w:sz w:val="20"/>
          <w:szCs w:val="20"/>
          <w:highlight w:val="none"/>
        </w:rPr>
        <w:t>I</w:t>
      </w:r>
      <w:bookmarkStart w:id="1" w:name="OLE_LINK3"/>
      <w:r>
        <w:rPr>
          <w:rFonts w:hint="default" w:ascii="Times New Roman" w:hAnsi="Times New Roman" w:cs="Times New Roman"/>
          <w:color w:val="auto"/>
          <w:sz w:val="20"/>
          <w:szCs w:val="20"/>
          <w:highlight w:val="none"/>
        </w:rPr>
        <w:t>ADL, instrumental activities of daily livin</w:t>
      </w:r>
      <w:bookmarkEnd w:id="1"/>
      <w:r>
        <w:rPr>
          <w:rFonts w:hint="default" w:ascii="Times New Roman" w:hAnsi="Times New Roman" w:cs="Times New Roman"/>
          <w:color w:val="auto"/>
          <w:sz w:val="20"/>
          <w:szCs w:val="20"/>
          <w:highlight w:val="none"/>
          <w:lang w:val="en-US" w:eastAsia="zh-CN"/>
        </w:rPr>
        <w:t xml:space="preserve">g; Q, </w:t>
      </w:r>
      <w:r>
        <w:rPr>
          <w:rFonts w:hint="default" w:ascii="Times New Roman" w:hAnsi="Times New Roman" w:cs="Times New Roman"/>
          <w:b w:val="0"/>
          <w:bCs w:val="0"/>
          <w:color w:val="auto"/>
          <w:sz w:val="20"/>
          <w:szCs w:val="20"/>
          <w:highlight w:val="none"/>
        </w:rPr>
        <w:t>quartile</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CharisSI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TIX-Regular">
    <w:altName w:val="Segoe Print"/>
    <w:panose1 w:val="00000000000000000000"/>
    <w:charset w:val="00"/>
    <w:family w:val="auto"/>
    <w:pitch w:val="default"/>
    <w:sig w:usb0="00000000" w:usb1="00000000" w:usb2="00000000" w:usb3="00000000" w:csb0="00000000" w:csb1="00000000"/>
  </w:font>
  <w:font w:name="QxtdgsAdvTT86d47313">
    <w:altName w:val="Segoe Print"/>
    <w:panose1 w:val="00000000000000000000"/>
    <w:charset w:val="00"/>
    <w:family w:val="auto"/>
    <w:pitch w:val="default"/>
    <w:sig w:usb0="00000000" w:usb1="00000000" w:usb2="00000000" w:usb3="00000000" w:csb0="00000000" w:csb1="00000000"/>
  </w:font>
  <w:font w:name="JbgwvmAdvTT86d47313+20">
    <w:altName w:val="Segoe Print"/>
    <w:panose1 w:val="00000000000000000000"/>
    <w:charset w:val="00"/>
    <w:family w:val="auto"/>
    <w:pitch w:val="default"/>
    <w:sig w:usb0="00000000" w:usb1="00000000" w:usb2="00000000" w:usb3="00000000" w:csb0="00000000" w:csb1="00000000"/>
  </w:font>
  <w:font w:name="BbwybnAdvTT86d47313+22">
    <w:altName w:val="Segoe Print"/>
    <w:panose1 w:val="00000000000000000000"/>
    <w:charset w:val="00"/>
    <w:family w:val="auto"/>
    <w:pitch w:val="default"/>
    <w:sig w:usb0="00000000" w:usb1="00000000" w:usb2="00000000" w:usb3="00000000" w:csb0="00000000" w:csb1="00000000"/>
  </w:font>
  <w:font w:name="WarnockPro-Regular">
    <w:altName w:val="Segoe Print"/>
    <w:panose1 w:val="00000000000000000000"/>
    <w:charset w:val="00"/>
    <w:family w:val="auto"/>
    <w:pitch w:val="default"/>
    <w:sig w:usb0="00000000" w:usb1="00000000" w:usb2="00000000" w:usb3="00000000" w:csb0="00000000" w:csb1="00000000"/>
  </w:font>
  <w:font w:name="URWPalladioL-Roma">
    <w:altName w:val="Segoe Print"/>
    <w:panose1 w:val="00000000000000000000"/>
    <w:charset w:val="00"/>
    <w:family w:val="auto"/>
    <w:pitch w:val="default"/>
    <w:sig w:usb0="00000000" w:usb1="00000000" w:usb2="00000000" w:usb3="00000000" w:csb0="00000000" w:csb1="00000000"/>
  </w:font>
  <w:font w:name="Rpxr">
    <w:altName w:val="Segoe Print"/>
    <w:panose1 w:val="00000000000000000000"/>
    <w:charset w:val="00"/>
    <w:family w:val="auto"/>
    <w:pitch w:val="default"/>
    <w:sig w:usb0="00000000" w:usb1="00000000" w:usb2="00000000" w:usb3="00000000" w:csb0="00000000" w:csb1="00000000"/>
  </w:font>
  <w:font w:name="Pxsy">
    <w:altName w:val="Segoe Print"/>
    <w:panose1 w:val="00000000000000000000"/>
    <w:charset w:val="00"/>
    <w:family w:val="auto"/>
    <w:pitch w:val="default"/>
    <w:sig w:usb0="00000000" w:usb1="00000000" w:usb2="00000000" w:usb3="00000000" w:csb0="00000000" w:csb1="00000000"/>
  </w:font>
  <w:font w:name="MinionPro-Regular">
    <w:altName w:val="Segoe Print"/>
    <w:panose1 w:val="00000000000000000000"/>
    <w:charset w:val="00"/>
    <w:family w:val="auto"/>
    <w:pitch w:val="default"/>
    <w:sig w:usb0="00000000" w:usb1="00000000" w:usb2="00000000" w:usb3="00000000" w:csb0="00000000" w:csb1="00000000"/>
  </w:font>
  <w:font w:name="AdvOT5fa4e291">
    <w:altName w:val="Segoe Print"/>
    <w:panose1 w:val="00000000000000000000"/>
    <w:charset w:val="00"/>
    <w:family w:val="auto"/>
    <w:pitch w:val="default"/>
    <w:sig w:usb0="00000000" w:usb1="00000000" w:usb2="00000000" w:usb3="00000000" w:csb0="00000000" w:csb1="00000000"/>
  </w:font>
  <w:font w:name="AdvOT5fa4e291+fb">
    <w:altName w:val="Segoe Print"/>
    <w:panose1 w:val="00000000000000000000"/>
    <w:charset w:val="00"/>
    <w:family w:val="auto"/>
    <w:pitch w:val="default"/>
    <w:sig w:usb0="00000000" w:usb1="00000000" w:usb2="00000000" w:usb3="00000000" w:csb0="00000000" w:csb1="00000000"/>
  </w:font>
  <w:font w:name="AdvTTb83ee1dd.B">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C97E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8B524F">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8B524F">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183A6D"/>
    <w:rsid w:val="0BC10925"/>
    <w:rsid w:val="107635E0"/>
    <w:rsid w:val="16571C55"/>
    <w:rsid w:val="185E6863"/>
    <w:rsid w:val="18834900"/>
    <w:rsid w:val="1B820332"/>
    <w:rsid w:val="243513E0"/>
    <w:rsid w:val="31F513AB"/>
    <w:rsid w:val="383A4582"/>
    <w:rsid w:val="3F865BC8"/>
    <w:rsid w:val="40962182"/>
    <w:rsid w:val="41721DAD"/>
    <w:rsid w:val="4FC0497B"/>
    <w:rsid w:val="510C6007"/>
    <w:rsid w:val="56E3418D"/>
    <w:rsid w:val="592D3C65"/>
    <w:rsid w:val="5E183A6D"/>
    <w:rsid w:val="63C3175B"/>
    <w:rsid w:val="6E183522"/>
    <w:rsid w:val="74365CEE"/>
    <w:rsid w:val="76E94FCC"/>
    <w:rsid w:val="7701555C"/>
    <w:rsid w:val="7B135CFC"/>
    <w:rsid w:val="7F716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2"/>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rPr>
  </w:style>
  <w:style w:type="character" w:styleId="8">
    <w:name w:val="Emphasis"/>
    <w:basedOn w:val="6"/>
    <w:qFormat/>
    <w:uiPriority w:val="0"/>
    <w:rPr>
      <w:i/>
    </w:rPr>
  </w:style>
  <w:style w:type="table" w:customStyle="1" w:styleId="9">
    <w:name w:val="Grid Table Light"/>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1399</Words>
  <Characters>8291</Characters>
  <Lines>0</Lines>
  <Paragraphs>0</Paragraphs>
  <TotalTime>10</TotalTime>
  <ScaleCrop>false</ScaleCrop>
  <LinksUpToDate>false</LinksUpToDate>
  <CharactersWithSpaces>9618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2025-06-01T07:56:00Z</dcterms:created>
  <dc:creator>Zhang Hanxu</dc:creator>
  <cp:lastModifiedBy>Zhang Hanxu</cp:lastModifiedBy>
  <dcterms:modified xsi:type="dcterms:W3CDTF">2025-12-22T05:48:35Z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2C4374903991488684FBB22E6CF6D755_13</vt:lpwstr>
  </property>
  <property fmtid="{D5CDD505-2E9C-101B-9397-08002B2CF9AE}" pid="4" name="KSOTemplateDocerSaveRecord">
    <vt:lpwstr>eyJoZGlkIjoiMzEwNTM5NzYwMDRjMzkwZTVkZjY2ODkwMGIxNGU0OTUiLCJ1c2VySWQiOiIyNTUxNjM0MzAifQ==</vt:lpwstr>
  </property>
</Properties>
</file>