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32F8D" w14:textId="7999D90D" w:rsidR="00251A5A" w:rsidRDefault="00251A5A" w:rsidP="00322B95">
      <w:pPr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en-US"/>
        </w:rPr>
      </w:pPr>
      <w:r w:rsidRPr="00251A5A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en-US"/>
        </w:rPr>
        <w:t>Incidence and duration of potentially inappropriate continuation of in-hospital-initiated opioids, benzodiazepines and antipsychotics: a retrospective cohort study</w:t>
      </w:r>
      <w:bookmarkStart w:id="0" w:name="_GoBack"/>
      <w:bookmarkEnd w:id="0"/>
    </w:p>
    <w:p w14:paraId="15E067A6" w14:textId="572632AE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Judith de Ruijter – van Dalem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PharmD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, PhD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a,b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Marjo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 JA Janssen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PharmD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, PhD c; Johanna HM Driessen PhD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a,d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; Carl EH Siegert MD e; Alex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Marmorale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 BSc f; Daniala L Weir PhD g; Fatma Karapinar- Çarkit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PharmD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, PhD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a,d</w:t>
      </w:r>
      <w:proofErr w:type="spellEnd"/>
    </w:p>
    <w:p w14:paraId="5CF5121D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a Department of Clinical Pharmacy &amp; Toxicology, Maastricht University Medical Center+, Maastricht, the Netherlands</w:t>
      </w:r>
    </w:p>
    <w:p w14:paraId="40C4C5F7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b Department of Clinical Pharmacy, NUTRIM, Institute of Nutrition and Translational Research in Metabolism, Maastricht University, Maastricht, the Netherlands</w:t>
      </w:r>
    </w:p>
    <w:p w14:paraId="57EB6FFE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c Department of Clinical Pharmacy, OLVG Hospital, Amsterdam, the Netherlands</w:t>
      </w:r>
    </w:p>
    <w:p w14:paraId="7E344640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d Department of Clinical Pharmacy, CARIM, Cardiovascular Research Institute Maastricht, Maastricht University, Maastricht, the Netherlands</w:t>
      </w:r>
    </w:p>
    <w:p w14:paraId="3678036E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e Department of Internal Medicine, OLVG Hospital, Amsterdam, the Netherlands</w:t>
      </w:r>
    </w:p>
    <w:p w14:paraId="3528684E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f Epic Systems Corporation, Verona, Wisconsin, United States</w:t>
      </w:r>
    </w:p>
    <w:p w14:paraId="6A364DE7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g Division of </w:t>
      </w:r>
      <w:proofErr w:type="spellStart"/>
      <w:r w:rsidRPr="00C6169E">
        <w:rPr>
          <w:rFonts w:ascii="Times New Roman" w:hAnsi="Times New Roman" w:cs="Times New Roman"/>
          <w:sz w:val="24"/>
          <w:szCs w:val="24"/>
          <w:lang w:val="en-US"/>
        </w:rPr>
        <w:t>Pharmacoepidemiology</w:t>
      </w:r>
      <w:proofErr w:type="spellEnd"/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 and Clinical Pharmacology, Department of Pharmaceutical Sciences, Utrecht University, Utrecht, the Netherlands; Utrecht Institute of Pharmaceutical Sciences, Department of Pharmaceutical Sciences, Utrecht University, Utrecht, the Netherlands</w:t>
      </w:r>
    </w:p>
    <w:p w14:paraId="40578164" w14:textId="77777777" w:rsidR="00322B95" w:rsidRPr="00C6169E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Correspondence to</w:t>
      </w:r>
    </w:p>
    <w:p w14:paraId="780BB76F" w14:textId="77777777" w:rsidR="00322B95" w:rsidRDefault="00322B95" w:rsidP="00322B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169E">
        <w:rPr>
          <w:rFonts w:ascii="Times New Roman" w:hAnsi="Times New Roman" w:cs="Times New Roman"/>
          <w:sz w:val="24"/>
          <w:szCs w:val="24"/>
          <w:lang w:val="en-US"/>
        </w:rPr>
        <w:t>Fatm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Karapinar-Çarkıt,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PharmD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PhD, </w:t>
      </w:r>
      <w:r w:rsidRPr="00C6169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97273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f.karapinar@mumc.nl</w:t>
        </w:r>
      </w:hyperlink>
    </w:p>
    <w:p w14:paraId="08786618" w14:textId="66E53ADC" w:rsidR="0099276C" w:rsidRPr="00086A2D" w:rsidRDefault="0099276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elrasterlicht"/>
        <w:tblW w:w="9209" w:type="dxa"/>
        <w:tblLook w:val="04A0" w:firstRow="1" w:lastRow="0" w:firstColumn="1" w:lastColumn="0" w:noHBand="0" w:noVBand="1"/>
      </w:tblPr>
      <w:tblGrid>
        <w:gridCol w:w="1842"/>
        <w:gridCol w:w="3258"/>
        <w:gridCol w:w="4109"/>
      </w:tblGrid>
      <w:tr w:rsidR="002254EB" w:rsidRPr="00086A2D" w14:paraId="030C5F7F" w14:textId="77777777" w:rsidTr="001E7523">
        <w:tc>
          <w:tcPr>
            <w:tcW w:w="9209" w:type="dxa"/>
            <w:gridSpan w:val="3"/>
          </w:tcPr>
          <w:p w14:paraId="5C820526" w14:textId="20525C74" w:rsidR="002254EB" w:rsidRPr="00086A2D" w:rsidRDefault="00322B95" w:rsidP="008F70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Online resource 1</w:t>
            </w:r>
            <w:r w:rsidR="002254EB" w:rsidRPr="00086A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51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 to determine if</w:t>
            </w:r>
            <w:r w:rsidR="002254EB"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PIM is an AIM </w:t>
            </w:r>
            <w:r w:rsidR="002254EB" w:rsidRPr="00086A2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38,39</w:t>
            </w:r>
          </w:p>
        </w:tc>
      </w:tr>
      <w:tr w:rsidR="0085686A" w:rsidRPr="00086A2D" w14:paraId="6B6C6C4F" w14:textId="77777777" w:rsidTr="00CC017C">
        <w:tc>
          <w:tcPr>
            <w:tcW w:w="1838" w:type="dxa"/>
          </w:tcPr>
          <w:p w14:paraId="3E103AF3" w14:textId="77777777" w:rsidR="0085686A" w:rsidRPr="00086A2D" w:rsidRDefault="0085686A" w:rsidP="008F70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Medication </w:t>
            </w:r>
          </w:p>
        </w:tc>
        <w:tc>
          <w:tcPr>
            <w:tcW w:w="3260" w:type="dxa"/>
          </w:tcPr>
          <w:p w14:paraId="0FB263E8" w14:textId="77777777" w:rsidR="0085686A" w:rsidRPr="00086A2D" w:rsidRDefault="0085686A" w:rsidP="008F70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Appropriate</w:t>
            </w:r>
          </w:p>
        </w:tc>
        <w:tc>
          <w:tcPr>
            <w:tcW w:w="4111" w:type="dxa"/>
          </w:tcPr>
          <w:p w14:paraId="49AF76C6" w14:textId="77777777" w:rsidR="0085686A" w:rsidRPr="00086A2D" w:rsidRDefault="0085686A" w:rsidP="008F70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Inappropriate (unless reason for long term use is explicitly specified in the patient records)</w:t>
            </w:r>
          </w:p>
        </w:tc>
      </w:tr>
      <w:tr w:rsidR="0085686A" w:rsidRPr="00086A2D" w14:paraId="36B5ED99" w14:textId="77777777" w:rsidTr="00CC017C">
        <w:trPr>
          <w:trHeight w:val="78"/>
        </w:trPr>
        <w:tc>
          <w:tcPr>
            <w:tcW w:w="1838" w:type="dxa"/>
            <w:vMerge w:val="restart"/>
          </w:tcPr>
          <w:p w14:paraId="3983FF7F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Antipsychotics</w:t>
            </w:r>
          </w:p>
        </w:tc>
        <w:tc>
          <w:tcPr>
            <w:tcW w:w="3260" w:type="dxa"/>
          </w:tcPr>
          <w:p w14:paraId="17ED7B17" w14:textId="3B410878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by a psychiatrist for a</w:t>
            </w:r>
            <w:r w:rsidR="000B45B2"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potential long-term 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 (e.g. schizophrenia, bipolar disorder, Parkinson disease, psychosis, adjunctive treatment of major depressive disorder). </w:t>
            </w:r>
          </w:p>
        </w:tc>
        <w:tc>
          <w:tcPr>
            <w:tcW w:w="4111" w:type="dxa"/>
          </w:tcPr>
          <w:p w14:paraId="0C97CD91" w14:textId="1F2E02E5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Prescribed by any other specialism than psychiatry. </w:t>
            </w:r>
          </w:p>
        </w:tc>
      </w:tr>
      <w:tr w:rsidR="0085686A" w:rsidRPr="00086A2D" w14:paraId="5541F024" w14:textId="77777777" w:rsidTr="00CC017C">
        <w:trPr>
          <w:trHeight w:val="78"/>
        </w:trPr>
        <w:tc>
          <w:tcPr>
            <w:tcW w:w="1838" w:type="dxa"/>
            <w:vMerge/>
          </w:tcPr>
          <w:p w14:paraId="7C68C9B7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5B0F6817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791928DF" w14:textId="48EEAE42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 delirium or sleeping disorder.</w:t>
            </w:r>
          </w:p>
        </w:tc>
      </w:tr>
      <w:tr w:rsidR="0085686A" w:rsidRPr="00086A2D" w14:paraId="653D21E0" w14:textId="77777777" w:rsidTr="00CC017C">
        <w:trPr>
          <w:trHeight w:val="78"/>
        </w:trPr>
        <w:tc>
          <w:tcPr>
            <w:tcW w:w="1838" w:type="dxa"/>
            <w:vMerge/>
          </w:tcPr>
          <w:p w14:paraId="5DA67C1A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56F3E848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6622EF24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patients with parkinsonism (with the exception of clozapine and quetiapine). </w:t>
            </w:r>
          </w:p>
        </w:tc>
      </w:tr>
      <w:tr w:rsidR="0085686A" w:rsidRPr="00086A2D" w14:paraId="181E6DE5" w14:textId="77777777" w:rsidTr="00CC017C">
        <w:trPr>
          <w:trHeight w:val="78"/>
        </w:trPr>
        <w:tc>
          <w:tcPr>
            <w:tcW w:w="1838" w:type="dxa"/>
            <w:vMerge/>
          </w:tcPr>
          <w:p w14:paraId="75497A7E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EED3819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0D8DE888" w14:textId="07A0073A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patients with problem behavior in dementia, unless symptoms are severe or in the acute phase and non-medicinal measures have no effect. </w:t>
            </w:r>
          </w:p>
        </w:tc>
      </w:tr>
      <w:tr w:rsidR="0085686A" w:rsidRPr="00086A2D" w14:paraId="33F73DFF" w14:textId="77777777" w:rsidTr="00CC017C">
        <w:trPr>
          <w:trHeight w:val="78"/>
        </w:trPr>
        <w:tc>
          <w:tcPr>
            <w:tcW w:w="1838" w:type="dxa"/>
            <w:vMerge/>
            <w:tcBorders>
              <w:bottom w:val="single" w:sz="4" w:space="0" w:color="BFBFBF" w:themeColor="background1" w:themeShade="BF"/>
            </w:tcBorders>
          </w:tcPr>
          <w:p w14:paraId="626A9E6A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BFBFBF" w:themeColor="background1" w:themeShade="BF"/>
            </w:tcBorders>
          </w:tcPr>
          <w:p w14:paraId="2F4C3980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BFBFBF" w:themeColor="background1" w:themeShade="BF"/>
            </w:tcBorders>
          </w:tcPr>
          <w:p w14:paraId="265C09F8" w14:textId="78986AA6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Antipsychotic with moderate anticholinergic effect (chlorpromazine, </w:t>
            </w:r>
            <w:proofErr w:type="spellStart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flupentixol</w:t>
            </w:r>
            <w:proofErr w:type="spellEnd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fluphenazine</w:t>
            </w:r>
            <w:proofErr w:type="spellEnd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zuclopenthixol</w:t>
            </w:r>
            <w:proofErr w:type="spellEnd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in case of </w:t>
            </w:r>
            <w:proofErr w:type="spellStart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prostatism</w:t>
            </w:r>
            <w:proofErr w:type="spellEnd"/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history of urinary retention.</w:t>
            </w:r>
          </w:p>
        </w:tc>
      </w:tr>
      <w:tr w:rsidR="0085686A" w:rsidRPr="00086A2D" w14:paraId="41342EF2" w14:textId="77777777" w:rsidTr="00CC017C">
        <w:trPr>
          <w:trHeight w:val="78"/>
        </w:trPr>
        <w:tc>
          <w:tcPr>
            <w:tcW w:w="1838" w:type="dxa"/>
            <w:tcBorders>
              <w:bottom w:val="single" w:sz="4" w:space="0" w:color="auto"/>
            </w:tcBorders>
          </w:tcPr>
          <w:p w14:paraId="2F121D61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4FDDF7D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A73A2A9" w14:textId="2CB4629C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in patients with a high risk of falling (e.g. history of falls, higher age (65+), neuropathy, vision problems, alcohol abuse</w:t>
            </w:r>
            <w:r w:rsidR="0099276C" w:rsidRPr="00086A2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38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85686A" w:rsidRPr="00086A2D" w14:paraId="2C818C74" w14:textId="77777777" w:rsidTr="00CC017C">
        <w:tc>
          <w:tcPr>
            <w:tcW w:w="1838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09F9D601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Benzodiazepines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093A0E8" w14:textId="7D41AD5A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for the indications: seizure disorders, rapid eye movement</w:t>
            </w:r>
            <w:r w:rsidR="00D04D62"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017C"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rapid eye movement (REM) 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 behavior disorder, withdrawal symptoms related to addictions, severe generalized anxiety disorder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A90B521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Prescribed for any other indication (e.g. sleeping problems in the hospital). </w:t>
            </w:r>
          </w:p>
        </w:tc>
      </w:tr>
      <w:tr w:rsidR="0085686A" w:rsidRPr="00086A2D" w14:paraId="591D6A8B" w14:textId="77777777" w:rsidTr="00CC017C">
        <w:tc>
          <w:tcPr>
            <w:tcW w:w="1838" w:type="dxa"/>
            <w:tcBorders>
              <w:bottom w:val="single" w:sz="4" w:space="0" w:color="auto"/>
            </w:tcBorders>
          </w:tcPr>
          <w:p w14:paraId="00F61357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B5091DF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F90ABA" w14:textId="56A1C2FD" w:rsidR="0085686A" w:rsidRPr="00086A2D" w:rsidRDefault="0085686A" w:rsidP="00CC01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in patients with a high risk of falling (e.g. history of falls, higher age (65+), neuropathy, vision problems, alcohol abuse</w:t>
            </w:r>
            <w:r w:rsidR="0099276C" w:rsidRPr="00086A2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40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85686A" w:rsidRPr="00086A2D" w14:paraId="659D1EF5" w14:textId="77777777" w:rsidTr="00CC017C">
        <w:tc>
          <w:tcPr>
            <w:tcW w:w="1838" w:type="dxa"/>
            <w:tcBorders>
              <w:top w:val="single" w:sz="4" w:space="0" w:color="auto"/>
            </w:tcBorders>
          </w:tcPr>
          <w:p w14:paraId="588D42B1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Opioids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E44653B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for the indication malignant pain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0EC559C" w14:textId="79674158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 mild or moderately severe non-malignant (chronic) pain (VAS score lower than 7.5</w:t>
            </w:r>
            <w:r w:rsidR="0099276C" w:rsidRPr="00086A2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41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85686A" w:rsidRPr="00086A2D" w14:paraId="76702C9F" w14:textId="77777777" w:rsidTr="00CC017C">
        <w:tc>
          <w:tcPr>
            <w:tcW w:w="1838" w:type="dxa"/>
          </w:tcPr>
          <w:p w14:paraId="57B97C50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1E2E4B4" w14:textId="6F632304" w:rsidR="0085686A" w:rsidRPr="00086A2D" w:rsidRDefault="0085686A" w:rsidP="00A349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Prescribed for </w:t>
            </w:r>
            <w:r w:rsidR="00A3495D"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short-term for 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indication severe acute pain (e.g. after surgery) if paracetamol or a NSAID are not </w:t>
            </w:r>
            <w:r w:rsidR="00A3495D"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 or contra-indicated</w:t>
            </w:r>
          </w:p>
        </w:tc>
        <w:tc>
          <w:tcPr>
            <w:tcW w:w="4111" w:type="dxa"/>
          </w:tcPr>
          <w:p w14:paraId="786C867C" w14:textId="04ABEBBE" w:rsidR="0085686A" w:rsidRPr="00086A2D" w:rsidRDefault="0085686A" w:rsidP="000B45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Prescribed in patients with a high risk of falling (e.g. history of falls, higher age (65+), neuropathy, vision problems, alcohol abuse</w:t>
            </w:r>
            <w:r w:rsidR="0099276C" w:rsidRPr="00086A2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40</w:t>
            </w: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85686A" w:rsidRPr="00086A2D" w14:paraId="16167CA7" w14:textId="77777777" w:rsidTr="00CC017C">
        <w:tc>
          <w:tcPr>
            <w:tcW w:w="1838" w:type="dxa"/>
          </w:tcPr>
          <w:p w14:paraId="486CBDFB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EC12785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2315CAEC" w14:textId="77777777" w:rsidR="0085686A" w:rsidRPr="00086A2D" w:rsidRDefault="0085686A" w:rsidP="008F70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A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Long-term prescriptions of short-acting opioid. </w:t>
            </w:r>
          </w:p>
        </w:tc>
      </w:tr>
    </w:tbl>
    <w:p w14:paraId="77B8DFFE" w14:textId="77777777" w:rsidR="0085686A" w:rsidRPr="00086A2D" w:rsidRDefault="0085686A" w:rsidP="008568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E11AC7" w14:textId="707A6709" w:rsidR="00CC017C" w:rsidRPr="00086A2D" w:rsidRDefault="0099276C" w:rsidP="00CC01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6A2D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O'Mahony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D, Cherubini A,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Guiteras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AR,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Denkinger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Beuscart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JB,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Onder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G, et al. STOPP/START criteria for potentially inappropriate prescribing in older people: version 3.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Geriatr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Med. 2023;14(4):625-32.</w:t>
      </w:r>
    </w:p>
    <w:p w14:paraId="4A79AA32" w14:textId="4565950F" w:rsidR="00CC017C" w:rsidRPr="00086A2D" w:rsidRDefault="0099276C" w:rsidP="00CC01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6A2D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. By the American Geriatrics Society Beers Criteria Update Expert P. American Geriatrics Society 2023 updated AGS Beers Criteria(R) for potentially inappropriate medication use in older adults. J Am </w:t>
      </w:r>
      <w:proofErr w:type="spellStart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>Geriatr</w:t>
      </w:r>
      <w:proofErr w:type="spellEnd"/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Soc. 2023;71(7):2052-81.</w:t>
      </w:r>
    </w:p>
    <w:p w14:paraId="0A75FE80" w14:textId="7780AF80" w:rsidR="0085686A" w:rsidRPr="00086A2D" w:rsidRDefault="0099276C" w:rsidP="008568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6A2D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CC017C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. CDC. Facts About Falls, Older Adult Fall Prevention. May 9, 2024. </w:t>
      </w:r>
      <w:r w:rsidR="00CC017C" w:rsidRPr="00086A2D">
        <w:rPr>
          <w:rFonts w:ascii="Times New Roman" w:hAnsi="Times New Roman" w:cs="Times New Roman"/>
          <w:sz w:val="24"/>
          <w:szCs w:val="24"/>
        </w:rPr>
        <w:t>https://www.cdc.gov/falls/data-research/facts-stats/index.html</w:t>
      </w:r>
    </w:p>
    <w:p w14:paraId="6BB12547" w14:textId="250DA08E" w:rsidR="0085686A" w:rsidRPr="00086A2D" w:rsidRDefault="0099276C" w:rsidP="008568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6A2D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Boonstra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, Anne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M.a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,*;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Schiphorst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Preuper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Henrica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R.b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; Balk,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Gerlof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A.a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 xml:space="preserve">; Stewart, Roy </w:t>
      </w:r>
      <w:proofErr w:type="spellStart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E.c</w:t>
      </w:r>
      <w:proofErr w:type="spellEnd"/>
      <w:r w:rsidR="0085686A" w:rsidRPr="00086A2D">
        <w:rPr>
          <w:rFonts w:ascii="Times New Roman" w:hAnsi="Times New Roman" w:cs="Times New Roman"/>
          <w:sz w:val="24"/>
          <w:szCs w:val="24"/>
          <w:lang w:val="en-US"/>
        </w:rPr>
        <w:t>. Cut-off points for mild, moderate, and severe pain on the visual analogue scale for pain in patients with chronic musculoskeletal pain. Pain 155(12):p 2545-2550, December 2014. | DOI: 10.1016/j.pain.2014.09.014</w:t>
      </w:r>
    </w:p>
    <w:p w14:paraId="17CFCFF7" w14:textId="77777777" w:rsidR="00121323" w:rsidRPr="00086A2D" w:rsidRDefault="0012132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21323" w:rsidRPr="00086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358D1"/>
    <w:rsid w:val="00086A2D"/>
    <w:rsid w:val="000B45B2"/>
    <w:rsid w:val="00121323"/>
    <w:rsid w:val="00154DAE"/>
    <w:rsid w:val="001772AA"/>
    <w:rsid w:val="001D39CF"/>
    <w:rsid w:val="001D51E3"/>
    <w:rsid w:val="001F4DA8"/>
    <w:rsid w:val="002254EB"/>
    <w:rsid w:val="00251A5A"/>
    <w:rsid w:val="00291E06"/>
    <w:rsid w:val="002D0B43"/>
    <w:rsid w:val="00322B95"/>
    <w:rsid w:val="003B74C5"/>
    <w:rsid w:val="005022D3"/>
    <w:rsid w:val="00555099"/>
    <w:rsid w:val="00632247"/>
    <w:rsid w:val="00664F2A"/>
    <w:rsid w:val="00682AE1"/>
    <w:rsid w:val="006E3B5E"/>
    <w:rsid w:val="00712F5F"/>
    <w:rsid w:val="0074357B"/>
    <w:rsid w:val="007A2F3A"/>
    <w:rsid w:val="0085686A"/>
    <w:rsid w:val="008F7095"/>
    <w:rsid w:val="0099276C"/>
    <w:rsid w:val="009B64CA"/>
    <w:rsid w:val="009F7E38"/>
    <w:rsid w:val="00A3495D"/>
    <w:rsid w:val="00AD3013"/>
    <w:rsid w:val="00B81A05"/>
    <w:rsid w:val="00B87D99"/>
    <w:rsid w:val="00B95D2B"/>
    <w:rsid w:val="00C358D1"/>
    <w:rsid w:val="00C6093A"/>
    <w:rsid w:val="00CC017C"/>
    <w:rsid w:val="00D04D62"/>
    <w:rsid w:val="00D86D33"/>
    <w:rsid w:val="00DB4CC2"/>
    <w:rsid w:val="00E709F8"/>
    <w:rsid w:val="00F2621D"/>
    <w:rsid w:val="00F8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06BA"/>
  <w15:chartTrackingRefBased/>
  <w15:docId w15:val="{5B5562A4-4DB4-4493-B2BA-FD9B6B3B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0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81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1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1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1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188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1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1887"/>
    <w:rPr>
      <w:rFonts w:ascii="Segoe UI" w:hAnsi="Segoe UI" w:cs="Segoe UI"/>
      <w:sz w:val="18"/>
      <w:szCs w:val="18"/>
    </w:rPr>
  </w:style>
  <w:style w:type="table" w:styleId="Lijsttabel7kleurrijk">
    <w:name w:val="List Table 7 Colorful"/>
    <w:basedOn w:val="Standaardtabel"/>
    <w:uiPriority w:val="52"/>
    <w:rsid w:val="008568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Standaardalinea-lettertype"/>
    <w:uiPriority w:val="99"/>
    <w:semiHidden/>
    <w:unhideWhenUsed/>
    <w:rsid w:val="0085686A"/>
    <w:rPr>
      <w:color w:val="0000FF"/>
      <w:u w:val="single"/>
    </w:rPr>
  </w:style>
  <w:style w:type="table" w:styleId="Tabelrasterlicht">
    <w:name w:val="Grid Table Light"/>
    <w:basedOn w:val="Standaardtabel"/>
    <w:uiPriority w:val="40"/>
    <w:rsid w:val="008568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.karapinar@mumc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Ruijter - van Dalem, J. (Judith) de</dc:creator>
  <cp:keywords/>
  <dc:description/>
  <cp:lastModifiedBy>Ruijter - van Dalem, J. (Judith) de</cp:lastModifiedBy>
  <cp:revision>4</cp:revision>
  <dcterms:created xsi:type="dcterms:W3CDTF">2026-01-22T09:56:00Z</dcterms:created>
  <dcterms:modified xsi:type="dcterms:W3CDTF">2026-03-04T19:25:00Z</dcterms:modified>
</cp:coreProperties>
</file>