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318" w:type="dxa"/>
        <w:tblInd w:w="-318" w:type="dxa"/>
        <w:tblLook w:val="04A0" w:firstRow="1" w:lastRow="0" w:firstColumn="1" w:lastColumn="0" w:noHBand="0" w:noVBand="1"/>
      </w:tblPr>
      <w:tblGrid>
        <w:gridCol w:w="1515"/>
        <w:gridCol w:w="1184"/>
        <w:gridCol w:w="3248"/>
        <w:gridCol w:w="2559"/>
        <w:gridCol w:w="2251"/>
        <w:gridCol w:w="3561"/>
      </w:tblGrid>
      <w:tr w:rsidR="00962840" w:rsidRPr="0019209A" w:rsidTr="0019209A">
        <w:trPr>
          <w:trHeight w:val="20"/>
        </w:trPr>
        <w:tc>
          <w:tcPr>
            <w:tcW w:w="14318" w:type="dxa"/>
            <w:gridSpan w:val="6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b/>
                <w:bCs/>
              </w:rPr>
            </w:pPr>
            <w:r w:rsidRPr="0019209A">
              <w:rPr>
                <w:b/>
                <w:bCs/>
              </w:rPr>
              <w:t xml:space="preserve">Supplementary table 2 </w:t>
            </w:r>
            <w:r w:rsidRPr="0019209A">
              <w:t>Summary of study characteristics of prognostic cohort studies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shd w:val="clear" w:color="auto" w:fill="D9D9D9" w:themeFill="background1" w:themeFillShade="D9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19209A">
              <w:rPr>
                <w:b/>
                <w:bCs/>
                <w:lang w:val="en-GB"/>
              </w:rPr>
              <w:t>First author, year</w:t>
            </w:r>
          </w:p>
        </w:tc>
        <w:tc>
          <w:tcPr>
            <w:tcW w:w="1184" w:type="dxa"/>
            <w:shd w:val="clear" w:color="auto" w:fill="D9D9D9" w:themeFill="background1" w:themeFillShade="D9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19209A">
              <w:rPr>
                <w:b/>
                <w:bCs/>
                <w:lang w:val="en-GB"/>
              </w:rPr>
              <w:t>Study Quality</w:t>
            </w:r>
          </w:p>
        </w:tc>
        <w:tc>
          <w:tcPr>
            <w:tcW w:w="3248" w:type="dxa"/>
            <w:shd w:val="clear" w:color="auto" w:fill="D9D9D9" w:themeFill="background1" w:themeFillShade="D9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19209A">
              <w:rPr>
                <w:b/>
                <w:bCs/>
                <w:lang w:val="en-GB"/>
              </w:rPr>
              <w:t>Study population</w:t>
            </w:r>
          </w:p>
        </w:tc>
        <w:tc>
          <w:tcPr>
            <w:tcW w:w="2559" w:type="dxa"/>
            <w:shd w:val="clear" w:color="auto" w:fill="D9D9D9" w:themeFill="background1" w:themeFillShade="D9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19209A">
              <w:rPr>
                <w:b/>
                <w:bCs/>
                <w:lang w:val="en-GB"/>
              </w:rPr>
              <w:t>Prognostic factor</w:t>
            </w:r>
          </w:p>
        </w:tc>
        <w:tc>
          <w:tcPr>
            <w:tcW w:w="2251" w:type="dxa"/>
            <w:shd w:val="clear" w:color="auto" w:fill="D9D9D9" w:themeFill="background1" w:themeFillShade="D9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19209A">
              <w:rPr>
                <w:b/>
                <w:bCs/>
                <w:lang w:val="en-GB"/>
              </w:rPr>
              <w:t>Outcome</w:t>
            </w:r>
          </w:p>
        </w:tc>
        <w:tc>
          <w:tcPr>
            <w:tcW w:w="3561" w:type="dxa"/>
            <w:shd w:val="clear" w:color="auto" w:fill="D9D9D9" w:themeFill="background1" w:themeFillShade="D9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b/>
                <w:bCs/>
                <w:lang w:val="en-GB"/>
              </w:rPr>
            </w:pPr>
            <w:r w:rsidRPr="0019209A">
              <w:rPr>
                <w:b/>
                <w:bCs/>
                <w:lang w:val="en-GB"/>
              </w:rPr>
              <w:t>Association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Ajlan et al., 2016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Patients with pituitary adenomas extending in the cavernous sinus (CS) vs. no CS invasion, N=176</w:t>
            </w:r>
          </w:p>
        </w:tc>
        <w:tc>
          <w:tcPr>
            <w:tcW w:w="2559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CS involvement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Complications in general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Bokhari et al.,</w:t>
            </w:r>
          </w:p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2013</w:t>
            </w:r>
          </w:p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adenomas, N=79</w:t>
            </w:r>
          </w:p>
        </w:tc>
        <w:tc>
          <w:tcPr>
            <w:tcW w:w="2559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Learning curve</w:t>
            </w:r>
          </w:p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(cut off 27/26/26)</w:t>
            </w:r>
          </w:p>
        </w:tc>
        <w:tc>
          <w:tcPr>
            <w:tcW w:w="2251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Complications in general</w:t>
            </w:r>
          </w:p>
        </w:tc>
        <w:tc>
          <w:tcPr>
            <w:tcW w:w="3561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 xml:space="preserve">= 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</w:pPr>
          </w:p>
        </w:tc>
        <w:tc>
          <w:tcPr>
            <w:tcW w:w="1184" w:type="dxa"/>
            <w:vMerge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</w:pPr>
          </w:p>
        </w:tc>
        <w:tc>
          <w:tcPr>
            <w:tcW w:w="3248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</w:pPr>
          </w:p>
        </w:tc>
        <w:tc>
          <w:tcPr>
            <w:tcW w:w="1184" w:type="dxa"/>
            <w:vMerge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</w:pPr>
          </w:p>
        </w:tc>
        <w:tc>
          <w:tcPr>
            <w:tcW w:w="3248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Overall DI</w:t>
            </w:r>
          </w:p>
        </w:tc>
        <w:tc>
          <w:tcPr>
            <w:tcW w:w="3561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Boling et al., 2016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Multicenter cohort study in pituitary adenomas, N</w:t>
            </w:r>
            <w:r w:rsidR="00A74F5B">
              <w:t>=</w:t>
            </w:r>
            <w:r w:rsidRPr="0019209A">
              <w:t>982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Previous radiation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Complications in general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OR 8.86, 95% CI 2.05-38.28, p=0.003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Intraventricular extension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OR 7.85, 95% CI 2.88-21.43, p&lt;0.001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extension into the ACF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OR 1.92, 95% CI 1.03-3.6, p=0.038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2559" w:type="dxa"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Age &lt;40 (ref. ≥65 years)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Postoperative CSF leak</w:t>
            </w:r>
          </w:p>
        </w:tc>
        <w:tc>
          <w:tcPr>
            <w:tcW w:w="3561" w:type="dxa"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OR 5.3, 95% CI 1.17-24.11, p=0.030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2559" w:type="dxa"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Age 40-64 (ref. ≥65 years)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OR 7.9, 95% CI 1.88-33.4, p=0.005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962840" w:rsidRPr="0019209A" w:rsidRDefault="00BE5503" w:rsidP="00BE5503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>
              <w:t>G</w:t>
            </w:r>
            <w:r w:rsidR="00962840" w:rsidRPr="0019209A">
              <w:t>ender</w:t>
            </w:r>
            <w:r>
              <w:t xml:space="preserve"> (ref. f</w:t>
            </w:r>
            <w:r w:rsidRPr="0019209A">
              <w:t>emale</w:t>
            </w:r>
            <w:r>
              <w:t>*)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OR 2.4, 95% CI 1.24-4.63, p=0.010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A74F5B">
              <w:t xml:space="preserve">BMI </w:t>
            </w:r>
            <w:r w:rsidR="00A74F5B" w:rsidRPr="00A74F5B">
              <w:rPr>
                <w:sz w:val="20"/>
                <w:szCs w:val="20"/>
              </w:rPr>
              <w:t xml:space="preserve"> </w:t>
            </w:r>
            <w:r w:rsidR="00A74F5B" w:rsidRPr="00A74F5B">
              <w:rPr>
                <w:szCs w:val="20"/>
              </w:rPr>
              <w:t>≥</w:t>
            </w:r>
            <w:r w:rsidRPr="00A74F5B">
              <w:t>30</w:t>
            </w:r>
            <w:r w:rsidR="00A74F5B" w:rsidRPr="00A74F5B">
              <w:t xml:space="preserve"> (ref. &lt;30)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OR 2.10, 95% CI 1.14-3.86, p=0.017</w:t>
            </w:r>
          </w:p>
        </w:tc>
      </w:tr>
      <w:tr w:rsidR="00962840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</w:tcPr>
          <w:p w:rsidR="00962840" w:rsidRPr="0019209A" w:rsidRDefault="00962840" w:rsidP="00A74F5B">
            <w:pPr>
              <w:pStyle w:val="NoSpacing"/>
              <w:spacing w:line="276" w:lineRule="auto"/>
              <w:rPr>
                <w:lang w:val="en-GB"/>
              </w:rPr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Previous radiation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=</w:t>
            </w:r>
          </w:p>
        </w:tc>
      </w:tr>
      <w:tr w:rsidR="0019209A" w:rsidRPr="0019209A" w:rsidTr="00A74F5B">
        <w:trPr>
          <w:trHeight w:val="20"/>
        </w:trPr>
        <w:tc>
          <w:tcPr>
            <w:tcW w:w="14318" w:type="dxa"/>
            <w:gridSpan w:val="6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Intraventricular extension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OR 9.49, 95% CI 2.97-30.26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Intraventricular extension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Intracranial infection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t>OR 11.91, CI 95% 3.64-38.95; p&lt;0.001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Previous radiation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Bleeding (ICA injury)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OR 44.00, 95% CI 3.73-519.00, p=0.003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Intraventricular extension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OR 13.20, 95% CI 1.35-128.91, p=0.026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extension into the ACF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Bleeding (intracranial bleeds)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OR 4.41 95% CI 2.04-9.51, p&lt;0.001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History of extrasellar tumor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Cranial nerve injury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OR 5.94, 95% CI 1.26-28.06, p=0.025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Cavallo et al.,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2014</w:t>
            </w:r>
          </w:p>
        </w:tc>
        <w:tc>
          <w:tcPr>
            <w:tcW w:w="1184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craniopharyngiomas, N=83, adenoma 0%</w:t>
            </w: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Third ventricle involvement</w:t>
            </w: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Cerina et al., 2016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Low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 xml:space="preserve">Consecutively treated newly diagnosed pituitary adenomas, 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N=70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 xml:space="preserve">Age </w:t>
            </w:r>
            <w:r w:rsidR="00A74F5B">
              <w:t>(continuous)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Adrenal insufficiency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Gender</w:t>
            </w:r>
            <w:r w:rsidR="00A74F5B">
              <w:t xml:space="preserve"> (ref. male)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Tumor size 23</w:t>
            </w:r>
            <w:r w:rsidR="00A74F5B">
              <w:t xml:space="preserve"> </w:t>
            </w:r>
            <w:r w:rsidRPr="0019209A">
              <w:t>mm (ref. 17 mm)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OR 1.070, 95% CI 1.013-1.129, p=0.015</w:t>
            </w:r>
            <w:r w:rsidRPr="0019209A">
              <w:rPr>
                <w:vertAlign w:val="superscript"/>
              </w:rPr>
              <w:t>+</w:t>
            </w:r>
            <w:r w:rsidRPr="0019209A">
              <w:t xml:space="preserve"> (adjusted for tumor type)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Tumor type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prolactin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T4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p=0.008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TSH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IGF-1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p=0.039</w:t>
            </w:r>
          </w:p>
        </w:tc>
      </w:tr>
    </w:tbl>
    <w:p w:rsidR="0019209A" w:rsidRDefault="0019209A"/>
    <w:tbl>
      <w:tblPr>
        <w:tblStyle w:val="TableGrid"/>
        <w:tblW w:w="14318" w:type="dxa"/>
        <w:tblInd w:w="-318" w:type="dxa"/>
        <w:tblLook w:val="04A0" w:firstRow="1" w:lastRow="0" w:firstColumn="1" w:lastColumn="0" w:noHBand="0" w:noVBand="1"/>
      </w:tblPr>
      <w:tblGrid>
        <w:gridCol w:w="1515"/>
        <w:gridCol w:w="1184"/>
        <w:gridCol w:w="3248"/>
        <w:gridCol w:w="2559"/>
        <w:gridCol w:w="2251"/>
        <w:gridCol w:w="3561"/>
      </w:tblGrid>
      <w:tr w:rsidR="0019209A" w:rsidRPr="0019209A" w:rsidTr="00A74F5B">
        <w:trPr>
          <w:trHeight w:val="20"/>
        </w:trPr>
        <w:tc>
          <w:tcPr>
            <w:tcW w:w="14318" w:type="dxa"/>
            <w:gridSpan w:val="6"/>
            <w:vAlign w:val="center"/>
          </w:tcPr>
          <w:p w:rsidR="0019209A" w:rsidRPr="0019209A" w:rsidRDefault="0019209A" w:rsidP="0019209A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Testosterone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FSH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p=0.016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LH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p=0.001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cortisol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Preoperative urinary-free cortisol (nmol/24h)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p=0.041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Chabot et al.,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2015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Large (&gt;3 cm) or giant (&gt;4 cm) pituitary macroadenomas, N=39</w:t>
            </w: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Maximum tumor diameter</w:t>
            </w:r>
          </w:p>
        </w:tc>
        <w:tc>
          <w:tcPr>
            <w:tcW w:w="2251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Complications in general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Knosp scores</w:t>
            </w:r>
          </w:p>
        </w:tc>
        <w:tc>
          <w:tcPr>
            <w:tcW w:w="2251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Chohan et al., 2016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Large (&gt;3 cm) or giant (&gt;4 cm) pituitary adenomas, N=62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Transverse length (&gt;4 cm)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Permanent DI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p=0.02</w:t>
            </w:r>
            <w:r w:rsidRPr="0019209A">
              <w:rPr>
                <w:vertAlign w:val="superscript"/>
              </w:rPr>
              <w:t>+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Cranio-caudal length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Antero-posterior length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Maximum cross-sectional length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Tumor volume (&gt;10</w:t>
            </w:r>
            <w:r w:rsidR="00A74F5B">
              <w:t xml:space="preserve"> </w:t>
            </w:r>
            <w:r w:rsidRPr="0019209A">
              <w:t>cm</w:t>
            </w:r>
            <w:r w:rsidRPr="0019209A">
              <w:rPr>
                <w:vertAlign w:val="superscript"/>
              </w:rPr>
              <w:t>3</w:t>
            </w:r>
            <w:r w:rsidRPr="0019209A">
              <w:t>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Knosp 3-4 (ref. Knosp 1-2)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Chi et al.,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2013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adenomas, N=80</w:t>
            </w:r>
          </w:p>
        </w:tc>
        <w:tc>
          <w:tcPr>
            <w:tcW w:w="2559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Learning curve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(cut off 40)</w:t>
            </w: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Overall DI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Dallapiazza et al. 2014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Nonfunctioning macroadenomas with Knosp Grades 0–2, N=56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Tumor volume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Knosp grade (0 vs. 1 vs. 2)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A74F5B">
        <w:trPr>
          <w:trHeight w:val="20"/>
        </w:trPr>
        <w:tc>
          <w:tcPr>
            <w:tcW w:w="14318" w:type="dxa"/>
            <w:gridSpan w:val="6"/>
            <w:vAlign w:val="center"/>
          </w:tcPr>
          <w:p w:rsidR="0019209A" w:rsidRPr="0019209A" w:rsidRDefault="0019209A" w:rsidP="0019209A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Dlouhy et al.,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2012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Moderate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primarily sellar masses, N=92, adenoma 92%</w:t>
            </w: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Age (continuous)</w:t>
            </w:r>
          </w:p>
        </w:tc>
        <w:tc>
          <w:tcPr>
            <w:tcW w:w="2251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OR 0.93, 95% CI 0.88-0.98, p=0.008</w:t>
            </w:r>
            <w:r w:rsidRPr="0019209A">
              <w:rPr>
                <w:vertAlign w:val="superscript"/>
              </w:rPr>
              <w:t>+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Gender</w:t>
            </w:r>
            <w:r w:rsidR="00BE5503">
              <w:t xml:space="preserve"> (ref. male)</w:t>
            </w:r>
          </w:p>
        </w:tc>
        <w:tc>
          <w:tcPr>
            <w:tcW w:w="2251" w:type="dxa"/>
            <w:vMerge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highlight w:val="yellow"/>
              </w:rPr>
            </w:pPr>
            <w:r w:rsidRPr="0019209A">
              <w:t>BMI (per 5 kg/m</w:t>
            </w:r>
            <w:r w:rsidRPr="0019209A">
              <w:rPr>
                <w:vertAlign w:val="superscript"/>
              </w:rPr>
              <w:t>2</w:t>
            </w:r>
            <w:r w:rsidRPr="0019209A">
              <w:t>)</w:t>
            </w:r>
          </w:p>
        </w:tc>
        <w:tc>
          <w:tcPr>
            <w:tcW w:w="2251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OR 1.61, 95% CI 1.10-2.29, p=0.016</w:t>
            </w:r>
            <w:r w:rsidRPr="0019209A">
              <w:rPr>
                <w:vertAlign w:val="superscript"/>
              </w:rPr>
              <w:t>+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Tumor volume (continuous)</w:t>
            </w:r>
          </w:p>
        </w:tc>
        <w:tc>
          <w:tcPr>
            <w:tcW w:w="2251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Cushing's disease</w:t>
            </w:r>
          </w:p>
        </w:tc>
        <w:tc>
          <w:tcPr>
            <w:tcW w:w="2251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Previous surgery</w:t>
            </w:r>
          </w:p>
        </w:tc>
        <w:tc>
          <w:tcPr>
            <w:tcW w:w="2251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Gondim et al.,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2011</w:t>
            </w:r>
          </w:p>
        </w:tc>
        <w:tc>
          <w:tcPr>
            <w:tcW w:w="1184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pituitary adenomas, N=301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supra-/parasellar extension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OR 8.08; p=0.021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Gondim et al.,</w:t>
            </w:r>
          </w:p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2015</w:t>
            </w:r>
          </w:p>
        </w:tc>
        <w:tc>
          <w:tcPr>
            <w:tcW w:w="1184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 xml:space="preserve">Consecutively treated elderly (age ≥ 70 years) NFA patients </w:t>
            </w:r>
            <w:r>
              <w:t>vs.</w:t>
            </w:r>
            <w:r w:rsidR="00A74F5B">
              <w:t xml:space="preserve"> younger patients, N</w:t>
            </w:r>
            <w:r w:rsidRPr="0019209A">
              <w:t>=374</w:t>
            </w:r>
          </w:p>
        </w:tc>
        <w:tc>
          <w:tcPr>
            <w:tcW w:w="2559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en-GB"/>
              </w:rPr>
              <w:t>Age ≥70* (ref. &lt;60 years)</w:t>
            </w: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en-GB"/>
              </w:rPr>
              <w:t>Complications in general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en-GB"/>
              </w:rPr>
              <w:t>p&lt;0.05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en-GB"/>
              </w:rPr>
              <w:t>Hofstetter et al., 2012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pituitary macroadenomas, N=71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Tumor volume &gt;10</w:t>
            </w:r>
            <w:r w:rsidR="00A74F5B">
              <w:t xml:space="preserve"> </w:t>
            </w:r>
            <w:r w:rsidRPr="0019209A">
              <w:t>cm</w:t>
            </w:r>
            <w:r w:rsidRPr="0019209A">
              <w:rPr>
                <w:vertAlign w:val="superscript"/>
              </w:rPr>
              <w:t>3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nl-NL"/>
              </w:rPr>
              <w:t>Complications in general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OR 6.3, 95% CI 1.6-25.0; p=0.008</w:t>
            </w:r>
          </w:p>
        </w:tc>
      </w:tr>
      <w:tr w:rsidR="0019209A" w:rsidRPr="0019209A" w:rsidTr="0019209A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Tumor diameter &gt;3 cm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OR 4.8, 95% CI 1.2-18.6; p=0.023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nl-NL"/>
              </w:rPr>
              <w:t>Jakimovski et al., 2014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pituitary adenomas, N=203</w:t>
            </w:r>
          </w:p>
        </w:tc>
        <w:tc>
          <w:tcPr>
            <w:tcW w:w="2559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 xml:space="preserve">Tumor size </w:t>
            </w:r>
            <w:r w:rsidRPr="0019209A">
              <w:rPr>
                <w:lang w:val="en-GB"/>
              </w:rPr>
              <w:t>≥2 cm (ref. &lt;2</w:t>
            </w:r>
            <w:r w:rsidR="00A74F5B">
              <w:rPr>
                <w:lang w:val="en-GB"/>
              </w:rPr>
              <w:t xml:space="preserve"> </w:t>
            </w:r>
            <w:r w:rsidRPr="0019209A">
              <w:rPr>
                <w:lang w:val="en-GB"/>
              </w:rPr>
              <w:t>cm)</w:t>
            </w:r>
          </w:p>
        </w:tc>
        <w:tc>
          <w:tcPr>
            <w:tcW w:w="2251" w:type="dxa"/>
            <w:vMerge w:val="restart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nl-NL"/>
              </w:rPr>
              <w:t>=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Tumor volume</w:t>
            </w:r>
          </w:p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(per quartile)</w:t>
            </w:r>
          </w:p>
        </w:tc>
        <w:tc>
          <w:tcPr>
            <w:tcW w:w="2251" w:type="dxa"/>
            <w:vMerge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en-GB"/>
              </w:rPr>
              <w:t>=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Tumor type, functioning adenoma (ref. NFA)</w:t>
            </w:r>
          </w:p>
        </w:tc>
        <w:tc>
          <w:tcPr>
            <w:tcW w:w="2251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 w:rsidRPr="0019209A">
              <w:rPr>
                <w:lang w:val="en-GB"/>
              </w:rPr>
              <w:t>=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Learning curve* (cut off 50)</w:t>
            </w:r>
          </w:p>
        </w:tc>
        <w:tc>
          <w:tcPr>
            <w:tcW w:w="2251" w:type="dxa"/>
            <w:vMerge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</w:tcPr>
          <w:p w:rsidR="00962840" w:rsidRPr="0019209A" w:rsidRDefault="00A74F5B" w:rsidP="00A74F5B">
            <w:pPr>
              <w:pStyle w:val="NoSpacing"/>
              <w:spacing w:line="276" w:lineRule="auto"/>
              <w:jc w:val="center"/>
              <w:rPr>
                <w:lang w:val="en-GB"/>
              </w:rPr>
            </w:pPr>
            <w:r>
              <w:rPr>
                <w:lang w:val="nl-NL"/>
              </w:rPr>
              <w:t>p</w:t>
            </w:r>
            <w:r w:rsidR="00962840" w:rsidRPr="0019209A">
              <w:rPr>
                <w:lang w:val="nl-NL"/>
              </w:rPr>
              <w:t>=0.004</w:t>
            </w:r>
          </w:p>
        </w:tc>
      </w:tr>
      <w:tr w:rsidR="0019209A" w:rsidRPr="0019209A" w:rsidTr="008A189F">
        <w:trPr>
          <w:trHeight w:val="20"/>
        </w:trPr>
        <w:tc>
          <w:tcPr>
            <w:tcW w:w="14318" w:type="dxa"/>
            <w:gridSpan w:val="6"/>
            <w:shd w:val="clear" w:color="auto" w:fill="FFFFFF" w:themeFill="background1"/>
            <w:vAlign w:val="center"/>
          </w:tcPr>
          <w:p w:rsidR="0019209A" w:rsidRPr="0019209A" w:rsidRDefault="0019209A" w:rsidP="0019209A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Jang et al., 2016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pituitary adenomas, N=331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Age ≥50 years (ref. &lt;50)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Complications in general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 xml:space="preserve">OR 2.75 95% CI 1.18-4.32, </w:t>
            </w:r>
          </w:p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p=0.047</w:t>
            </w:r>
            <w:r w:rsidRPr="0019209A">
              <w:rPr>
                <w:vertAlign w:val="superscript"/>
              </w:rPr>
              <w:t>+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Gender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2E3CCA">
            <w:pPr>
              <w:pStyle w:val="NoSpacing"/>
              <w:spacing w:line="276" w:lineRule="auto"/>
              <w:jc w:val="center"/>
            </w:pPr>
            <w:r w:rsidRPr="0019209A">
              <w:t>Tumor size, macro</w:t>
            </w:r>
            <w:r w:rsidR="002E3CCA">
              <w:t>-</w:t>
            </w:r>
            <w:r w:rsidRPr="0019209A">
              <w:t xml:space="preserve"> (ref. microadenoma)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OR 3.98, 95% CI 2.16-5.79, p=0.003</w:t>
            </w:r>
            <w:r w:rsidRPr="0019209A">
              <w:rPr>
                <w:vertAlign w:val="superscript"/>
              </w:rPr>
              <w:t>+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Knosp grade 3-4 (ref. 0-2)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 xml:space="preserve">OR 6.75, 95% CI 3.81-9.68, </w:t>
            </w:r>
          </w:p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p&lt;0.001</w:t>
            </w:r>
            <w:r w:rsidRPr="0019209A">
              <w:rPr>
                <w:vertAlign w:val="superscript"/>
              </w:rPr>
              <w:t>+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Parasellar growth*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962840" w:rsidRPr="0019209A" w:rsidRDefault="00A74F5B" w:rsidP="00A74F5B">
            <w:pPr>
              <w:pStyle w:val="NoSpacing"/>
              <w:spacing w:line="276" w:lineRule="auto"/>
              <w:jc w:val="center"/>
            </w:pPr>
            <w:r>
              <w:t>p</w:t>
            </w:r>
            <w:r w:rsidR="00962840" w:rsidRPr="0019209A">
              <w:t>=0.002</w:t>
            </w:r>
          </w:p>
        </w:tc>
      </w:tr>
      <w:tr w:rsidR="00962840" w:rsidRPr="0019209A" w:rsidTr="00A74F5B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Tumor type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Karnezis et al., 2016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Multicenter cohort study in pituitary adenomas and craniopharyngiomas, N=1161, 95% adenoma</w:t>
            </w: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Age (years)</w:t>
            </w:r>
          </w:p>
        </w:tc>
        <w:tc>
          <w:tcPr>
            <w:tcW w:w="2251" w:type="dxa"/>
            <w:vMerge w:val="restart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OR 0.982, 95% CI 0.967–0.997, p=0.022</w:t>
            </w:r>
            <w:r w:rsidRPr="0019209A">
              <w:rPr>
                <w:vertAlign w:val="superscript"/>
              </w:rPr>
              <w:t>+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Gender (</w:t>
            </w:r>
            <w:r w:rsidR="00BE5503">
              <w:t xml:space="preserve">ref. </w:t>
            </w:r>
            <w:r w:rsidRPr="0019209A">
              <w:t>female*)</w:t>
            </w:r>
          </w:p>
        </w:tc>
        <w:tc>
          <w:tcPr>
            <w:tcW w:w="2251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p=0.045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BMI (kg/m2)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OR 1.033, 95% CI 1.007–1.059, p=0.014</w:t>
            </w:r>
            <w:r w:rsidRPr="0019209A">
              <w:rPr>
                <w:vertAlign w:val="superscript"/>
              </w:rPr>
              <w:t>+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ASA score</w:t>
            </w:r>
          </w:p>
        </w:tc>
        <w:tc>
          <w:tcPr>
            <w:tcW w:w="2251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</w:p>
        </w:tc>
        <w:tc>
          <w:tcPr>
            <w:tcW w:w="3561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Charlson Index</w:t>
            </w:r>
          </w:p>
        </w:tc>
        <w:tc>
          <w:tcPr>
            <w:tcW w:w="2251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</w:p>
        </w:tc>
        <w:tc>
          <w:tcPr>
            <w:tcW w:w="3561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  <w:r w:rsidRPr="0019209A">
              <w:t>Race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Recurrence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Prior skull-base operations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Radiotherapy*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p=0.007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Chemotherapy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Myocardial Infarction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Chronic Heart Failure</w:t>
            </w:r>
          </w:p>
        </w:tc>
        <w:tc>
          <w:tcPr>
            <w:tcW w:w="2251" w:type="dxa"/>
            <w:vMerge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</w:p>
        </w:tc>
        <w:tc>
          <w:tcPr>
            <w:tcW w:w="3561" w:type="dxa"/>
            <w:vAlign w:val="center"/>
            <w:hideMark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Peripheral Vascular Disease</w:t>
            </w:r>
          </w:p>
        </w:tc>
        <w:tc>
          <w:tcPr>
            <w:tcW w:w="2251" w:type="dxa"/>
            <w:vMerge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</w:p>
        </w:tc>
        <w:tc>
          <w:tcPr>
            <w:tcW w:w="3561" w:type="dxa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>
              <w:t>=</w:t>
            </w:r>
          </w:p>
        </w:tc>
      </w:tr>
    </w:tbl>
    <w:p w:rsidR="0019209A" w:rsidRDefault="0019209A"/>
    <w:tbl>
      <w:tblPr>
        <w:tblStyle w:val="TableGrid"/>
        <w:tblW w:w="14318" w:type="dxa"/>
        <w:tblInd w:w="-318" w:type="dxa"/>
        <w:tblLook w:val="04A0" w:firstRow="1" w:lastRow="0" w:firstColumn="1" w:lastColumn="0" w:noHBand="0" w:noVBand="1"/>
      </w:tblPr>
      <w:tblGrid>
        <w:gridCol w:w="1515"/>
        <w:gridCol w:w="1184"/>
        <w:gridCol w:w="3248"/>
        <w:gridCol w:w="2559"/>
        <w:gridCol w:w="2251"/>
        <w:gridCol w:w="3561"/>
      </w:tblGrid>
      <w:tr w:rsidR="00962840" w:rsidRPr="0019209A" w:rsidTr="00A74F5B">
        <w:trPr>
          <w:trHeight w:val="20"/>
        </w:trPr>
        <w:tc>
          <w:tcPr>
            <w:tcW w:w="14318" w:type="dxa"/>
            <w:gridSpan w:val="6"/>
            <w:shd w:val="clear" w:color="auto" w:fill="FFFFFF" w:themeFill="background1"/>
            <w:vAlign w:val="center"/>
          </w:tcPr>
          <w:p w:rsidR="00962840" w:rsidRPr="0019209A" w:rsidRDefault="00962840" w:rsidP="00A74F5B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 w:val="restart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 w:val="restart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 w:val="restart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Coronary Vessel Disease</w:t>
            </w:r>
          </w:p>
        </w:tc>
        <w:tc>
          <w:tcPr>
            <w:tcW w:w="2251" w:type="dxa"/>
            <w:vMerge w:val="restart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Dementia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Chronic Pulmonary Disease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Connective Tissue Disease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Peptic Ulcer Disease*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p=0.029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Mild Liver Disease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Diabetes Mellitus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Diabetes with Chronic Complications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Hemiplegia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Renal Disease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Any tumor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Leukemia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Lymphoma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Moderate or Severe Liver Disease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Metastatic Solid Tumor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2E3CCA" w:rsidRPr="0019209A" w:rsidTr="00A74F5B">
        <w:trPr>
          <w:trHeight w:val="2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Extension into ventricle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OR 3.585, 95% CI 1.693–7.592, p=0.001</w:t>
            </w:r>
            <w:r w:rsidRPr="0019209A">
              <w:rPr>
                <w:vertAlign w:val="superscript"/>
              </w:rPr>
              <w:t>+</w:t>
            </w:r>
          </w:p>
        </w:tc>
      </w:tr>
      <w:tr w:rsidR="002E3CCA" w:rsidRPr="0019209A" w:rsidTr="00A74F5B">
        <w:trPr>
          <w:trHeight w:val="952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2E3CCA" w:rsidRDefault="002E3CCA" w:rsidP="0019209A">
            <w:pPr>
              <w:pStyle w:val="NoSpacing"/>
              <w:spacing w:line="276" w:lineRule="auto"/>
              <w:jc w:val="center"/>
            </w:pPr>
            <w:r>
              <w:t xml:space="preserve">Tumor type, </w:t>
            </w:r>
          </w:p>
          <w:p w:rsidR="002E3CCA" w:rsidRPr="0019209A" w:rsidRDefault="002E3CCA" w:rsidP="0019209A">
            <w:pPr>
              <w:pStyle w:val="NoSpacing"/>
              <w:spacing w:line="276" w:lineRule="auto"/>
              <w:jc w:val="center"/>
            </w:pPr>
            <w:r w:rsidRPr="0019209A">
              <w:t xml:space="preserve">craniopharyngioma* </w:t>
            </w:r>
          </w:p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(ref: adenoma)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2E3CCA" w:rsidRPr="0019209A" w:rsidRDefault="002E3CCA" w:rsidP="00A74F5B">
            <w:pPr>
              <w:pStyle w:val="NoSpacing"/>
              <w:spacing w:line="276" w:lineRule="auto"/>
              <w:jc w:val="center"/>
            </w:pPr>
            <w:r w:rsidRPr="0019209A">
              <w:t>p&lt;0.001</w:t>
            </w:r>
          </w:p>
        </w:tc>
      </w:tr>
      <w:tr w:rsidR="002E3CCA" w:rsidRPr="0019209A" w:rsidTr="002E3CCA">
        <w:trPr>
          <w:trHeight w:val="20"/>
        </w:trPr>
        <w:tc>
          <w:tcPr>
            <w:tcW w:w="14318" w:type="dxa"/>
            <w:gridSpan w:val="6"/>
            <w:shd w:val="clear" w:color="auto" w:fill="FFFFFF" w:themeFill="background1"/>
            <w:vAlign w:val="center"/>
          </w:tcPr>
          <w:p w:rsidR="002E3CCA" w:rsidRPr="0019209A" w:rsidRDefault="002E3CCA" w:rsidP="002E3CCA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19209A" w:rsidRPr="0019209A" w:rsidTr="00A74F5B">
        <w:trPr>
          <w:trHeight w:val="20"/>
        </w:trPr>
        <w:tc>
          <w:tcPr>
            <w:tcW w:w="1515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Leach et al., 2010</w:t>
            </w:r>
          </w:p>
        </w:tc>
        <w:tc>
          <w:tcPr>
            <w:tcW w:w="1184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pituitary fossa lesions, N=125, adenoma 87%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Learning curve (cut off 53)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Complications in general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A74F5B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Qureshi et al., 2016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primary pituitary adenomas, N=78</w:t>
            </w:r>
          </w:p>
        </w:tc>
        <w:tc>
          <w:tcPr>
            <w:tcW w:w="2559" w:type="dxa"/>
            <w:vMerge w:val="restart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Learning curve (cut of</w:t>
            </w:r>
            <w:r w:rsidR="00A74F5B">
              <w:t>f</w:t>
            </w:r>
            <w:r w:rsidRPr="0019209A">
              <w:t xml:space="preserve"> 9)</w:t>
            </w: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  <w:r w:rsidRPr="0019209A">
              <w:t>Transient DI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  <w:r w:rsidRPr="0019209A">
              <w:t>Permanent DI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  <w:r w:rsidRPr="0019209A">
              <w:t>Loss of pituitary function / panhypopituitarism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19209A" w:rsidRPr="0019209A" w:rsidTr="00A74F5B">
        <w:trPr>
          <w:trHeight w:val="20"/>
        </w:trPr>
        <w:tc>
          <w:tcPr>
            <w:tcW w:w="1515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  <w:rPr>
                <w:highlight w:val="cyan"/>
              </w:rPr>
            </w:pPr>
            <w:r w:rsidRPr="0019209A">
              <w:t>Sinusitis</w:t>
            </w:r>
          </w:p>
        </w:tc>
        <w:tc>
          <w:tcPr>
            <w:tcW w:w="3561" w:type="dxa"/>
            <w:vAlign w:val="center"/>
            <w:hideMark/>
          </w:tcPr>
          <w:p w:rsidR="0019209A" w:rsidRPr="0019209A" w:rsidRDefault="0019209A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Senior et al., 2008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Endoscopic transsphenoidal surgery, N=176, adenoma 84%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Age (continuous)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Gender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BMI (continuous)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 &gt;10* vs. &lt;10mm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p=0.04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 &gt;20 vs. &lt;20mm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RCC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OR 2.6; p&lt;0.001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Tumors other than adenomas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OR 9.0, p&lt;0.001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Gender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Overall DI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 (not defined)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RCC*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p=0.003</w:t>
            </w:r>
          </w:p>
        </w:tc>
      </w:tr>
    </w:tbl>
    <w:p w:rsidR="002E3CCA" w:rsidRDefault="002E3CCA"/>
    <w:tbl>
      <w:tblPr>
        <w:tblStyle w:val="TableGrid"/>
        <w:tblW w:w="14318" w:type="dxa"/>
        <w:tblInd w:w="-318" w:type="dxa"/>
        <w:tblLook w:val="04A0" w:firstRow="1" w:lastRow="0" w:firstColumn="1" w:lastColumn="0" w:noHBand="0" w:noVBand="1"/>
      </w:tblPr>
      <w:tblGrid>
        <w:gridCol w:w="1515"/>
        <w:gridCol w:w="1184"/>
        <w:gridCol w:w="3248"/>
        <w:gridCol w:w="2559"/>
        <w:gridCol w:w="2251"/>
        <w:gridCol w:w="3561"/>
      </w:tblGrid>
      <w:tr w:rsidR="008A189F" w:rsidRPr="0019209A" w:rsidTr="00A74F5B">
        <w:trPr>
          <w:trHeight w:val="113"/>
        </w:trPr>
        <w:tc>
          <w:tcPr>
            <w:tcW w:w="14318" w:type="dxa"/>
            <w:gridSpan w:val="6"/>
            <w:shd w:val="clear" w:color="auto" w:fill="FFFFFF" w:themeFill="background1"/>
            <w:vAlign w:val="center"/>
          </w:tcPr>
          <w:p w:rsidR="008A189F" w:rsidRPr="0019209A" w:rsidRDefault="008A189F" w:rsidP="008A189F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8A189F" w:rsidRPr="0019209A" w:rsidTr="008A189F">
        <w:trPr>
          <w:trHeight w:val="113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types other than RCC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location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Revision surgery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 w:val="restart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Sigounas et al.,</w:t>
            </w:r>
          </w:p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2008</w:t>
            </w:r>
          </w:p>
        </w:tc>
        <w:tc>
          <w:tcPr>
            <w:tcW w:w="1184" w:type="dxa"/>
            <w:vMerge w:val="restart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Moderate Risk</w:t>
            </w:r>
          </w:p>
        </w:tc>
        <w:tc>
          <w:tcPr>
            <w:tcW w:w="3248" w:type="dxa"/>
            <w:vMerge w:val="restart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Endoscopic transsphenoidal pituitary surgery, N=105, adenoma 85%</w:t>
            </w: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Prior nonendoscopic surgery</w:t>
            </w:r>
          </w:p>
        </w:tc>
        <w:tc>
          <w:tcPr>
            <w:tcW w:w="2251" w:type="dxa"/>
            <w:vMerge w:val="restart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Permanent DI</w:t>
            </w: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5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RCC*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p=0.028</w:t>
            </w:r>
          </w:p>
        </w:tc>
      </w:tr>
      <w:tr w:rsidR="008A189F" w:rsidRPr="0019209A" w:rsidTr="00A74F5B">
        <w:trPr>
          <w:trHeight w:val="5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 (micro</w:t>
            </w:r>
            <w:r w:rsidR="002E3CCA">
              <w:t>-</w:t>
            </w:r>
            <w:r w:rsidRPr="0019209A">
              <w:t xml:space="preserve"> vs</w:t>
            </w:r>
            <w:r w:rsidR="002E3CCA">
              <w:t>.</w:t>
            </w:r>
            <w:r w:rsidRPr="0019209A">
              <w:t xml:space="preserve"> macroadenoma)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5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Prior endoscopic surgery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5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Gender</w:t>
            </w:r>
            <w:r w:rsidR="00BE5503">
              <w:t xml:space="preserve"> (ref. male)</w:t>
            </w:r>
          </w:p>
        </w:tc>
        <w:tc>
          <w:tcPr>
            <w:tcW w:w="2251" w:type="dxa"/>
            <w:vMerge w:val="restart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Overall DI</w:t>
            </w: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5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Race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5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 (micro- vs</w:t>
            </w:r>
            <w:r w:rsidR="002E3CCA">
              <w:t>.</w:t>
            </w:r>
            <w:r w:rsidRPr="0019209A">
              <w:t xml:space="preserve"> macroadenoma)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5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NFA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27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Acromegaly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570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Cushing’s disease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83"/>
        </w:trPr>
        <w:tc>
          <w:tcPr>
            <w:tcW w:w="1515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Prolactinoma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83"/>
        </w:trPr>
        <w:tc>
          <w:tcPr>
            <w:tcW w:w="1515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RCC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95% CI 2.0–25.8, p=0.003</w:t>
            </w:r>
          </w:p>
        </w:tc>
      </w:tr>
      <w:tr w:rsidR="008A189F" w:rsidRPr="0019209A" w:rsidTr="00A74F5B">
        <w:trPr>
          <w:trHeight w:val="283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Craniopharyngioma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83"/>
        </w:trPr>
        <w:tc>
          <w:tcPr>
            <w:tcW w:w="1515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Prior endoscopic surgery</w:t>
            </w:r>
          </w:p>
        </w:tc>
        <w:tc>
          <w:tcPr>
            <w:tcW w:w="2251" w:type="dxa"/>
            <w:vMerge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FFFFF" w:themeFill="background1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Thawani et al., 2017</w:t>
            </w: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Consecutively treated pituitary macroadenomas, N=203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Age</w:t>
            </w:r>
            <w:r w:rsidR="00BE5503">
              <w:t xml:space="preserve"> (continuous)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BE5503" w:rsidP="00A74F5B">
            <w:pPr>
              <w:pStyle w:val="NoSpacing"/>
              <w:spacing w:line="276" w:lineRule="auto"/>
              <w:jc w:val="center"/>
            </w:pPr>
            <w:r>
              <w:t>Gender (ref. female)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0"/>
        </w:trPr>
        <w:tc>
          <w:tcPr>
            <w:tcW w:w="14318" w:type="dxa"/>
            <w:gridSpan w:val="6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Cavernous sinus involvement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Prior surgery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Prior radiation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Age</w:t>
            </w:r>
            <w:r w:rsidR="00BE5503">
              <w:t xml:space="preserve"> (continuous)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Infections (overall)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BE5503" w:rsidP="00A74F5B">
            <w:pPr>
              <w:pStyle w:val="NoSpacing"/>
              <w:spacing w:line="276" w:lineRule="auto"/>
              <w:jc w:val="center"/>
            </w:pPr>
            <w:r>
              <w:t>Gender (ref. female)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type, functional* (</w:t>
            </w:r>
            <w:r w:rsidR="00A74F5B">
              <w:t xml:space="preserve">ref. </w:t>
            </w:r>
            <w:r w:rsidRPr="0019209A">
              <w:t>non-functional)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p=0.04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Prior surgery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Prior radiation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Age</w:t>
            </w:r>
            <w:r w:rsidR="00BE5503">
              <w:t xml:space="preserve"> (continuous)</w:t>
            </w:r>
          </w:p>
        </w:tc>
        <w:tc>
          <w:tcPr>
            <w:tcW w:w="2251" w:type="dxa"/>
            <w:vMerge w:val="restart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Overall DI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8A189F" w:rsidRDefault="008A189F" w:rsidP="00A74F5B">
            <w:pPr>
              <w:pStyle w:val="NoSpacing"/>
              <w:spacing w:line="276" w:lineRule="auto"/>
              <w:rPr>
                <w:highlight w:val="yellow"/>
              </w:rPr>
            </w:pP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BE5503" w:rsidP="00A74F5B">
            <w:pPr>
              <w:pStyle w:val="NoSpacing"/>
              <w:spacing w:line="276" w:lineRule="auto"/>
              <w:jc w:val="center"/>
            </w:pPr>
            <w:r>
              <w:t>Gender (female)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8A189F">
        <w:trPr>
          <w:trHeight w:val="20"/>
        </w:trPr>
        <w:tc>
          <w:tcPr>
            <w:tcW w:w="1515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Tumor size</w:t>
            </w:r>
          </w:p>
        </w:tc>
        <w:tc>
          <w:tcPr>
            <w:tcW w:w="2251" w:type="dxa"/>
            <w:vMerge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561" w:type="dxa"/>
            <w:shd w:val="clear" w:color="auto" w:fill="F2F2F2" w:themeFill="background1" w:themeFillShade="F2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0"/>
        </w:trPr>
        <w:tc>
          <w:tcPr>
            <w:tcW w:w="1515" w:type="dxa"/>
            <w:vMerge w:val="restart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Zhan et al., 2015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vMerge w:val="restart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Elderly pituitary adenoma patients (≥65 years) compared to patients aged between 40 and 55 years, N=303</w:t>
            </w:r>
          </w:p>
        </w:tc>
        <w:tc>
          <w:tcPr>
            <w:tcW w:w="2559" w:type="dxa"/>
            <w:vMerge w:val="restart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rPr>
                <w:lang w:val="nl-NL"/>
              </w:rPr>
              <w:t>Age ≥65 (ref. 40-55 years)</w:t>
            </w:r>
          </w:p>
        </w:tc>
        <w:tc>
          <w:tcPr>
            <w:tcW w:w="225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Postoperative CSF leak</w:t>
            </w:r>
          </w:p>
        </w:tc>
        <w:tc>
          <w:tcPr>
            <w:tcW w:w="356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225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Meningitis</w:t>
            </w:r>
          </w:p>
        </w:tc>
        <w:tc>
          <w:tcPr>
            <w:tcW w:w="356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225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Intracranial hematoma</w:t>
            </w:r>
          </w:p>
        </w:tc>
        <w:tc>
          <w:tcPr>
            <w:tcW w:w="356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20"/>
        </w:trPr>
        <w:tc>
          <w:tcPr>
            <w:tcW w:w="1515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225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Transient DI</w:t>
            </w:r>
          </w:p>
        </w:tc>
        <w:tc>
          <w:tcPr>
            <w:tcW w:w="356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315"/>
        </w:trPr>
        <w:tc>
          <w:tcPr>
            <w:tcW w:w="1515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Permanent DI</w:t>
            </w:r>
          </w:p>
        </w:tc>
        <w:tc>
          <w:tcPr>
            <w:tcW w:w="356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70"/>
        </w:trPr>
        <w:tc>
          <w:tcPr>
            <w:tcW w:w="1515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Overall DI</w:t>
            </w:r>
          </w:p>
        </w:tc>
        <w:tc>
          <w:tcPr>
            <w:tcW w:w="3561" w:type="dxa"/>
            <w:vAlign w:val="center"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New hypopituitarism</w:t>
            </w:r>
          </w:p>
        </w:tc>
        <w:tc>
          <w:tcPr>
            <w:tcW w:w="356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  <w:tr w:rsidR="008A189F" w:rsidRPr="0019209A" w:rsidTr="00A74F5B">
        <w:trPr>
          <w:trHeight w:val="170"/>
        </w:trPr>
        <w:tc>
          <w:tcPr>
            <w:tcW w:w="1515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1184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3248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559" w:type="dxa"/>
            <w:vMerge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</w:p>
        </w:tc>
        <w:tc>
          <w:tcPr>
            <w:tcW w:w="225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Visual deterioration</w:t>
            </w:r>
          </w:p>
        </w:tc>
        <w:tc>
          <w:tcPr>
            <w:tcW w:w="3561" w:type="dxa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=</w:t>
            </w:r>
          </w:p>
        </w:tc>
      </w:tr>
    </w:tbl>
    <w:p w:rsidR="008A189F" w:rsidRDefault="008A189F">
      <w:r>
        <w:br w:type="page"/>
      </w:r>
    </w:p>
    <w:tbl>
      <w:tblPr>
        <w:tblStyle w:val="TableGrid"/>
        <w:tblW w:w="14318" w:type="dxa"/>
        <w:tblInd w:w="-318" w:type="dxa"/>
        <w:tblLook w:val="04A0" w:firstRow="1" w:lastRow="0" w:firstColumn="1" w:lastColumn="0" w:noHBand="0" w:noVBand="1"/>
      </w:tblPr>
      <w:tblGrid>
        <w:gridCol w:w="1515"/>
        <w:gridCol w:w="1184"/>
        <w:gridCol w:w="3248"/>
        <w:gridCol w:w="2559"/>
        <w:gridCol w:w="2251"/>
        <w:gridCol w:w="3561"/>
      </w:tblGrid>
      <w:tr w:rsidR="008A189F" w:rsidRPr="0019209A" w:rsidTr="008A189F">
        <w:trPr>
          <w:trHeight w:val="113"/>
        </w:trPr>
        <w:tc>
          <w:tcPr>
            <w:tcW w:w="14318" w:type="dxa"/>
            <w:gridSpan w:val="6"/>
            <w:shd w:val="clear" w:color="auto" w:fill="FFFFFF" w:themeFill="background1"/>
            <w:vAlign w:val="center"/>
          </w:tcPr>
          <w:p w:rsidR="008A189F" w:rsidRPr="0019209A" w:rsidRDefault="008A189F" w:rsidP="008A189F">
            <w:pPr>
              <w:pStyle w:val="NoSpacing"/>
              <w:spacing w:line="276" w:lineRule="auto"/>
            </w:pPr>
            <w:r w:rsidRPr="0019209A">
              <w:rPr>
                <w:b/>
                <w:bCs/>
              </w:rPr>
              <w:lastRenderedPageBreak/>
              <w:t xml:space="preserve">Supplementary table 2 </w:t>
            </w:r>
            <w:r w:rsidRPr="0019209A">
              <w:t xml:space="preserve">Summary of study characteristics of prognostic cohort studies </w:t>
            </w:r>
            <w:r w:rsidRPr="0019209A">
              <w:rPr>
                <w:i/>
              </w:rPr>
              <w:t>(continued)</w:t>
            </w:r>
          </w:p>
        </w:tc>
      </w:tr>
      <w:tr w:rsidR="008A189F" w:rsidRPr="0019209A" w:rsidTr="00A74F5B">
        <w:trPr>
          <w:trHeight w:val="113"/>
        </w:trPr>
        <w:tc>
          <w:tcPr>
            <w:tcW w:w="1515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Zhang et al.,</w:t>
            </w:r>
          </w:p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2014</w:t>
            </w:r>
          </w:p>
        </w:tc>
        <w:tc>
          <w:tcPr>
            <w:tcW w:w="1184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High Risk</w:t>
            </w:r>
          </w:p>
        </w:tc>
        <w:tc>
          <w:tcPr>
            <w:tcW w:w="3248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Transsphenoidal pituitary adenoma surgery, N=326</w:t>
            </w:r>
          </w:p>
        </w:tc>
        <w:tc>
          <w:tcPr>
            <w:tcW w:w="2559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Diabetes mellitus</w:t>
            </w:r>
          </w:p>
        </w:tc>
        <w:tc>
          <w:tcPr>
            <w:tcW w:w="2251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Intracranial infections</w:t>
            </w:r>
          </w:p>
        </w:tc>
        <w:tc>
          <w:tcPr>
            <w:tcW w:w="3561" w:type="dxa"/>
            <w:shd w:val="clear" w:color="auto" w:fill="F2F2F2" w:themeFill="background1" w:themeFillShade="F2"/>
            <w:vAlign w:val="center"/>
            <w:hideMark/>
          </w:tcPr>
          <w:p w:rsidR="008A189F" w:rsidRPr="0019209A" w:rsidRDefault="008A189F" w:rsidP="00A74F5B">
            <w:pPr>
              <w:pStyle w:val="NoSpacing"/>
              <w:spacing w:line="276" w:lineRule="auto"/>
              <w:jc w:val="center"/>
            </w:pPr>
            <w:r w:rsidRPr="0019209A">
              <w:t>OR 5.47, 95% CI 1,09-6,49; p=0,009</w:t>
            </w:r>
          </w:p>
        </w:tc>
      </w:tr>
      <w:tr w:rsidR="008A189F" w:rsidRPr="0019209A" w:rsidTr="00362A05">
        <w:trPr>
          <w:trHeight w:val="645"/>
        </w:trPr>
        <w:tc>
          <w:tcPr>
            <w:tcW w:w="14318" w:type="dxa"/>
            <w:gridSpan w:val="6"/>
            <w:tcBorders>
              <w:bottom w:val="single" w:sz="4" w:space="0" w:color="auto"/>
            </w:tcBorders>
            <w:hideMark/>
          </w:tcPr>
          <w:p w:rsidR="00362A05" w:rsidRPr="0019209A" w:rsidRDefault="008A189F" w:rsidP="00A74F5B">
            <w:pPr>
              <w:pStyle w:val="NoSpacing"/>
              <w:spacing w:line="276" w:lineRule="auto"/>
            </w:pPr>
            <w:bookmarkStart w:id="0" w:name="_GoBack"/>
            <w:bookmarkEnd w:id="0"/>
            <w:r w:rsidRPr="0019209A">
              <w:t>* Prognostic factor has a higher chance of outcome</w:t>
            </w:r>
          </w:p>
          <w:p w:rsidR="008A189F" w:rsidRPr="0019209A" w:rsidRDefault="00362A05" w:rsidP="00A74F5B">
            <w:pPr>
              <w:pStyle w:val="NoSpacing"/>
              <w:spacing w:line="276" w:lineRule="auto"/>
            </w:pPr>
            <w:r w:rsidRPr="0019209A">
              <w:rPr>
                <w:vertAlign w:val="superscript"/>
              </w:rPr>
              <w:t xml:space="preserve">+ </w:t>
            </w:r>
            <w:r w:rsidRPr="0019209A">
              <w:t>Based on a multivariate analysis</w:t>
            </w:r>
          </w:p>
        </w:tc>
      </w:tr>
    </w:tbl>
    <w:p w:rsidR="00B354A3" w:rsidRPr="0019209A" w:rsidRDefault="00B354A3"/>
    <w:sectPr w:rsidR="00B354A3" w:rsidRPr="0019209A" w:rsidSect="00962840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4CE" w:rsidRDefault="005A14CE" w:rsidP="002E3CCA">
      <w:r>
        <w:separator/>
      </w:r>
    </w:p>
  </w:endnote>
  <w:endnote w:type="continuationSeparator" w:id="0">
    <w:p w:rsidR="005A14CE" w:rsidRDefault="005A14CE" w:rsidP="002E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64948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4F5B" w:rsidRDefault="00A74F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2A0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74F5B" w:rsidRDefault="00A74F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4CE" w:rsidRDefault="005A14CE" w:rsidP="002E3CCA">
      <w:r>
        <w:separator/>
      </w:r>
    </w:p>
  </w:footnote>
  <w:footnote w:type="continuationSeparator" w:id="0">
    <w:p w:rsidR="005A14CE" w:rsidRDefault="005A14CE" w:rsidP="002E3C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840"/>
    <w:rsid w:val="0019209A"/>
    <w:rsid w:val="002E3CCA"/>
    <w:rsid w:val="003339BB"/>
    <w:rsid w:val="00362A05"/>
    <w:rsid w:val="005A14CE"/>
    <w:rsid w:val="008A189F"/>
    <w:rsid w:val="00962840"/>
    <w:rsid w:val="00A74F5B"/>
    <w:rsid w:val="00B354A3"/>
    <w:rsid w:val="00BE5503"/>
    <w:rsid w:val="00D7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840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28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62840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table" w:styleId="TableGrid">
    <w:name w:val="Table Grid"/>
    <w:basedOn w:val="TableNormal"/>
    <w:rsid w:val="0096284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3C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CCA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E3C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CCA"/>
    <w:rPr>
      <w:rFonts w:ascii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840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28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62840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table" w:styleId="TableGrid">
    <w:name w:val="Table Grid"/>
    <w:basedOn w:val="TableNormal"/>
    <w:rsid w:val="00962840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E3C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3CCA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E3C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3CCA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D5CD1293</Template>
  <TotalTime>44</TotalTime>
  <Pages>1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LUMC</Company>
  <LinksUpToDate>false</LinksUpToDate>
  <CharactersWithSpaces>9033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Lobatto, D.J. (NECH)</dc:creator>
  <cp:lastModifiedBy>Lobatto, D.J. (NECH)</cp:lastModifiedBy>
  <cp:revision>7</cp:revision>
  <dcterms:created xsi:type="dcterms:W3CDTF">2017-08-29T10:50:00Z</dcterms:created>
  <dcterms:modified xsi:type="dcterms:W3CDTF">2017-09-05T07:01:00Z</dcterms:modified>
</cp:coreProperties>
</file>