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EF" w:rsidRDefault="009E6FEF" w:rsidP="009E6FEF">
      <w:pPr>
        <w:rPr>
          <w:rFonts w:ascii="Times New Roman" w:hAnsi="Times New Roman" w:cs="Times New Roman"/>
          <w:b/>
          <w:sz w:val="20"/>
          <w:szCs w:val="20"/>
        </w:rPr>
      </w:pPr>
      <w:r w:rsidRPr="00A60F5D">
        <w:rPr>
          <w:rFonts w:ascii="Times New Roman" w:hAnsi="Times New Roman" w:cs="Times New Roman"/>
          <w:b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sz w:val="20"/>
          <w:szCs w:val="20"/>
        </w:rPr>
        <w:t xml:space="preserve"> material for:</w:t>
      </w:r>
    </w:p>
    <w:p w:rsidR="009E6FEF" w:rsidRPr="00A60F5D" w:rsidRDefault="009E6FEF" w:rsidP="009E6FEF">
      <w:pPr>
        <w:pStyle w:val="Heading1"/>
        <w:spacing w:before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60F5D">
        <w:rPr>
          <w:rFonts w:ascii="Times New Roman" w:hAnsi="Times New Roman" w:cs="Times New Roman"/>
          <w:b/>
          <w:sz w:val="20"/>
          <w:szCs w:val="20"/>
        </w:rPr>
        <w:t xml:space="preserve">Predictive factors for responses to primary medical treatment with lanreotide autogel 120 mg in acromegaly: </w:t>
      </w:r>
      <w:r w:rsidRPr="00A60F5D">
        <w:rPr>
          <w:rFonts w:ascii="Times New Roman" w:hAnsi="Times New Roman" w:cs="Times New Roman"/>
          <w:b/>
          <w:i/>
          <w:sz w:val="20"/>
          <w:szCs w:val="20"/>
        </w:rPr>
        <w:t xml:space="preserve">post-hoc </w:t>
      </w:r>
      <w:r w:rsidRPr="00A60F5D">
        <w:rPr>
          <w:rFonts w:ascii="Times New Roman" w:hAnsi="Times New Roman" w:cs="Times New Roman"/>
          <w:b/>
          <w:sz w:val="20"/>
          <w:szCs w:val="20"/>
        </w:rPr>
        <w:t>analyses from the PRIMARYS study</w:t>
      </w:r>
    </w:p>
    <w:p w:rsidR="009E6FEF" w:rsidRPr="00A60F5D" w:rsidRDefault="009E6FEF" w:rsidP="009E6FE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</w:rPr>
        <w:t>Stephan Petersenn</w:t>
      </w:r>
      <w:r w:rsidRPr="00D9762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60F5D">
        <w:rPr>
          <w:rFonts w:ascii="Times New Roman" w:hAnsi="Times New Roman" w:cs="Times New Roman"/>
          <w:sz w:val="20"/>
          <w:szCs w:val="20"/>
        </w:rPr>
        <w:t>,</w:t>
      </w:r>
      <w:r w:rsidRPr="00D97622">
        <w:rPr>
          <w:rFonts w:ascii="Times New Roman" w:hAnsi="Times New Roman" w:cs="Times New Roman"/>
          <w:sz w:val="20"/>
          <w:szCs w:val="20"/>
        </w:rPr>
        <w:t xml:space="preserve"> </w:t>
      </w:r>
      <w:r w:rsidRPr="00A60F5D">
        <w:rPr>
          <w:rFonts w:ascii="Times New Roman" w:hAnsi="Times New Roman" w:cs="Times New Roman"/>
          <w:sz w:val="20"/>
          <w:szCs w:val="20"/>
        </w:rPr>
        <w:t>Aude Houchard</w:t>
      </w:r>
      <w:r w:rsidRPr="00D9762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60F5D">
        <w:rPr>
          <w:rFonts w:ascii="Times New Roman" w:hAnsi="Times New Roman" w:cs="Times New Roman"/>
          <w:sz w:val="20"/>
          <w:szCs w:val="20"/>
        </w:rPr>
        <w:t>, Caroline Sert</w:t>
      </w:r>
      <w:r w:rsidRPr="00D9762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60F5D">
        <w:rPr>
          <w:rFonts w:ascii="Times New Roman" w:hAnsi="Times New Roman" w:cs="Times New Roman"/>
          <w:sz w:val="20"/>
          <w:szCs w:val="20"/>
        </w:rPr>
        <w:t>, Philippe J. Caron</w:t>
      </w:r>
      <w:r w:rsidRPr="00D9762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60F5D">
        <w:rPr>
          <w:rFonts w:ascii="Times New Roman" w:hAnsi="Times New Roman" w:cs="Times New Roman"/>
          <w:sz w:val="20"/>
          <w:szCs w:val="20"/>
        </w:rPr>
        <w:t>, on behalf of the PRIMARYS Study Group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60F5D">
        <w:rPr>
          <w:rFonts w:ascii="Times New Roman" w:hAnsi="Times New Roman" w:cs="Times New Roman"/>
          <w:sz w:val="20"/>
          <w:szCs w:val="20"/>
        </w:rPr>
        <w:t>ENDOC Center for Endocrine Tumors, Hamburg, Germany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60F5D">
        <w:rPr>
          <w:rFonts w:ascii="Times New Roman" w:hAnsi="Times New Roman" w:cs="Times New Roman"/>
          <w:sz w:val="20"/>
          <w:szCs w:val="20"/>
        </w:rPr>
        <w:t>Ipsen, Boulogne-Billancourt, France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60F5D">
        <w:rPr>
          <w:rFonts w:ascii="Times New Roman" w:hAnsi="Times New Roman" w:cs="Times New Roman"/>
          <w:sz w:val="20"/>
          <w:szCs w:val="20"/>
        </w:rPr>
        <w:t xml:space="preserve">Department of Endocrinology and Metabolic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A60F5D">
        <w:rPr>
          <w:rFonts w:ascii="Times New Roman" w:hAnsi="Times New Roman" w:cs="Times New Roman"/>
          <w:sz w:val="20"/>
          <w:szCs w:val="20"/>
        </w:rPr>
        <w:t>iseases, CHU Larrey, Toulouse, France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</w:rPr>
        <w:t xml:space="preserve">Corresponding author: 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</w:rPr>
        <w:t>Professor Stephan Petersenn, ENDOC Center for Endocrine Tumors, Erik-Blumenfeld-Platz 27a, 22587, Hamburg, Germany</w:t>
      </w:r>
    </w:p>
    <w:p w:rsidR="009E6FEF" w:rsidRPr="00A60F5D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A60F5D">
          <w:rPr>
            <w:rFonts w:ascii="Times New Roman" w:hAnsi="Times New Roman" w:cs="Times New Roman"/>
            <w:sz w:val="20"/>
            <w:szCs w:val="20"/>
          </w:rPr>
          <w:t>stephan.petersenn@endoc-med.de</w:t>
        </w:r>
      </w:hyperlink>
    </w:p>
    <w:p w:rsidR="009E6FEF" w:rsidRDefault="009E6FEF" w:rsidP="009E6F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sz w:val="20"/>
          <w:szCs w:val="20"/>
        </w:rPr>
        <w:t>Tel: + 49 40 401 87985</w:t>
      </w:r>
    </w:p>
    <w:p w:rsidR="009E6FEF" w:rsidRDefault="009E6FE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E6FEF" w:rsidRDefault="009E6FEF" w:rsidP="009E6FEF">
      <w:pPr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b/>
          <w:sz w:val="20"/>
          <w:szCs w:val="20"/>
        </w:rPr>
        <w:lastRenderedPageBreak/>
        <w:t>Supplementary Fig. 1</w:t>
      </w:r>
      <w:r w:rsidRPr="00A60F5D">
        <w:rPr>
          <w:rFonts w:ascii="Times New Roman" w:hAnsi="Times New Roman" w:cs="Times New Roman"/>
          <w:sz w:val="20"/>
          <w:szCs w:val="20"/>
        </w:rPr>
        <w:t xml:space="preserve"> ROC curves drawn for the calculation of baseline cut-off values for predicting hormonal control (defined as GH ≤ 2.5 µg/L and IGF-1 levels within normal ranges) at LVA</w:t>
      </w:r>
    </w:p>
    <w:p w:rsidR="00516FA4" w:rsidRPr="00A60F5D" w:rsidRDefault="00516FA4" w:rsidP="009E6FEF">
      <w:pPr>
        <w:rPr>
          <w:rFonts w:ascii="Times New Roman" w:hAnsi="Times New Roman" w:cs="Times New Roman"/>
          <w:sz w:val="20"/>
          <w:szCs w:val="20"/>
        </w:rPr>
      </w:pPr>
      <w:r w:rsidRPr="00516FA4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731510" cy="2171383"/>
            <wp:effectExtent l="0" t="0" r="2540" b="635"/>
            <wp:docPr id="1" name="Picture 1" descr="S:\Watermeadow\Projects\Hermes\IPS\SMT\1. Manuscripts\GB-16329 - PRIMARYS predictive factors_secondary manuscript\Drafts\Figure files\1103548-Primary predictive Suppl Fig 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Watermeadow\Projects\Hermes\IPS\SMT\1. Manuscripts\GB-16329 - PRIMARYS predictive factors_secondary manuscript\Drafts\Figure files\1103548-Primary predictive Suppl Fig 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7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FEF" w:rsidRPr="00A60F5D" w:rsidRDefault="009E6FEF" w:rsidP="009E6FEF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F9792E">
        <w:rPr>
          <w:rFonts w:ascii="Times New Roman" w:hAnsi="Times New Roman" w:cs="Times New Roman"/>
          <w:i/>
          <w:sz w:val="20"/>
          <w:szCs w:val="20"/>
        </w:rPr>
        <w:t>GH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0F5D">
        <w:rPr>
          <w:rFonts w:ascii="Times New Roman" w:hAnsi="Times New Roman" w:cs="Times New Roman"/>
          <w:sz w:val="20"/>
          <w:szCs w:val="20"/>
        </w:rPr>
        <w:t>growth hormone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IGF-1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0F5D">
        <w:rPr>
          <w:rFonts w:ascii="Times New Roman" w:hAnsi="Times New Roman" w:cs="Times New Roman"/>
          <w:sz w:val="20"/>
          <w:szCs w:val="20"/>
        </w:rPr>
        <w:t>insulin-like growth factor-1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LVA</w:t>
      </w:r>
      <w:r w:rsidRPr="00A60F5D">
        <w:rPr>
          <w:rFonts w:ascii="Times New Roman" w:hAnsi="Times New Roman" w:cs="Times New Roman"/>
          <w:sz w:val="20"/>
          <w:szCs w:val="20"/>
        </w:rPr>
        <w:t xml:space="preserve"> last post-baseline value available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ROC</w:t>
      </w:r>
      <w:r w:rsidRPr="00A60F5D">
        <w:rPr>
          <w:rFonts w:ascii="Times New Roman" w:hAnsi="Times New Roman" w:cs="Times New Roman"/>
          <w:sz w:val="20"/>
          <w:szCs w:val="20"/>
        </w:rPr>
        <w:t xml:space="preserve"> receiver operating characteristic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TV</w:t>
      </w:r>
      <w:r w:rsidRPr="00A60F5D">
        <w:rPr>
          <w:rFonts w:ascii="Times New Roman" w:hAnsi="Times New Roman" w:cs="Times New Roman"/>
          <w:sz w:val="20"/>
          <w:szCs w:val="20"/>
        </w:rPr>
        <w:t xml:space="preserve"> tumor volume</w:t>
      </w:r>
      <w:r w:rsidRPr="00A60F5D">
        <w:rPr>
          <w:rFonts w:ascii="Times New Roman" w:hAnsi="Times New Roman" w:cs="Times New Roman"/>
          <w:sz w:val="20"/>
          <w:szCs w:val="20"/>
        </w:rPr>
        <w:br/>
        <w:t xml:space="preserve">Data are from the intention-to-treat population for patients with LVA data (n = 88). </w:t>
      </w:r>
      <w:r w:rsidRPr="00A60F5D">
        <w:rPr>
          <w:rFonts w:ascii="Times New Roman" w:hAnsi="Times New Roman" w:cs="Times New Roman"/>
          <w:sz w:val="20"/>
          <w:szCs w:val="20"/>
        </w:rPr>
        <w:br/>
        <w:t>For sex: 1 = male; 2 = female.</w:t>
      </w:r>
      <w:r w:rsidRPr="00A60F5D">
        <w:rPr>
          <w:rFonts w:ascii="Times New Roman" w:hAnsi="Times New Roman" w:cs="Times New Roman"/>
          <w:sz w:val="20"/>
          <w:szCs w:val="20"/>
        </w:rPr>
        <w:br/>
      </w:r>
    </w:p>
    <w:p w:rsidR="009E6FEF" w:rsidRPr="00A60F5D" w:rsidRDefault="009E6FEF" w:rsidP="009E6FEF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:rsidR="009E6FEF" w:rsidRPr="00A60F5D" w:rsidRDefault="009E6FEF" w:rsidP="009E6FEF">
      <w:pPr>
        <w:rPr>
          <w:rFonts w:ascii="Times New Roman" w:hAnsi="Times New Roman" w:cs="Times New Roman"/>
          <w:b/>
          <w:sz w:val="20"/>
          <w:szCs w:val="20"/>
        </w:rPr>
      </w:pPr>
      <w:r w:rsidRPr="00A60F5D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E6FEF" w:rsidRDefault="009E6FEF" w:rsidP="009E6FEF">
      <w:pPr>
        <w:rPr>
          <w:rFonts w:ascii="Times New Roman" w:hAnsi="Times New Roman" w:cs="Times New Roman"/>
          <w:sz w:val="20"/>
          <w:szCs w:val="20"/>
        </w:rPr>
      </w:pPr>
      <w:r w:rsidRPr="00A60F5D">
        <w:rPr>
          <w:rFonts w:ascii="Times New Roman" w:hAnsi="Times New Roman" w:cs="Times New Roman"/>
          <w:b/>
          <w:sz w:val="20"/>
          <w:szCs w:val="20"/>
        </w:rPr>
        <w:lastRenderedPageBreak/>
        <w:t>Supplementary Fig.2</w:t>
      </w:r>
      <w:r w:rsidRPr="00A60F5D">
        <w:rPr>
          <w:rFonts w:ascii="Times New Roman" w:hAnsi="Times New Roman" w:cs="Times New Roman"/>
          <w:sz w:val="20"/>
          <w:szCs w:val="20"/>
        </w:rPr>
        <w:t xml:space="preserve"> ROC curves drawn for the calculation of week-12 and change-from-baseline to week-12 cut-off values for predicting hormonal control and TV responder status at LVA when </w:t>
      </w:r>
      <w:r w:rsidRPr="00F9792E">
        <w:rPr>
          <w:rFonts w:ascii="Times New Roman" w:hAnsi="Times New Roman" w:cs="Times New Roman"/>
          <w:b/>
          <w:sz w:val="20"/>
          <w:szCs w:val="20"/>
        </w:rPr>
        <w:t>a</w:t>
      </w:r>
      <w:r w:rsidRPr="00A60F5D">
        <w:rPr>
          <w:rFonts w:ascii="Times New Roman" w:hAnsi="Times New Roman" w:cs="Times New Roman"/>
          <w:sz w:val="20"/>
          <w:szCs w:val="20"/>
        </w:rPr>
        <w:t xml:space="preserve"> hormonal control is defined as GH ≤ 2.5 µg/L and IGF-1 levels within normal ranges at LVA, </w:t>
      </w:r>
      <w:r w:rsidRPr="00F9792E">
        <w:rPr>
          <w:rFonts w:ascii="Times New Roman" w:hAnsi="Times New Roman" w:cs="Times New Roman"/>
          <w:b/>
          <w:sz w:val="20"/>
          <w:szCs w:val="20"/>
        </w:rPr>
        <w:t>b</w:t>
      </w:r>
      <w:r w:rsidRPr="00A60F5D">
        <w:rPr>
          <w:rFonts w:ascii="Times New Roman" w:hAnsi="Times New Roman" w:cs="Times New Roman"/>
          <w:sz w:val="20"/>
          <w:szCs w:val="20"/>
        </w:rPr>
        <w:t xml:space="preserve"> tight hormonal control is defined as GH &lt; 1.0 µg/L and IGF-1 levels within normal ranges at LVA, and </w:t>
      </w:r>
      <w:r w:rsidRPr="00F9792E">
        <w:rPr>
          <w:rFonts w:ascii="Times New Roman" w:hAnsi="Times New Roman" w:cs="Times New Roman"/>
          <w:b/>
          <w:sz w:val="20"/>
          <w:szCs w:val="20"/>
        </w:rPr>
        <w:t>c</w:t>
      </w:r>
      <w:r w:rsidRPr="00A60F5D">
        <w:rPr>
          <w:rFonts w:ascii="Times New Roman" w:hAnsi="Times New Roman" w:cs="Times New Roman"/>
          <w:sz w:val="20"/>
          <w:szCs w:val="20"/>
        </w:rPr>
        <w:t xml:space="preserve"> TV responder status is defined as ≤ 20% reduction in TV at LVA.</w:t>
      </w:r>
    </w:p>
    <w:p w:rsidR="009E6FEF" w:rsidRPr="00A60F5D" w:rsidRDefault="00516FA4" w:rsidP="009E6FE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516FA4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5321300" cy="7523988"/>
            <wp:effectExtent l="0" t="0" r="0" b="1270"/>
            <wp:docPr id="2" name="Picture 2" descr="S:\Watermeadow\Projects\Hermes\IPS\SMT\1. Manuscripts\GB-16329 - PRIMARYS predictive factors_secondary manuscript\Drafts\Figure files\1103548-Primary predictive Suppl Fig 02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Watermeadow\Projects\Hermes\IPS\SMT\1. Manuscripts\GB-16329 - PRIMARYS predictive factors_secondary manuscript\Drafts\Figure files\1103548-Primary predictive Suppl Fig 02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578" cy="753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00C4" w:rsidRDefault="009E6FEF">
      <w:r w:rsidRPr="00F9792E">
        <w:rPr>
          <w:rFonts w:ascii="Times New Roman" w:hAnsi="Times New Roman" w:cs="Times New Roman"/>
          <w:i/>
          <w:sz w:val="20"/>
          <w:szCs w:val="20"/>
        </w:rPr>
        <w:t>GH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0F5D">
        <w:rPr>
          <w:rFonts w:ascii="Times New Roman" w:hAnsi="Times New Roman" w:cs="Times New Roman"/>
          <w:sz w:val="20"/>
          <w:szCs w:val="20"/>
        </w:rPr>
        <w:t>growth hormone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IGF-1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0F5D">
        <w:rPr>
          <w:rFonts w:ascii="Times New Roman" w:hAnsi="Times New Roman" w:cs="Times New Roman"/>
          <w:sz w:val="20"/>
          <w:szCs w:val="20"/>
        </w:rPr>
        <w:t>insulin-like growth factor-1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LVA</w:t>
      </w:r>
      <w:r w:rsidRPr="00A60F5D">
        <w:rPr>
          <w:rFonts w:ascii="Times New Roman" w:hAnsi="Times New Roman" w:cs="Times New Roman"/>
          <w:sz w:val="20"/>
          <w:szCs w:val="20"/>
        </w:rPr>
        <w:t xml:space="preserve"> last post-baseline value available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ROC</w:t>
      </w:r>
      <w:r w:rsidRPr="00A60F5D">
        <w:rPr>
          <w:rFonts w:ascii="Times New Roman" w:hAnsi="Times New Roman" w:cs="Times New Roman"/>
          <w:sz w:val="20"/>
          <w:szCs w:val="20"/>
        </w:rPr>
        <w:t xml:space="preserve"> receiver operating characteristic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60F5D">
        <w:rPr>
          <w:rFonts w:ascii="Times New Roman" w:hAnsi="Times New Roman" w:cs="Times New Roman"/>
          <w:sz w:val="20"/>
          <w:szCs w:val="20"/>
        </w:rPr>
        <w:t xml:space="preserve"> </w:t>
      </w:r>
      <w:r w:rsidRPr="00F9792E">
        <w:rPr>
          <w:rFonts w:ascii="Times New Roman" w:hAnsi="Times New Roman" w:cs="Times New Roman"/>
          <w:i/>
          <w:sz w:val="20"/>
          <w:szCs w:val="20"/>
        </w:rPr>
        <w:t>TV</w:t>
      </w:r>
      <w:r w:rsidRPr="00A60F5D">
        <w:rPr>
          <w:rFonts w:ascii="Times New Roman" w:hAnsi="Times New Roman" w:cs="Times New Roman"/>
          <w:sz w:val="20"/>
          <w:szCs w:val="20"/>
        </w:rPr>
        <w:t xml:space="preserve"> tumor volume</w:t>
      </w:r>
    </w:p>
    <w:sectPr w:rsidR="00E600C4" w:rsidSect="00E7015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FEF" w:rsidRDefault="009E6FEF" w:rsidP="009E6FEF">
      <w:pPr>
        <w:spacing w:after="0" w:line="240" w:lineRule="auto"/>
      </w:pPr>
      <w:r>
        <w:separator/>
      </w:r>
    </w:p>
  </w:endnote>
  <w:endnote w:type="continuationSeparator" w:id="0">
    <w:p w:rsidR="009E6FEF" w:rsidRDefault="009E6FEF" w:rsidP="009E6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6007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1229" w:rsidRDefault="009E6F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210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81229" w:rsidRDefault="00C3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FEF" w:rsidRDefault="009E6FEF" w:rsidP="009E6FEF">
      <w:pPr>
        <w:spacing w:after="0" w:line="240" w:lineRule="auto"/>
      </w:pPr>
      <w:r>
        <w:separator/>
      </w:r>
    </w:p>
  </w:footnote>
  <w:footnote w:type="continuationSeparator" w:id="0">
    <w:p w:rsidR="009E6FEF" w:rsidRDefault="009E6FEF" w:rsidP="009E6F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EF"/>
    <w:rsid w:val="00516FA4"/>
    <w:rsid w:val="00937C8B"/>
    <w:rsid w:val="009E6FEF"/>
    <w:rsid w:val="00C3210C"/>
    <w:rsid w:val="00E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A6B10-35F9-4C0B-A199-2DFE3502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FE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6F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E6FE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E6FEF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E6F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FE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6F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FEF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E6F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ephan.petersenn@endoc-med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UDG Healthcare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Germanicus Hansa-Wilkinson</dc:creator>
  <cp:keywords/>
  <dc:description/>
  <cp:lastModifiedBy>Germanicus Hansa-Wilkinson</cp:lastModifiedBy>
  <cp:revision>3</cp:revision>
  <dcterms:created xsi:type="dcterms:W3CDTF">2019-10-01T14:03:00Z</dcterms:created>
  <dcterms:modified xsi:type="dcterms:W3CDTF">2019-10-01T15:40:00Z</dcterms:modified>
</cp:coreProperties>
</file>