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7C5" w14:textId="20840D06" w:rsidR="00C50BA4" w:rsidRDefault="00C50BA4" w:rsidP="00156D6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="000C63CF">
        <w:rPr>
          <w:rFonts w:ascii="Times New Roman" w:hAnsi="Times New Roman" w:cs="Times New Roman"/>
          <w:b/>
          <w:bCs/>
          <w:sz w:val="20"/>
          <w:szCs w:val="20"/>
        </w:rPr>
        <w:t xml:space="preserve"> SECTION</w:t>
      </w:r>
    </w:p>
    <w:p w14:paraId="62B8BD16" w14:textId="27367D9E" w:rsidR="00156D63" w:rsidRPr="00DD3C8A" w:rsidRDefault="00156D63" w:rsidP="00156D6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153F5">
        <w:rPr>
          <w:rFonts w:ascii="Times New Roman" w:hAnsi="Times New Roman" w:cs="Times New Roman"/>
          <w:b/>
          <w:bCs/>
          <w:sz w:val="20"/>
          <w:szCs w:val="20"/>
        </w:rPr>
        <w:t xml:space="preserve">Title: </w:t>
      </w:r>
      <w:r w:rsidRPr="00DD3C8A">
        <w:rPr>
          <w:rFonts w:ascii="Times New Roman" w:hAnsi="Times New Roman" w:cs="Times New Roman"/>
          <w:sz w:val="20"/>
          <w:szCs w:val="20"/>
        </w:rPr>
        <w:t>Prevalence and risk of complications in untreated patients with adult growth hormone deficiency</w:t>
      </w:r>
    </w:p>
    <w:p w14:paraId="643AD978" w14:textId="77777777" w:rsidR="00156D63" w:rsidRDefault="00156D63" w:rsidP="00156D63">
      <w:pPr>
        <w:spacing w:line="480" w:lineRule="auto"/>
        <w:rPr>
          <w:rFonts w:ascii="Times New Roman" w:hAnsi="Times New Roman" w:cs="Times New Roman"/>
          <w:sz w:val="20"/>
          <w:szCs w:val="20"/>
          <w:lang w:val="en-IN"/>
        </w:rPr>
      </w:pPr>
    </w:p>
    <w:p w14:paraId="097D27D5" w14:textId="6F7224C4" w:rsidR="00A91EE6" w:rsidRDefault="00A91EE6" w:rsidP="00156D63">
      <w:pPr>
        <w:spacing w:line="480" w:lineRule="auto"/>
        <w:rPr>
          <w:rFonts w:ascii="Times New Roman" w:hAnsi="Times New Roman" w:cs="Times New Roman"/>
          <w:sz w:val="20"/>
          <w:szCs w:val="20"/>
          <w:lang w:val="en-IN"/>
        </w:rPr>
      </w:pPr>
      <w:r w:rsidRPr="00DD3C8A">
        <w:rPr>
          <w:rFonts w:ascii="Times New Roman" w:hAnsi="Times New Roman" w:cs="Times New Roman"/>
          <w:b/>
          <w:bCs/>
          <w:sz w:val="20"/>
          <w:szCs w:val="20"/>
          <w:lang w:val="en-IN"/>
        </w:rPr>
        <w:t>Journal:</w:t>
      </w:r>
      <w:r>
        <w:rPr>
          <w:rFonts w:ascii="Times New Roman" w:hAnsi="Times New Roman" w:cs="Times New Roman"/>
          <w:sz w:val="20"/>
          <w:szCs w:val="20"/>
          <w:lang w:val="en-IN"/>
        </w:rPr>
        <w:t xml:space="preserve"> Pituitary</w:t>
      </w:r>
    </w:p>
    <w:p w14:paraId="19775F3E" w14:textId="77777777" w:rsidR="00047F46" w:rsidRPr="000E6075" w:rsidRDefault="00047F46" w:rsidP="00156D63">
      <w:pPr>
        <w:spacing w:line="480" w:lineRule="auto"/>
        <w:rPr>
          <w:rFonts w:ascii="Times New Roman" w:hAnsi="Times New Roman" w:cs="Times New Roman"/>
          <w:sz w:val="20"/>
          <w:szCs w:val="20"/>
          <w:lang w:val="en-IN"/>
        </w:rPr>
      </w:pPr>
    </w:p>
    <w:p w14:paraId="40B5C0B0" w14:textId="77777777" w:rsidR="00156D63" w:rsidRPr="000E6075" w:rsidRDefault="00156D63" w:rsidP="00156D63">
      <w:pPr>
        <w:pStyle w:val="BodyText"/>
        <w:spacing w:after="0" w:line="480" w:lineRule="auto"/>
        <w:rPr>
          <w:sz w:val="20"/>
          <w:szCs w:val="20"/>
          <w:lang w:val="en-US" w:eastAsia="en-GB"/>
        </w:rPr>
      </w:pPr>
      <w:r w:rsidRPr="00DC628F">
        <w:rPr>
          <w:b/>
          <w:bCs/>
          <w:sz w:val="20"/>
          <w:szCs w:val="20"/>
          <w:lang w:val="en-US" w:eastAsia="en-GB"/>
        </w:rPr>
        <w:t>Authors:</w:t>
      </w:r>
      <w:r>
        <w:rPr>
          <w:sz w:val="20"/>
          <w:szCs w:val="20"/>
          <w:lang w:val="en-US" w:eastAsia="en-GB"/>
        </w:rPr>
        <w:t xml:space="preserve"> </w:t>
      </w:r>
      <w:r w:rsidRPr="000E6075">
        <w:rPr>
          <w:sz w:val="20"/>
          <w:szCs w:val="20"/>
          <w:lang w:val="en-US" w:eastAsia="en-GB"/>
        </w:rPr>
        <w:t>Hidenori Fukuoka</w:t>
      </w:r>
      <w:r w:rsidRPr="000E6075">
        <w:rPr>
          <w:sz w:val="20"/>
          <w:szCs w:val="20"/>
          <w:vertAlign w:val="superscript"/>
          <w:lang w:val="en-US"/>
        </w:rPr>
        <w:t>1</w:t>
      </w:r>
      <w:r w:rsidRPr="000E6075">
        <w:rPr>
          <w:sz w:val="20"/>
          <w:szCs w:val="20"/>
          <w:lang w:val="en-US"/>
        </w:rPr>
        <w:t>, Takaaki Endo</w:t>
      </w:r>
      <w:r w:rsidRPr="000E6075">
        <w:rPr>
          <w:sz w:val="20"/>
          <w:szCs w:val="20"/>
          <w:vertAlign w:val="superscript"/>
          <w:lang w:val="en-US"/>
        </w:rPr>
        <w:t>2</w:t>
      </w:r>
      <w:r w:rsidRPr="000E6075">
        <w:rPr>
          <w:sz w:val="20"/>
          <w:szCs w:val="20"/>
          <w:lang w:val="en-US"/>
        </w:rPr>
        <w:t>, Satoshi Tsuboi</w:t>
      </w:r>
      <w:r w:rsidRPr="000E6075">
        <w:rPr>
          <w:sz w:val="20"/>
          <w:szCs w:val="20"/>
          <w:vertAlign w:val="superscript"/>
          <w:lang w:val="en-US"/>
        </w:rPr>
        <w:t>2</w:t>
      </w:r>
      <w:r w:rsidRPr="000E6075">
        <w:rPr>
          <w:sz w:val="20"/>
          <w:szCs w:val="20"/>
          <w:lang w:val="en-US"/>
        </w:rPr>
        <w:t>, and Shingo Fujio</w:t>
      </w:r>
      <w:r w:rsidRPr="000E6075">
        <w:rPr>
          <w:sz w:val="20"/>
          <w:szCs w:val="20"/>
          <w:vertAlign w:val="superscript"/>
          <w:lang w:val="en-US"/>
        </w:rPr>
        <w:t>3</w:t>
      </w:r>
    </w:p>
    <w:p w14:paraId="06CD2A8F" w14:textId="77777777" w:rsidR="00156D63" w:rsidRPr="000E6075" w:rsidRDefault="00156D63" w:rsidP="00156D6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E607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6075">
        <w:rPr>
          <w:rFonts w:ascii="Times New Roman" w:hAnsi="Times New Roman" w:cs="Times New Roman"/>
          <w:sz w:val="20"/>
          <w:szCs w:val="20"/>
        </w:rPr>
        <w:t>Division of Diabetes and Endocrinology, Department of Internal Medicine, Kobe University Hospital, Hyogo, Japan</w:t>
      </w:r>
    </w:p>
    <w:p w14:paraId="07E653FE" w14:textId="77777777" w:rsidR="00156D63" w:rsidRPr="000E6075" w:rsidRDefault="00156D63" w:rsidP="00156D63">
      <w:pPr>
        <w:spacing w:line="48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0E6075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0E6075">
        <w:rPr>
          <w:rFonts w:ascii="Times New Roman" w:hAnsi="Times New Roman" w:cs="Times New Roman"/>
          <w:sz w:val="20"/>
          <w:szCs w:val="20"/>
          <w:lang w:val="pt-BR"/>
        </w:rPr>
        <w:t>Novo Nordisk Pharma Ltd., Tokyo, Japan</w:t>
      </w:r>
    </w:p>
    <w:p w14:paraId="2A30F8EA" w14:textId="77777777" w:rsidR="00156D63" w:rsidRPr="000E6075" w:rsidRDefault="00156D63" w:rsidP="00156D6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E607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0E6075">
        <w:rPr>
          <w:rFonts w:ascii="Times New Roman" w:hAnsi="Times New Roman" w:cs="Times New Roman"/>
          <w:sz w:val="20"/>
          <w:szCs w:val="20"/>
        </w:rPr>
        <w:t>Department of Neurosurgery, Graduate School of Medical and Dental Sciences, Kagoshima University, Kagoshima, Japan</w:t>
      </w:r>
    </w:p>
    <w:p w14:paraId="33C9E0FB" w14:textId="77777777" w:rsidR="00156D63" w:rsidRPr="000E6075" w:rsidRDefault="00156D63" w:rsidP="00156D63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EDE1734" w14:textId="77777777" w:rsidR="00884024" w:rsidRPr="00F153F5" w:rsidRDefault="00884024" w:rsidP="0088402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E6075">
        <w:rPr>
          <w:rFonts w:ascii="Times New Roman" w:hAnsi="Times New Roman" w:cs="Times New Roman"/>
          <w:b/>
          <w:bCs/>
          <w:sz w:val="20"/>
          <w:szCs w:val="20"/>
        </w:rPr>
        <w:t>Correspond</w:t>
      </w:r>
      <w:r>
        <w:rPr>
          <w:rFonts w:ascii="Times New Roman" w:hAnsi="Times New Roman" w:cs="Times New Roman"/>
          <w:b/>
          <w:bCs/>
          <w:sz w:val="20"/>
          <w:szCs w:val="20"/>
        </w:rPr>
        <w:t>ing</w:t>
      </w:r>
      <w:r w:rsidRPr="000E607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153F5">
        <w:rPr>
          <w:rFonts w:ascii="Times New Roman" w:hAnsi="Times New Roman" w:cs="Times New Roman"/>
          <w:b/>
          <w:bCs/>
          <w:sz w:val="20"/>
          <w:szCs w:val="20"/>
        </w:rPr>
        <w:t>author</w:t>
      </w:r>
      <w:r w:rsidRPr="000E6075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0E6075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51465683"/>
    </w:p>
    <w:p w14:paraId="392D111D" w14:textId="77777777" w:rsidR="00884024" w:rsidRPr="00F153F5" w:rsidRDefault="00884024" w:rsidP="0088402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E6075">
        <w:rPr>
          <w:rFonts w:ascii="Times New Roman" w:hAnsi="Times New Roman" w:cs="Times New Roman"/>
          <w:sz w:val="20"/>
          <w:szCs w:val="20"/>
        </w:rPr>
        <w:t xml:space="preserve">Takaaki Endo, </w:t>
      </w:r>
    </w:p>
    <w:p w14:paraId="10F65C9B" w14:textId="77777777" w:rsidR="00884024" w:rsidRPr="000E6075" w:rsidRDefault="00884024" w:rsidP="0088402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E6075">
        <w:rPr>
          <w:rFonts w:ascii="Times New Roman" w:hAnsi="Times New Roman" w:cs="Times New Roman"/>
          <w:sz w:val="20"/>
          <w:szCs w:val="20"/>
        </w:rPr>
        <w:t>Novo Nordisk Pharma Ltd., Meiji Yasuda Seimei Building, 2-1-1, Marunouchi, Chiyoda-ku, Tokyo 100-0005, Japan</w:t>
      </w:r>
      <w:bookmarkEnd w:id="0"/>
    </w:p>
    <w:p w14:paraId="564B5C55" w14:textId="77777777" w:rsidR="00884024" w:rsidRPr="009B1AEB" w:rsidRDefault="00884024" w:rsidP="00884024">
      <w:pPr>
        <w:spacing w:line="480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9B1AEB">
        <w:rPr>
          <w:rFonts w:ascii="Times New Roman" w:hAnsi="Times New Roman" w:cs="Times New Roman"/>
          <w:sz w:val="20"/>
          <w:szCs w:val="20"/>
          <w:lang w:val="fr-FR"/>
        </w:rPr>
        <w:t xml:space="preserve">Email: </w:t>
      </w:r>
      <w:hyperlink r:id="rId4" w:history="1">
        <w:r w:rsidRPr="009B1AEB">
          <w:rPr>
            <w:rStyle w:val="Hyperlink"/>
            <w:rFonts w:ascii="Times New Roman" w:hAnsi="Times New Roman" w:cs="Times New Roman"/>
            <w:sz w:val="20"/>
            <w:szCs w:val="20"/>
            <w:lang w:val="fr-FR"/>
          </w:rPr>
          <w:t>tend@novonordisk.com</w:t>
        </w:r>
      </w:hyperlink>
    </w:p>
    <w:p w14:paraId="790227AB" w14:textId="2422014C" w:rsidR="00156D63" w:rsidRPr="009B1AEB" w:rsidRDefault="00884024" w:rsidP="00884024">
      <w:pPr>
        <w:widowControl/>
        <w:spacing w:after="160" w:line="259" w:lineRule="auto"/>
        <w:jc w:val="left"/>
        <w:rPr>
          <w:rFonts w:asciiTheme="majorBidi" w:hAnsiTheme="majorBidi" w:cstheme="majorBidi"/>
          <w:b/>
          <w:bCs/>
          <w:sz w:val="20"/>
          <w:szCs w:val="20"/>
          <w:lang w:val="fr-FR"/>
        </w:rPr>
      </w:pPr>
      <w:r w:rsidRPr="009B1AEB">
        <w:rPr>
          <w:rFonts w:ascii="Times New Roman" w:hAnsi="Times New Roman" w:cs="Times New Roman"/>
          <w:sz w:val="20"/>
          <w:szCs w:val="20"/>
          <w:lang w:val="fr-FR"/>
        </w:rPr>
        <w:t>Tel: +81-80-5479-3287</w:t>
      </w:r>
      <w:r w:rsidR="00156D63" w:rsidRPr="009B1AEB">
        <w:rPr>
          <w:rFonts w:asciiTheme="majorBidi" w:hAnsiTheme="majorBidi" w:cstheme="majorBidi"/>
          <w:b/>
          <w:bCs/>
          <w:sz w:val="20"/>
          <w:szCs w:val="20"/>
          <w:lang w:val="fr-FR"/>
        </w:rPr>
        <w:br w:type="page"/>
      </w:r>
    </w:p>
    <w:p w14:paraId="013B49AF" w14:textId="214A6157" w:rsidR="00AF38FB" w:rsidRPr="00AF38FB" w:rsidRDefault="00AF38FB" w:rsidP="00AF38FB">
      <w:pPr>
        <w:spacing w:line="480" w:lineRule="auto"/>
        <w:jc w:val="left"/>
        <w:rPr>
          <w:rFonts w:asciiTheme="majorBidi" w:hAnsiTheme="majorBidi" w:cstheme="majorBidi"/>
          <w:b/>
          <w:bCs/>
          <w:sz w:val="20"/>
          <w:szCs w:val="20"/>
        </w:rPr>
      </w:pPr>
      <w:r w:rsidRPr="00AF38FB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Table </w:t>
      </w:r>
      <w:r w:rsidR="00F05BDB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AF38FB">
        <w:rPr>
          <w:rFonts w:asciiTheme="majorBidi" w:hAnsiTheme="majorBidi" w:cstheme="majorBidi"/>
          <w:b/>
          <w:bCs/>
          <w:sz w:val="20"/>
          <w:szCs w:val="20"/>
        </w:rPr>
        <w:t>1 Definition of possible diseases causing adult growth hormone deficiency</w:t>
      </w:r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5387"/>
      </w:tblGrid>
      <w:tr w:rsidR="00AF38FB" w:rsidRPr="00AF38FB" w14:paraId="04217577" w14:textId="77777777" w:rsidTr="000E6075">
        <w:tc>
          <w:tcPr>
            <w:tcW w:w="1701" w:type="dxa"/>
            <w:tcBorders>
              <w:bottom w:val="single" w:sz="4" w:space="0" w:color="auto"/>
            </w:tcBorders>
          </w:tcPr>
          <w:p w14:paraId="5A868215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ICD-10 codes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53952B8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Disease code</w:t>
            </w:r>
            <w:r w:rsidRPr="00AF38F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3274226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Disease name</w:t>
            </w:r>
          </w:p>
        </w:tc>
      </w:tr>
      <w:tr w:rsidR="00AF38FB" w:rsidRPr="00AF38FB" w14:paraId="63E215B3" w14:textId="77777777" w:rsidTr="000E6075"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2A3F88D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3782F40B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2532015</w:t>
            </w:r>
          </w:p>
        </w:tc>
        <w:tc>
          <w:tcPr>
            <w:tcW w:w="5387" w:type="dxa"/>
            <w:tcBorders>
              <w:top w:val="single" w:sz="4" w:space="0" w:color="auto"/>
              <w:bottom w:val="nil"/>
            </w:tcBorders>
            <w:vAlign w:val="center"/>
          </w:tcPr>
          <w:p w14:paraId="35D91407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Panhypopituitarism</w:t>
            </w:r>
          </w:p>
        </w:tc>
      </w:tr>
      <w:tr w:rsidR="00AF38FB" w:rsidRPr="00AF38FB" w14:paraId="32E104BC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736766F7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0E603FF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8846213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7334279F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Multiple pituitary hormone deficiency</w:t>
            </w:r>
          </w:p>
        </w:tc>
      </w:tr>
      <w:tr w:rsidR="00AF38FB" w:rsidRPr="00AF38FB" w14:paraId="31605E81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7D7F7171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D2FF164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8831247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534C4E30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Hypopituitarism</w:t>
            </w:r>
          </w:p>
        </w:tc>
      </w:tr>
      <w:tr w:rsidR="00AF38FB" w:rsidRPr="00AF38FB" w14:paraId="36482A03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59165740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91E0AAA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8835937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208C027D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Isolated growth hormone deficiency</w:t>
            </w:r>
          </w:p>
        </w:tc>
      </w:tr>
      <w:tr w:rsidR="00AF38FB" w:rsidRPr="00AF38FB" w14:paraId="32FDA38F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09807C33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1297277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8836822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4E191313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Secondary hypopituitarism</w:t>
            </w:r>
          </w:p>
        </w:tc>
      </w:tr>
      <w:tr w:rsidR="00AF38FB" w:rsidRPr="00AF38FB" w14:paraId="15487A3B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47786EC1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23DB8BA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8842944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44E4B6E0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Growth hormone deficiency dwarfism</w:t>
            </w:r>
          </w:p>
        </w:tc>
      </w:tr>
      <w:tr w:rsidR="00AF38FB" w:rsidRPr="00AF38FB" w14:paraId="6C7933CC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1885EE85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1C29EC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8844069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04813920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Growth hormone hyposecretion</w:t>
            </w:r>
          </w:p>
        </w:tc>
      </w:tr>
      <w:tr w:rsidR="00AF38FB" w:rsidRPr="00AF38FB" w14:paraId="3587CFBB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00C51BA3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C1FFE1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8846161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41820F0A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Severe adult growth hormone deficiency</w:t>
            </w:r>
          </w:p>
        </w:tc>
      </w:tr>
      <w:tr w:rsidR="00AF38FB" w:rsidRPr="00AF38FB" w14:paraId="7D11AD22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36391A0B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7A8DB0F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8846171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33E897BB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Adult growth hormone deficiency</w:t>
            </w:r>
          </w:p>
        </w:tc>
      </w:tr>
      <w:tr w:rsidR="00AF38FB" w:rsidRPr="00AF38FB" w14:paraId="735A5756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2A2BE724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14F183B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8846213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02618C91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Compound pituitary hormone deficiency</w:t>
            </w:r>
          </w:p>
        </w:tc>
      </w:tr>
      <w:tr w:rsidR="00AF38FB" w:rsidRPr="00AF38FB" w14:paraId="5C8EE0C0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6BD57514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E230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6F97454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8849746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5AF0A24A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Acquired hypopituitarism</w:t>
            </w:r>
          </w:p>
        </w:tc>
      </w:tr>
      <w:tr w:rsidR="00AF38FB" w:rsidRPr="00AF38FB" w14:paraId="4CD2752A" w14:textId="77777777" w:rsidTr="000E6075">
        <w:tc>
          <w:tcPr>
            <w:tcW w:w="1701" w:type="dxa"/>
            <w:tcBorders>
              <w:top w:val="nil"/>
              <w:bottom w:val="nil"/>
            </w:tcBorders>
          </w:tcPr>
          <w:p w14:paraId="705106DB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E893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80E8FB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8835323</w:t>
            </w: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3F76D4E7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Postprocedural hypopituitarism</w:t>
            </w:r>
          </w:p>
        </w:tc>
      </w:tr>
      <w:tr w:rsidR="00AF38FB" w:rsidRPr="00AF38FB" w14:paraId="49EC5D9C" w14:textId="77777777" w:rsidTr="000E6075"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0E59E88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E893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43FF8BD1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8834748</w:t>
            </w: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  <w:vAlign w:val="center"/>
          </w:tcPr>
          <w:p w14:paraId="3DA3A48C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Post-irradiation hypopituitarism</w:t>
            </w:r>
          </w:p>
        </w:tc>
      </w:tr>
    </w:tbl>
    <w:p w14:paraId="0BCFFFD8" w14:textId="77777777" w:rsidR="00AF38FB" w:rsidRPr="00AF38FB" w:rsidRDefault="00AF38FB" w:rsidP="00AF38FB">
      <w:pPr>
        <w:spacing w:line="480" w:lineRule="auto"/>
        <w:jc w:val="left"/>
        <w:rPr>
          <w:rFonts w:asciiTheme="majorBidi" w:hAnsiTheme="majorBidi" w:cstheme="majorBidi"/>
          <w:i/>
          <w:iCs/>
          <w:sz w:val="20"/>
          <w:szCs w:val="20"/>
          <w:vertAlign w:val="superscript"/>
        </w:rPr>
      </w:pPr>
      <w:r w:rsidRPr="00AF38FB">
        <w:rPr>
          <w:rFonts w:asciiTheme="majorBidi" w:hAnsiTheme="majorBidi" w:cstheme="majorBidi"/>
          <w:sz w:val="20"/>
          <w:szCs w:val="20"/>
        </w:rPr>
        <w:t>ICD-10, International Classification of Diseases- Tenth Revision.</w:t>
      </w:r>
      <w:r w:rsidRPr="00AF38FB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 xml:space="preserve"> </w:t>
      </w:r>
    </w:p>
    <w:p w14:paraId="4596B099" w14:textId="77777777" w:rsidR="00AF38FB" w:rsidRPr="00AF38FB" w:rsidRDefault="00AF38FB" w:rsidP="00AF38FB">
      <w:pPr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AF38FB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a</w:t>
      </w:r>
      <w:r w:rsidRPr="00AF38FB">
        <w:rPr>
          <w:rFonts w:asciiTheme="majorBidi" w:hAnsiTheme="majorBidi" w:cstheme="majorBidi"/>
          <w:sz w:val="20"/>
          <w:szCs w:val="20"/>
        </w:rPr>
        <w:t>Local disease code used in Japanese claims database.</w:t>
      </w:r>
    </w:p>
    <w:p w14:paraId="4101C116" w14:textId="77777777" w:rsidR="00AF38FB" w:rsidRPr="00AF38FB" w:rsidRDefault="00AF38FB" w:rsidP="00AF38FB">
      <w:pPr>
        <w:widowControl/>
        <w:spacing w:line="480" w:lineRule="auto"/>
        <w:jc w:val="left"/>
        <w:rPr>
          <w:rFonts w:asciiTheme="majorBidi" w:hAnsiTheme="majorBidi" w:cstheme="majorBidi"/>
          <w:b/>
          <w:bCs/>
          <w:sz w:val="20"/>
          <w:szCs w:val="20"/>
        </w:rPr>
      </w:pPr>
      <w:r w:rsidRPr="00AF38FB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7B594B38" w14:textId="496420C7" w:rsidR="00AF38FB" w:rsidRPr="00AF38FB" w:rsidRDefault="00AF38FB" w:rsidP="00AF38FB">
      <w:pPr>
        <w:spacing w:line="480" w:lineRule="auto"/>
        <w:jc w:val="left"/>
        <w:rPr>
          <w:rFonts w:asciiTheme="majorBidi" w:hAnsiTheme="majorBidi" w:cstheme="majorBidi"/>
          <w:b/>
          <w:bCs/>
          <w:sz w:val="20"/>
          <w:szCs w:val="20"/>
        </w:rPr>
      </w:pPr>
      <w:r w:rsidRPr="00AF38FB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Table </w:t>
      </w:r>
      <w:r w:rsidR="00F05BDB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AF38FB">
        <w:rPr>
          <w:rFonts w:asciiTheme="majorBidi" w:hAnsiTheme="majorBidi" w:cstheme="majorBidi"/>
          <w:b/>
          <w:bCs/>
          <w:sz w:val="20"/>
          <w:szCs w:val="20"/>
        </w:rPr>
        <w:t>2 Definition of adult growth hormone deficiency-related complications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4"/>
        <w:gridCol w:w="2735"/>
        <w:gridCol w:w="3006"/>
      </w:tblGrid>
      <w:tr w:rsidR="00AF38FB" w:rsidRPr="00AF38FB" w14:paraId="3E229EB4" w14:textId="77777777" w:rsidTr="000E6075">
        <w:tc>
          <w:tcPr>
            <w:tcW w:w="32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A7A891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FA9B04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AF38FB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ICD-10 code (disease code</w:t>
            </w:r>
            <w:r w:rsidRPr="00AF38F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  <w:lang w:val="fr-FR"/>
              </w:rPr>
              <w:t>a</w:t>
            </w:r>
            <w:r w:rsidRPr="00AF38FB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)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19C835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Prescriptions (WHO-ATC)</w:t>
            </w:r>
          </w:p>
        </w:tc>
      </w:tr>
      <w:tr w:rsidR="00AF38FB" w:rsidRPr="00AF38FB" w14:paraId="21331525" w14:textId="77777777" w:rsidTr="000E6075">
        <w:tc>
          <w:tcPr>
            <w:tcW w:w="3214" w:type="dxa"/>
            <w:tcBorders>
              <w:top w:val="single" w:sz="4" w:space="0" w:color="auto"/>
            </w:tcBorders>
            <w:hideMark/>
          </w:tcPr>
          <w:p w14:paraId="512F2632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Cancers/Malignant neoplasms</w:t>
            </w:r>
          </w:p>
        </w:tc>
        <w:tc>
          <w:tcPr>
            <w:tcW w:w="2735" w:type="dxa"/>
            <w:tcBorders>
              <w:top w:val="single" w:sz="4" w:space="0" w:color="auto"/>
            </w:tcBorders>
            <w:hideMark/>
          </w:tcPr>
          <w:p w14:paraId="18D93EF5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C00-C97</w:t>
            </w:r>
          </w:p>
          <w:p w14:paraId="6150FAF8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D00-D09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hideMark/>
          </w:tcPr>
          <w:p w14:paraId="7AB8DE3F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F38FB" w:rsidRPr="00AF38FB" w14:paraId="36AADA16" w14:textId="77777777" w:rsidTr="000E6075">
        <w:tc>
          <w:tcPr>
            <w:tcW w:w="3214" w:type="dxa"/>
            <w:hideMark/>
          </w:tcPr>
          <w:p w14:paraId="3FBEE277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DM</w:t>
            </w:r>
          </w:p>
        </w:tc>
        <w:tc>
          <w:tcPr>
            <w:tcW w:w="2735" w:type="dxa"/>
            <w:hideMark/>
          </w:tcPr>
          <w:p w14:paraId="1902C7A6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E11</w:t>
            </w:r>
          </w:p>
        </w:tc>
        <w:tc>
          <w:tcPr>
            <w:tcW w:w="3006" w:type="dxa"/>
            <w:hideMark/>
          </w:tcPr>
          <w:p w14:paraId="1AB1EBAC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Antidiabetic agent (A10)</w:t>
            </w:r>
          </w:p>
        </w:tc>
      </w:tr>
      <w:tr w:rsidR="00AF38FB" w:rsidRPr="00AF38FB" w14:paraId="0C470812" w14:textId="77777777" w:rsidTr="000E6075">
        <w:tc>
          <w:tcPr>
            <w:tcW w:w="3214" w:type="dxa"/>
            <w:hideMark/>
          </w:tcPr>
          <w:p w14:paraId="537D4519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Glucose intolerance</w:t>
            </w:r>
          </w:p>
        </w:tc>
        <w:tc>
          <w:tcPr>
            <w:tcW w:w="2735" w:type="dxa"/>
            <w:hideMark/>
          </w:tcPr>
          <w:p w14:paraId="07D0B863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R73</w:t>
            </w:r>
          </w:p>
        </w:tc>
        <w:tc>
          <w:tcPr>
            <w:tcW w:w="3006" w:type="dxa"/>
            <w:hideMark/>
          </w:tcPr>
          <w:p w14:paraId="6D3E5B72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F38FB" w:rsidRPr="00AF38FB" w14:paraId="221CDE83" w14:textId="77777777" w:rsidTr="000E6075">
        <w:tc>
          <w:tcPr>
            <w:tcW w:w="3214" w:type="dxa"/>
            <w:hideMark/>
          </w:tcPr>
          <w:p w14:paraId="1C0D647F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Dyslipidemia</w:t>
            </w:r>
          </w:p>
        </w:tc>
        <w:tc>
          <w:tcPr>
            <w:tcW w:w="2735" w:type="dxa"/>
            <w:hideMark/>
          </w:tcPr>
          <w:p w14:paraId="48D51A54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E78</w:t>
            </w:r>
          </w:p>
        </w:tc>
        <w:tc>
          <w:tcPr>
            <w:tcW w:w="3006" w:type="dxa"/>
            <w:hideMark/>
          </w:tcPr>
          <w:p w14:paraId="325FD937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Antilipidemic agent (C10)</w:t>
            </w:r>
          </w:p>
        </w:tc>
      </w:tr>
      <w:tr w:rsidR="00AF38FB" w:rsidRPr="00AF38FB" w14:paraId="5E7974BD" w14:textId="77777777" w:rsidTr="000E6075">
        <w:tc>
          <w:tcPr>
            <w:tcW w:w="3214" w:type="dxa"/>
            <w:hideMark/>
          </w:tcPr>
          <w:p w14:paraId="4890FEA9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Fatty liver</w:t>
            </w:r>
          </w:p>
        </w:tc>
        <w:tc>
          <w:tcPr>
            <w:tcW w:w="2735" w:type="dxa"/>
            <w:hideMark/>
          </w:tcPr>
          <w:p w14:paraId="7D8686A3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K701</w:t>
            </w:r>
          </w:p>
        </w:tc>
        <w:tc>
          <w:tcPr>
            <w:tcW w:w="3006" w:type="dxa"/>
            <w:vMerge w:val="restart"/>
            <w:hideMark/>
          </w:tcPr>
          <w:p w14:paraId="2CE814FA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Bile acids (A05AA02)</w:t>
            </w:r>
          </w:p>
        </w:tc>
      </w:tr>
      <w:tr w:rsidR="00AF38FB" w:rsidRPr="00AF38FB" w14:paraId="0512A515" w14:textId="77777777" w:rsidTr="000E6075">
        <w:tc>
          <w:tcPr>
            <w:tcW w:w="3214" w:type="dxa"/>
            <w:hideMark/>
          </w:tcPr>
          <w:p w14:paraId="74806028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NASH/NAFLD</w:t>
            </w:r>
          </w:p>
        </w:tc>
        <w:tc>
          <w:tcPr>
            <w:tcW w:w="2735" w:type="dxa"/>
            <w:hideMark/>
          </w:tcPr>
          <w:p w14:paraId="7BF5D524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K758 (8843497)</w:t>
            </w:r>
          </w:p>
          <w:p w14:paraId="20FEB499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K760 (8850319)</w:t>
            </w:r>
          </w:p>
        </w:tc>
        <w:tc>
          <w:tcPr>
            <w:tcW w:w="0" w:type="auto"/>
            <w:vMerge/>
            <w:hideMark/>
          </w:tcPr>
          <w:p w14:paraId="6663286C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F38FB" w:rsidRPr="00AF38FB" w14:paraId="1A7C03BC" w14:textId="77777777" w:rsidTr="000E6075">
        <w:tc>
          <w:tcPr>
            <w:tcW w:w="3214" w:type="dxa"/>
            <w:hideMark/>
          </w:tcPr>
          <w:p w14:paraId="3753D50C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Liver cirrhosis</w:t>
            </w:r>
          </w:p>
        </w:tc>
        <w:tc>
          <w:tcPr>
            <w:tcW w:w="2735" w:type="dxa"/>
            <w:hideMark/>
          </w:tcPr>
          <w:p w14:paraId="2620EC9A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K703, K74</w:t>
            </w:r>
          </w:p>
        </w:tc>
        <w:tc>
          <w:tcPr>
            <w:tcW w:w="0" w:type="auto"/>
            <w:vMerge/>
            <w:hideMark/>
          </w:tcPr>
          <w:p w14:paraId="58218F1C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F38FB" w:rsidRPr="00AF38FB" w14:paraId="6E9EB564" w14:textId="77777777" w:rsidTr="000E6075">
        <w:tc>
          <w:tcPr>
            <w:tcW w:w="3214" w:type="dxa"/>
            <w:hideMark/>
          </w:tcPr>
          <w:p w14:paraId="22A7FF9E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Osteoporosis</w:t>
            </w:r>
          </w:p>
        </w:tc>
        <w:tc>
          <w:tcPr>
            <w:tcW w:w="2735" w:type="dxa"/>
            <w:hideMark/>
          </w:tcPr>
          <w:p w14:paraId="22060C58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M80-M82</w:t>
            </w:r>
          </w:p>
        </w:tc>
        <w:tc>
          <w:tcPr>
            <w:tcW w:w="3006" w:type="dxa"/>
            <w:hideMark/>
          </w:tcPr>
          <w:p w14:paraId="5D144B6E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Osteoporosis drugs (M05B)</w:t>
            </w:r>
          </w:p>
        </w:tc>
      </w:tr>
      <w:tr w:rsidR="00AF38FB" w:rsidRPr="00AF38FB" w14:paraId="275EA477" w14:textId="77777777" w:rsidTr="000E6075">
        <w:tc>
          <w:tcPr>
            <w:tcW w:w="3214" w:type="dxa"/>
            <w:hideMark/>
          </w:tcPr>
          <w:p w14:paraId="59A1B5E3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Fracture</w:t>
            </w:r>
          </w:p>
        </w:tc>
        <w:tc>
          <w:tcPr>
            <w:tcW w:w="2735" w:type="dxa"/>
            <w:hideMark/>
          </w:tcPr>
          <w:p w14:paraId="2BCBA959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SX2, T02, T08, T10, T12</w:t>
            </w:r>
          </w:p>
        </w:tc>
        <w:tc>
          <w:tcPr>
            <w:tcW w:w="3006" w:type="dxa"/>
            <w:hideMark/>
          </w:tcPr>
          <w:p w14:paraId="3F2C73AE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F38FB" w:rsidRPr="00AF38FB" w14:paraId="3C8A6B6E" w14:textId="77777777" w:rsidTr="000E6075">
        <w:tc>
          <w:tcPr>
            <w:tcW w:w="3214" w:type="dxa"/>
            <w:hideMark/>
          </w:tcPr>
          <w:p w14:paraId="74D8434B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Ischemic heart disease</w:t>
            </w:r>
          </w:p>
        </w:tc>
        <w:tc>
          <w:tcPr>
            <w:tcW w:w="2735" w:type="dxa"/>
            <w:hideMark/>
          </w:tcPr>
          <w:p w14:paraId="279A7AD3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I20-I25</w:t>
            </w:r>
          </w:p>
        </w:tc>
        <w:tc>
          <w:tcPr>
            <w:tcW w:w="3006" w:type="dxa"/>
            <w:vMerge w:val="restart"/>
            <w:hideMark/>
          </w:tcPr>
          <w:p w14:paraId="6C66BDC0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Antiplatelet agent (B01AC)</w:t>
            </w:r>
          </w:p>
        </w:tc>
      </w:tr>
      <w:tr w:rsidR="00AF38FB" w:rsidRPr="00AF38FB" w14:paraId="40F5858F" w14:textId="77777777" w:rsidTr="000E6075">
        <w:tc>
          <w:tcPr>
            <w:tcW w:w="3214" w:type="dxa"/>
            <w:hideMark/>
          </w:tcPr>
          <w:p w14:paraId="25483E65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Cerebrovascular disease</w:t>
            </w:r>
          </w:p>
        </w:tc>
        <w:tc>
          <w:tcPr>
            <w:tcW w:w="2735" w:type="dxa"/>
            <w:hideMark/>
          </w:tcPr>
          <w:p w14:paraId="5F8E5D97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I60-I69</w:t>
            </w:r>
          </w:p>
        </w:tc>
        <w:tc>
          <w:tcPr>
            <w:tcW w:w="0" w:type="auto"/>
            <w:vMerge/>
            <w:hideMark/>
          </w:tcPr>
          <w:p w14:paraId="73A94CD5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F38FB" w:rsidRPr="00AF38FB" w14:paraId="29B8D779" w14:textId="77777777" w:rsidTr="000E6075">
        <w:tc>
          <w:tcPr>
            <w:tcW w:w="3214" w:type="dxa"/>
            <w:tcBorders>
              <w:bottom w:val="single" w:sz="4" w:space="0" w:color="auto"/>
            </w:tcBorders>
            <w:hideMark/>
          </w:tcPr>
          <w:p w14:paraId="2611944B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Depression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hideMark/>
          </w:tcPr>
          <w:p w14:paraId="0B72D6D1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F32, F33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hideMark/>
          </w:tcPr>
          <w:p w14:paraId="4FA7D409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Psychotropic medications including antidepressant</w:t>
            </w:r>
          </w:p>
          <w:p w14:paraId="747E3B60" w14:textId="77777777" w:rsidR="00AF38FB" w:rsidRPr="00AF38FB" w:rsidRDefault="00AF38FB" w:rsidP="000E6075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F38FB">
              <w:rPr>
                <w:rFonts w:asciiTheme="majorBidi" w:hAnsiTheme="majorBidi" w:cstheme="majorBidi"/>
                <w:sz w:val="20"/>
                <w:szCs w:val="20"/>
              </w:rPr>
              <w:t>(N06A, N05B, N05C)</w:t>
            </w:r>
          </w:p>
        </w:tc>
      </w:tr>
    </w:tbl>
    <w:p w14:paraId="332F11B4" w14:textId="77777777" w:rsidR="00AF38FB" w:rsidRPr="00AF38FB" w:rsidRDefault="00AF38FB" w:rsidP="00AF38FB">
      <w:pPr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AF38FB">
        <w:rPr>
          <w:rFonts w:asciiTheme="majorBidi" w:hAnsiTheme="majorBidi" w:cstheme="majorBidi"/>
          <w:sz w:val="20"/>
          <w:szCs w:val="20"/>
        </w:rPr>
        <w:t>DM, diabetes mellitus; ICD-10, International Classification of Diseases-Tenth Revision; NASH, nonalcoholic steatohepatitis; NAFLD, nonalcoholic fatty liver disease; WHO-ATC, World Health Organization Anatomical Therapeutic Chemical code.</w:t>
      </w:r>
    </w:p>
    <w:p w14:paraId="2FC6EA94" w14:textId="77777777" w:rsidR="00AF38FB" w:rsidRDefault="00AF38FB" w:rsidP="00AF38FB">
      <w:pPr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AF38FB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a</w:t>
      </w:r>
      <w:r w:rsidRPr="00AF38FB">
        <w:rPr>
          <w:rFonts w:asciiTheme="majorBidi" w:hAnsiTheme="majorBidi" w:cstheme="majorBidi"/>
          <w:sz w:val="20"/>
          <w:szCs w:val="20"/>
        </w:rPr>
        <w:t>Local disease code used in Japanese claims database.</w:t>
      </w:r>
    </w:p>
    <w:p w14:paraId="494B8C56" w14:textId="77777777" w:rsidR="00476875" w:rsidRDefault="00476875">
      <w:pPr>
        <w:widowControl/>
        <w:spacing w:after="160" w:line="259" w:lineRule="auto"/>
        <w:jc w:val="left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4F32BBB" w14:textId="725392EF" w:rsidR="00476875" w:rsidRPr="00E37F16" w:rsidRDefault="00476875" w:rsidP="00476875">
      <w:pPr>
        <w:spacing w:line="480" w:lineRule="auto"/>
        <w:jc w:val="left"/>
        <w:rPr>
          <w:rFonts w:asciiTheme="majorBidi" w:hAnsiTheme="majorBidi" w:cstheme="majorBidi"/>
          <w:b/>
          <w:bCs/>
          <w:sz w:val="20"/>
          <w:szCs w:val="20"/>
        </w:rPr>
      </w:pPr>
      <w:r w:rsidRPr="00E37F16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E37F16">
        <w:rPr>
          <w:rFonts w:asciiTheme="majorBidi" w:hAnsiTheme="majorBidi" w:cstheme="majorBidi"/>
          <w:b/>
          <w:bCs/>
          <w:sz w:val="20"/>
          <w:szCs w:val="20"/>
        </w:rPr>
        <w:t>3 Number of patients with AGHD with and without related complications</w:t>
      </w:r>
    </w:p>
    <w:tbl>
      <w:tblPr>
        <w:tblStyle w:val="TableGrid"/>
        <w:tblW w:w="9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142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1559"/>
        <w:gridCol w:w="1701"/>
        <w:gridCol w:w="1681"/>
      </w:tblGrid>
      <w:tr w:rsidR="00476875" w:rsidRPr="00812248" w14:paraId="5DBF512F" w14:textId="77777777" w:rsidTr="00E37F16">
        <w:trPr>
          <w:trHeight w:val="364"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FE154A9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Complication</w:t>
            </w:r>
          </w:p>
          <w:p w14:paraId="0279CC49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59ECDC9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Without complication</w:t>
            </w:r>
            <w:r w:rsidRPr="00E37F1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perscript"/>
              </w:rPr>
              <w:t>a</w:t>
            </w: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95385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With complication</w:t>
            </w:r>
            <w:r w:rsidRPr="00E37F1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perscript"/>
              </w:rPr>
              <w:t>b</w:t>
            </w: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015C1FA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  <w:lang w:val="da-DK"/>
              </w:rPr>
              <w:t>Eligible for Kaplan-Meier analysis</w:t>
            </w:r>
            <w:r w:rsidRPr="00E37F1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perscript"/>
                <w:lang w:val="da-DK"/>
              </w:rPr>
              <w:t>c</w:t>
            </w: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  <w:lang w:val="da-DK"/>
              </w:rPr>
              <w:t>, n (%)</w:t>
            </w:r>
          </w:p>
        </w:tc>
      </w:tr>
      <w:tr w:rsidR="00476875" w:rsidRPr="00862B15" w14:paraId="04F6F038" w14:textId="77777777" w:rsidTr="00E37F16">
        <w:trPr>
          <w:trHeight w:val="146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F9A6F37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2A94AC0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A58350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 index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AB6C8E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Post index</w:t>
            </w:r>
          </w:p>
        </w:tc>
        <w:tc>
          <w:tcPr>
            <w:tcW w:w="1681" w:type="dxa"/>
            <w:vMerge/>
            <w:tcBorders>
              <w:bottom w:val="single" w:sz="4" w:space="0" w:color="auto"/>
            </w:tcBorders>
          </w:tcPr>
          <w:p w14:paraId="0E704AEC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476875" w:rsidRPr="00862B15" w14:paraId="755CA256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A3577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Dyslipidemia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1D4A5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6,051 (74.8)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7A38B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1126 (13.9)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9F107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915 (11.3)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051BE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6,966 (86.1)</w:t>
            </w:r>
          </w:p>
        </w:tc>
      </w:tr>
      <w:tr w:rsidR="00476875" w:rsidRPr="00862B15" w14:paraId="5CF2FF2D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CCC5E8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Glucose intolerance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D16179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7,028 (87.9)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95331B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897 (11.1)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D6459C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167 (2.1)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739515C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7,195 (88.9)</w:t>
            </w:r>
          </w:p>
        </w:tc>
      </w:tr>
      <w:tr w:rsidR="00476875" w:rsidRPr="00862B15" w14:paraId="66ACA5AA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34497F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DM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F47968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6,884 (85.1)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E276C1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739 (9.1)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F29A36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469 (5.8)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E12EA1F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7,353 (90.9)</w:t>
            </w:r>
          </w:p>
        </w:tc>
      </w:tr>
      <w:tr w:rsidR="00476875" w:rsidRPr="00862B15" w14:paraId="0E075212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5C5516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Fracture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38D6CD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7,502 (92.7)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955DF2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320 (4.0)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420733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270 (3.3)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D1AF3C9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7,772 (96.0)</w:t>
            </w:r>
          </w:p>
        </w:tc>
      </w:tr>
      <w:tr w:rsidR="00476875" w:rsidRPr="00862B15" w14:paraId="5135F013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E42D51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Osteoporosis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AB5FC8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7,528 (93.0)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864FF4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299 (3.7)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B60461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265 (3.3)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6D2D4AE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7,793 (96.3)</w:t>
            </w:r>
          </w:p>
        </w:tc>
      </w:tr>
      <w:tr w:rsidR="00476875" w:rsidRPr="00862B15" w14:paraId="33EBCA66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47F314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Cerebrovascular disease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450880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7,603 (94.0)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640638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299 (3.7)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4F6597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190 (2.3)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FF92421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7,793 (96.3)</w:t>
            </w:r>
          </w:p>
        </w:tc>
      </w:tr>
      <w:tr w:rsidR="00476875" w:rsidRPr="00862B15" w14:paraId="1EF9C7FB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C07EAC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Ischemic heart disease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C88199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7,640 (94.4)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20A0D3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296 (3.7)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C69B1D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156 (1.9)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93986EC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7,796 (96.3)</w:t>
            </w:r>
          </w:p>
        </w:tc>
      </w:tr>
      <w:tr w:rsidR="00476875" w:rsidRPr="00862B15" w14:paraId="43B50712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799D28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Depression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8EF17B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7,603 (94.0)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D2CF88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282 (3.5)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7051B2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204 (2.5)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2FB09D6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7,810 (96.5)</w:t>
            </w:r>
          </w:p>
        </w:tc>
      </w:tr>
      <w:tr w:rsidR="00476875" w:rsidRPr="00862B15" w14:paraId="1E7F013B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DD1D73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Liver cirrhosis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BF8B6F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8,017 (99.1)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55062E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43 (0.5)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DAD8EB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32 (0.4)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8C090C7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8,049 (99.5)</w:t>
            </w:r>
          </w:p>
        </w:tc>
      </w:tr>
      <w:tr w:rsidR="00476875" w:rsidRPr="00862B15" w14:paraId="1A4531F1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5EED3C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Fatty liver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BFBE23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8,032 (99.3)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EE060D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29 (0.4)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6B098D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31 (0.4)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65A1E32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8,063 (99.6)</w:t>
            </w:r>
          </w:p>
        </w:tc>
      </w:tr>
      <w:tr w:rsidR="00476875" w:rsidRPr="00862B15" w14:paraId="1CE129CD" w14:textId="77777777" w:rsidTr="00E37F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4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9B2DB" w14:textId="77777777" w:rsidR="00476875" w:rsidRPr="00E37F16" w:rsidRDefault="00476875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NASH/NAFLD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F6044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8,079 (99.1)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CC8FA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5 (0.1)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6E21C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8 (0.1)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D1AFC" w14:textId="77777777" w:rsidR="00476875" w:rsidRPr="00E37F16" w:rsidRDefault="00476875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8,087 (99.9)</w:t>
            </w:r>
          </w:p>
        </w:tc>
      </w:tr>
    </w:tbl>
    <w:p w14:paraId="050D5D04" w14:textId="77777777" w:rsidR="00476875" w:rsidRPr="00E37F16" w:rsidRDefault="00476875" w:rsidP="00476875">
      <w:pPr>
        <w:widowControl/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E37F16">
        <w:rPr>
          <w:rFonts w:asciiTheme="majorBidi" w:hAnsiTheme="majorBidi" w:cstheme="majorBidi"/>
          <w:sz w:val="20"/>
          <w:szCs w:val="20"/>
        </w:rPr>
        <w:t>AGHD, adult growth hormone deficiency; DM, diabetes mellitus; NASH, nonalcoholic steatohepatitis; NAFLD, nonalcoholic fatty liver disease.</w:t>
      </w:r>
    </w:p>
    <w:p w14:paraId="6CB61720" w14:textId="77777777" w:rsidR="00476875" w:rsidRPr="00E37F16" w:rsidRDefault="00476875" w:rsidP="00476875">
      <w:pPr>
        <w:widowControl/>
        <w:spacing w:line="480" w:lineRule="auto"/>
        <w:jc w:val="left"/>
        <w:rPr>
          <w:rFonts w:asciiTheme="majorBidi" w:hAnsiTheme="majorBidi" w:cstheme="majorBidi"/>
          <w:sz w:val="20"/>
          <w:szCs w:val="20"/>
          <w:lang w:val="en-IN"/>
        </w:rPr>
      </w:pPr>
      <w:r w:rsidRPr="00E37F16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E37F16">
        <w:rPr>
          <w:rFonts w:asciiTheme="majorBidi" w:hAnsiTheme="majorBidi" w:cstheme="majorBidi"/>
          <w:sz w:val="20"/>
          <w:szCs w:val="20"/>
        </w:rPr>
        <w:t>Without complication means the number of patients who did not have AGHD-related complications during the observational period.</w:t>
      </w:r>
    </w:p>
    <w:p w14:paraId="20A21B11" w14:textId="77777777" w:rsidR="00476875" w:rsidRPr="00E37F16" w:rsidRDefault="00476875" w:rsidP="00476875">
      <w:pPr>
        <w:widowControl/>
        <w:spacing w:line="480" w:lineRule="auto"/>
        <w:jc w:val="left"/>
        <w:rPr>
          <w:rFonts w:asciiTheme="majorBidi" w:hAnsiTheme="majorBidi" w:cstheme="majorBidi"/>
          <w:sz w:val="20"/>
          <w:szCs w:val="20"/>
          <w:lang w:val="en-IN"/>
        </w:rPr>
      </w:pPr>
      <w:r w:rsidRPr="00E37F16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E37F16">
        <w:rPr>
          <w:rFonts w:asciiTheme="majorBidi" w:hAnsiTheme="majorBidi" w:cstheme="majorBidi"/>
          <w:sz w:val="20"/>
          <w:szCs w:val="20"/>
        </w:rPr>
        <w:t>With complication means the number of patients who had AGHD-related complications during the observational period.</w:t>
      </w:r>
    </w:p>
    <w:p w14:paraId="05F51925" w14:textId="77777777" w:rsidR="00476875" w:rsidRDefault="00476875" w:rsidP="00476875">
      <w:pPr>
        <w:widowControl/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E37F16">
        <w:rPr>
          <w:rFonts w:asciiTheme="majorBidi" w:hAnsiTheme="majorBidi" w:cstheme="majorBidi"/>
          <w:sz w:val="20"/>
          <w:szCs w:val="20"/>
          <w:vertAlign w:val="superscript"/>
        </w:rPr>
        <w:t>c</w:t>
      </w:r>
      <w:r w:rsidRPr="00E37F16">
        <w:rPr>
          <w:rFonts w:asciiTheme="majorBidi" w:hAnsiTheme="majorBidi" w:cstheme="majorBidi"/>
          <w:sz w:val="20"/>
          <w:szCs w:val="20"/>
        </w:rPr>
        <w:t>Eligible to Kaplan-Meier indicates the number of patients targeted in the Kaplan-Meier curve (without complication + with complication post index).</w:t>
      </w:r>
    </w:p>
    <w:p w14:paraId="2280BC83" w14:textId="77777777" w:rsidR="009B029F" w:rsidRDefault="009B029F">
      <w:pPr>
        <w:widowControl/>
        <w:spacing w:after="160" w:line="259" w:lineRule="auto"/>
        <w:jc w:val="left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75AEF35" w14:textId="77777777" w:rsidR="005208BB" w:rsidRDefault="005208BB" w:rsidP="009B029F">
      <w:pPr>
        <w:spacing w:line="480" w:lineRule="auto"/>
        <w:jc w:val="left"/>
        <w:rPr>
          <w:rFonts w:asciiTheme="majorBidi" w:hAnsiTheme="majorBidi" w:cstheme="majorBidi"/>
          <w:b/>
          <w:bCs/>
          <w:sz w:val="20"/>
          <w:szCs w:val="20"/>
        </w:rPr>
        <w:sectPr w:rsidR="005208BB" w:rsidSect="008A0B6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1ADAFF" w14:textId="30172859" w:rsidR="009B029F" w:rsidRPr="00E37F16" w:rsidRDefault="009B029F" w:rsidP="009B029F">
      <w:pPr>
        <w:spacing w:line="480" w:lineRule="auto"/>
        <w:jc w:val="left"/>
        <w:rPr>
          <w:rFonts w:asciiTheme="majorBidi" w:hAnsiTheme="majorBidi" w:cstheme="majorBidi"/>
          <w:b/>
          <w:bCs/>
          <w:sz w:val="20"/>
          <w:szCs w:val="20"/>
        </w:rPr>
      </w:pPr>
      <w:r w:rsidRPr="00E37F16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Table </w:t>
      </w:r>
      <w:r w:rsidR="006A72C8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E37F16">
        <w:rPr>
          <w:rFonts w:asciiTheme="majorBidi" w:hAnsiTheme="majorBidi" w:cstheme="majorBidi"/>
          <w:b/>
          <w:bCs/>
          <w:sz w:val="20"/>
          <w:szCs w:val="20"/>
        </w:rPr>
        <w:t>4 Hazard ratio for each adult growth hormone deficiency-related complication</w:t>
      </w:r>
    </w:p>
    <w:tbl>
      <w:tblPr>
        <w:tblStyle w:val="TableGrid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142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2126"/>
        <w:gridCol w:w="2126"/>
        <w:gridCol w:w="2268"/>
        <w:gridCol w:w="1985"/>
      </w:tblGrid>
      <w:tr w:rsidR="009B029F" w:rsidRPr="00862B15" w14:paraId="1E370AC5" w14:textId="77777777" w:rsidTr="00E37F16">
        <w:trPr>
          <w:trHeight w:val="175"/>
        </w:trPr>
        <w:tc>
          <w:tcPr>
            <w:tcW w:w="3261" w:type="dxa"/>
            <w:tcBorders>
              <w:top w:val="single" w:sz="4" w:space="0" w:color="auto"/>
            </w:tcBorders>
            <w:hideMark/>
          </w:tcPr>
          <w:p w14:paraId="245059B5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8E2BE7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Hazard ratio [95% CI]</w:t>
            </w:r>
          </w:p>
        </w:tc>
      </w:tr>
      <w:tr w:rsidR="009B029F" w:rsidRPr="00862B15" w14:paraId="5DAED59F" w14:textId="77777777" w:rsidTr="00E37F16">
        <w:trPr>
          <w:trHeight w:val="190"/>
        </w:trPr>
        <w:tc>
          <w:tcPr>
            <w:tcW w:w="3261" w:type="dxa"/>
            <w:tcBorders>
              <w:bottom w:val="single" w:sz="4" w:space="0" w:color="auto"/>
            </w:tcBorders>
          </w:tcPr>
          <w:p w14:paraId="40A4F6D7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9E76B1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Sex</w:t>
            </w:r>
            <w:r w:rsidRPr="00E37F1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3C1CF2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2F560B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04AD93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Malignant neoplasm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83C87A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CCI</w:t>
            </w:r>
            <w:r w:rsidRPr="00E37F1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perscript"/>
              </w:rPr>
              <w:t>b</w:t>
            </w:r>
          </w:p>
        </w:tc>
      </w:tr>
      <w:tr w:rsidR="009B029F" w:rsidRPr="00862B15" w14:paraId="7ED41334" w14:textId="77777777" w:rsidTr="00E37F16">
        <w:tblPrEx>
          <w:tblCellMar>
            <w:right w:w="108" w:type="dxa"/>
          </w:tblCellMar>
        </w:tblPrEx>
        <w:trPr>
          <w:trHeight w:val="325"/>
        </w:trPr>
        <w:tc>
          <w:tcPr>
            <w:tcW w:w="3261" w:type="dxa"/>
            <w:hideMark/>
          </w:tcPr>
          <w:p w14:paraId="174624C8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DM</w:t>
            </w:r>
          </w:p>
        </w:tc>
        <w:tc>
          <w:tcPr>
            <w:tcW w:w="2126" w:type="dxa"/>
            <w:hideMark/>
          </w:tcPr>
          <w:p w14:paraId="78FDD555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0.88 [0.73–1.07]</w:t>
            </w:r>
          </w:p>
        </w:tc>
        <w:tc>
          <w:tcPr>
            <w:tcW w:w="2126" w:type="dxa"/>
            <w:hideMark/>
          </w:tcPr>
          <w:p w14:paraId="3CEE256D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1.02 [1.01–1.02]*</w:t>
            </w:r>
          </w:p>
        </w:tc>
        <w:tc>
          <w:tcPr>
            <w:tcW w:w="2126" w:type="dxa"/>
            <w:hideMark/>
          </w:tcPr>
          <w:p w14:paraId="171E90B4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14:paraId="0AA21585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1.00 [0.79–1.28]</w:t>
            </w:r>
          </w:p>
        </w:tc>
        <w:tc>
          <w:tcPr>
            <w:tcW w:w="1985" w:type="dxa"/>
            <w:hideMark/>
          </w:tcPr>
          <w:p w14:paraId="072057C7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4B8B1248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hideMark/>
          </w:tcPr>
          <w:p w14:paraId="28F1AEA6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Glucose intolerance</w:t>
            </w:r>
          </w:p>
        </w:tc>
        <w:tc>
          <w:tcPr>
            <w:tcW w:w="2126" w:type="dxa"/>
            <w:hideMark/>
          </w:tcPr>
          <w:p w14:paraId="5AC5DA6A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0.70 [0.51–0.96]*</w:t>
            </w:r>
          </w:p>
        </w:tc>
        <w:tc>
          <w:tcPr>
            <w:tcW w:w="2126" w:type="dxa"/>
            <w:hideMark/>
          </w:tcPr>
          <w:p w14:paraId="7358F29D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1.00 [0.99–1.01]</w:t>
            </w:r>
          </w:p>
        </w:tc>
        <w:tc>
          <w:tcPr>
            <w:tcW w:w="2126" w:type="dxa"/>
            <w:hideMark/>
          </w:tcPr>
          <w:p w14:paraId="366076A2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14:paraId="2DB3F999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0.98 [0.63–1.51]</w:t>
            </w:r>
          </w:p>
        </w:tc>
        <w:tc>
          <w:tcPr>
            <w:tcW w:w="1985" w:type="dxa"/>
            <w:hideMark/>
          </w:tcPr>
          <w:p w14:paraId="6C7B26C4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324838EE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hideMark/>
          </w:tcPr>
          <w:p w14:paraId="31492F58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Dyslipidemia</w:t>
            </w:r>
          </w:p>
        </w:tc>
        <w:tc>
          <w:tcPr>
            <w:tcW w:w="2126" w:type="dxa"/>
            <w:hideMark/>
          </w:tcPr>
          <w:p w14:paraId="5FAA1EFB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0.78 [0.68–0.89]*</w:t>
            </w:r>
          </w:p>
        </w:tc>
        <w:tc>
          <w:tcPr>
            <w:tcW w:w="2126" w:type="dxa"/>
            <w:hideMark/>
          </w:tcPr>
          <w:p w14:paraId="1C735F20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1.03 [1.02–1.03]*</w:t>
            </w:r>
          </w:p>
        </w:tc>
        <w:tc>
          <w:tcPr>
            <w:tcW w:w="2126" w:type="dxa"/>
            <w:hideMark/>
          </w:tcPr>
          <w:p w14:paraId="1114FD3C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1.55 [1.25–1.93]*</w:t>
            </w:r>
          </w:p>
        </w:tc>
        <w:tc>
          <w:tcPr>
            <w:tcW w:w="2268" w:type="dxa"/>
            <w:hideMark/>
          </w:tcPr>
          <w:p w14:paraId="6D439985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0.53 [0.43–0.65]*</w:t>
            </w:r>
          </w:p>
        </w:tc>
        <w:tc>
          <w:tcPr>
            <w:tcW w:w="1985" w:type="dxa"/>
            <w:hideMark/>
          </w:tcPr>
          <w:p w14:paraId="55658265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1EECA5FF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hideMark/>
          </w:tcPr>
          <w:p w14:paraId="17BCCCF1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Fatty liver</w:t>
            </w:r>
          </w:p>
        </w:tc>
        <w:tc>
          <w:tcPr>
            <w:tcW w:w="2126" w:type="dxa"/>
            <w:hideMark/>
          </w:tcPr>
          <w:p w14:paraId="410F0228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0.87 [0.42–1.81]</w:t>
            </w:r>
          </w:p>
        </w:tc>
        <w:tc>
          <w:tcPr>
            <w:tcW w:w="2126" w:type="dxa"/>
            <w:hideMark/>
          </w:tcPr>
          <w:p w14:paraId="77D292BE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1.00 [0.98–1.03]</w:t>
            </w:r>
          </w:p>
        </w:tc>
        <w:tc>
          <w:tcPr>
            <w:tcW w:w="2126" w:type="dxa"/>
            <w:hideMark/>
          </w:tcPr>
          <w:p w14:paraId="64547789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1.81 [0.68–4.81]</w:t>
            </w:r>
          </w:p>
        </w:tc>
        <w:tc>
          <w:tcPr>
            <w:tcW w:w="2268" w:type="dxa"/>
            <w:hideMark/>
          </w:tcPr>
          <w:p w14:paraId="177AADFF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1.80 [0.78–4.18]</w:t>
            </w:r>
          </w:p>
        </w:tc>
        <w:tc>
          <w:tcPr>
            <w:tcW w:w="1985" w:type="dxa"/>
            <w:hideMark/>
          </w:tcPr>
          <w:p w14:paraId="5871C057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637F9283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hideMark/>
          </w:tcPr>
          <w:p w14:paraId="77A8D9B0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NASH/NAFLD</w:t>
            </w:r>
          </w:p>
        </w:tc>
        <w:tc>
          <w:tcPr>
            <w:tcW w:w="2126" w:type="dxa"/>
            <w:hideMark/>
          </w:tcPr>
          <w:p w14:paraId="23B41BAB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6.42 [0.77–53.40]</w:t>
            </w:r>
          </w:p>
        </w:tc>
        <w:tc>
          <w:tcPr>
            <w:tcW w:w="2126" w:type="dxa"/>
            <w:hideMark/>
          </w:tcPr>
          <w:p w14:paraId="4F9623CC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1.03 [0.99–1.08]</w:t>
            </w:r>
          </w:p>
        </w:tc>
        <w:tc>
          <w:tcPr>
            <w:tcW w:w="2126" w:type="dxa"/>
            <w:hideMark/>
          </w:tcPr>
          <w:p w14:paraId="4DE8172F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1.48 [0.18–12.29]</w:t>
            </w:r>
          </w:p>
        </w:tc>
        <w:tc>
          <w:tcPr>
            <w:tcW w:w="2268" w:type="dxa"/>
            <w:hideMark/>
          </w:tcPr>
          <w:p w14:paraId="5BCE4A41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0.73 [0.09–6.08]</w:t>
            </w:r>
          </w:p>
        </w:tc>
        <w:tc>
          <w:tcPr>
            <w:tcW w:w="1985" w:type="dxa"/>
            <w:hideMark/>
          </w:tcPr>
          <w:p w14:paraId="140373D6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14D0B39E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hideMark/>
          </w:tcPr>
          <w:p w14:paraId="30248727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Liver cirrhosis</w:t>
            </w:r>
          </w:p>
        </w:tc>
        <w:tc>
          <w:tcPr>
            <w:tcW w:w="2126" w:type="dxa"/>
            <w:hideMark/>
          </w:tcPr>
          <w:p w14:paraId="0461BBAA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0.53 [0.26–1.11]</w:t>
            </w:r>
          </w:p>
        </w:tc>
        <w:tc>
          <w:tcPr>
            <w:tcW w:w="2126" w:type="dxa"/>
            <w:hideMark/>
          </w:tcPr>
          <w:p w14:paraId="346909BA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1.00 [0.98–1.02]</w:t>
            </w:r>
          </w:p>
        </w:tc>
        <w:tc>
          <w:tcPr>
            <w:tcW w:w="2126" w:type="dxa"/>
            <w:hideMark/>
          </w:tcPr>
          <w:p w14:paraId="3CA6FB6A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0.90 [0.27–2.99]</w:t>
            </w:r>
          </w:p>
        </w:tc>
        <w:tc>
          <w:tcPr>
            <w:tcW w:w="2268" w:type="dxa"/>
            <w:hideMark/>
          </w:tcPr>
          <w:p w14:paraId="6D07D8FD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1.97 [0.88–4.40]</w:t>
            </w:r>
          </w:p>
        </w:tc>
        <w:tc>
          <w:tcPr>
            <w:tcW w:w="1985" w:type="dxa"/>
            <w:hideMark/>
          </w:tcPr>
          <w:p w14:paraId="611C46B0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09011396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hideMark/>
          </w:tcPr>
          <w:p w14:paraId="25877A89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Osteoporosis</w:t>
            </w:r>
          </w:p>
        </w:tc>
        <w:tc>
          <w:tcPr>
            <w:tcW w:w="2126" w:type="dxa"/>
            <w:hideMark/>
          </w:tcPr>
          <w:p w14:paraId="59748DD8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1.31 [1.02–1.69]*</w:t>
            </w:r>
          </w:p>
        </w:tc>
        <w:tc>
          <w:tcPr>
            <w:tcW w:w="2126" w:type="dxa"/>
            <w:hideMark/>
          </w:tcPr>
          <w:p w14:paraId="67727A86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1.04 [1.03–1.05]*</w:t>
            </w:r>
          </w:p>
        </w:tc>
        <w:tc>
          <w:tcPr>
            <w:tcW w:w="2126" w:type="dxa"/>
            <w:hideMark/>
          </w:tcPr>
          <w:p w14:paraId="2DD34577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0.89 [0.59–1.34]</w:t>
            </w:r>
          </w:p>
        </w:tc>
        <w:tc>
          <w:tcPr>
            <w:tcW w:w="2268" w:type="dxa"/>
            <w:hideMark/>
          </w:tcPr>
          <w:p w14:paraId="1D1CB775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1.59 [1.20–2.10]*</w:t>
            </w:r>
          </w:p>
        </w:tc>
        <w:tc>
          <w:tcPr>
            <w:tcW w:w="1985" w:type="dxa"/>
            <w:hideMark/>
          </w:tcPr>
          <w:p w14:paraId="71B6B315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21E5731B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hideMark/>
          </w:tcPr>
          <w:p w14:paraId="095904C9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Fracture</w:t>
            </w:r>
          </w:p>
        </w:tc>
        <w:tc>
          <w:tcPr>
            <w:tcW w:w="2126" w:type="dxa"/>
            <w:hideMark/>
          </w:tcPr>
          <w:p w14:paraId="37195BB3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1.50 [1.18–1.93]*</w:t>
            </w:r>
          </w:p>
        </w:tc>
        <w:tc>
          <w:tcPr>
            <w:tcW w:w="2126" w:type="dxa"/>
            <w:hideMark/>
          </w:tcPr>
          <w:p w14:paraId="62DFC335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1.10 [1.05–1.07]*</w:t>
            </w:r>
          </w:p>
        </w:tc>
        <w:tc>
          <w:tcPr>
            <w:tcW w:w="2126" w:type="dxa"/>
            <w:hideMark/>
          </w:tcPr>
          <w:p w14:paraId="3D50B8A6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1.40 [0.98–1.94]</w:t>
            </w:r>
          </w:p>
        </w:tc>
        <w:tc>
          <w:tcPr>
            <w:tcW w:w="2268" w:type="dxa"/>
            <w:hideMark/>
          </w:tcPr>
          <w:p w14:paraId="5CC87D76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1.20 [0.92–1.66]</w:t>
            </w:r>
          </w:p>
        </w:tc>
        <w:tc>
          <w:tcPr>
            <w:tcW w:w="1985" w:type="dxa"/>
            <w:hideMark/>
          </w:tcPr>
          <w:p w14:paraId="12820ACF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10D30CE7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hideMark/>
          </w:tcPr>
          <w:p w14:paraId="7A7D865B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Ischemic heart disease</w:t>
            </w:r>
          </w:p>
        </w:tc>
        <w:tc>
          <w:tcPr>
            <w:tcW w:w="2126" w:type="dxa"/>
            <w:hideMark/>
          </w:tcPr>
          <w:p w14:paraId="3C985010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0.74 [0.54–1.03]</w:t>
            </w:r>
          </w:p>
        </w:tc>
        <w:tc>
          <w:tcPr>
            <w:tcW w:w="2126" w:type="dxa"/>
            <w:hideMark/>
          </w:tcPr>
          <w:p w14:paraId="3A444B28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1.04 [1.03–1.05]*</w:t>
            </w:r>
          </w:p>
        </w:tc>
        <w:tc>
          <w:tcPr>
            <w:tcW w:w="2126" w:type="dxa"/>
            <w:hideMark/>
          </w:tcPr>
          <w:p w14:paraId="69041319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2.39 [1.61–3.54]*</w:t>
            </w:r>
          </w:p>
        </w:tc>
        <w:tc>
          <w:tcPr>
            <w:tcW w:w="2268" w:type="dxa"/>
            <w:hideMark/>
          </w:tcPr>
          <w:p w14:paraId="5C5D908E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0.86 [0.56–1.30]</w:t>
            </w:r>
          </w:p>
        </w:tc>
        <w:tc>
          <w:tcPr>
            <w:tcW w:w="1985" w:type="dxa"/>
            <w:hideMark/>
          </w:tcPr>
          <w:p w14:paraId="0C7F75B3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60793C73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hideMark/>
          </w:tcPr>
          <w:p w14:paraId="0BA2A83A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Cerebrovascular disease</w:t>
            </w:r>
          </w:p>
        </w:tc>
        <w:tc>
          <w:tcPr>
            <w:tcW w:w="2126" w:type="dxa"/>
            <w:hideMark/>
          </w:tcPr>
          <w:p w14:paraId="7A1C7649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1.06 [0.79–1.41]</w:t>
            </w:r>
          </w:p>
        </w:tc>
        <w:tc>
          <w:tcPr>
            <w:tcW w:w="2126" w:type="dxa"/>
            <w:hideMark/>
          </w:tcPr>
          <w:p w14:paraId="30F2B7B8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1.06 [1.04–1.07]*</w:t>
            </w:r>
          </w:p>
        </w:tc>
        <w:tc>
          <w:tcPr>
            <w:tcW w:w="2126" w:type="dxa"/>
            <w:hideMark/>
          </w:tcPr>
          <w:p w14:paraId="6A7EE894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1.63 [1.11–2.41]*</w:t>
            </w:r>
          </w:p>
        </w:tc>
        <w:tc>
          <w:tcPr>
            <w:tcW w:w="2268" w:type="dxa"/>
            <w:hideMark/>
          </w:tcPr>
          <w:p w14:paraId="21AD74B2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0.79 [0.54–1.16]</w:t>
            </w:r>
          </w:p>
        </w:tc>
        <w:tc>
          <w:tcPr>
            <w:tcW w:w="1985" w:type="dxa"/>
            <w:hideMark/>
          </w:tcPr>
          <w:p w14:paraId="16629EF8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0337EAE5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hideMark/>
          </w:tcPr>
          <w:p w14:paraId="2610F600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Depression</w:t>
            </w:r>
          </w:p>
        </w:tc>
        <w:tc>
          <w:tcPr>
            <w:tcW w:w="2126" w:type="dxa"/>
            <w:hideMark/>
          </w:tcPr>
          <w:p w14:paraId="73BA18E4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1.19 [0.89–1.59]</w:t>
            </w:r>
          </w:p>
        </w:tc>
        <w:tc>
          <w:tcPr>
            <w:tcW w:w="2126" w:type="dxa"/>
            <w:hideMark/>
          </w:tcPr>
          <w:p w14:paraId="4559DA30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1.01 [1.00–1.02]*</w:t>
            </w:r>
          </w:p>
        </w:tc>
        <w:tc>
          <w:tcPr>
            <w:tcW w:w="2126" w:type="dxa"/>
            <w:hideMark/>
          </w:tcPr>
          <w:p w14:paraId="23144AEA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1.01 [0.63–1.61]</w:t>
            </w:r>
          </w:p>
        </w:tc>
        <w:tc>
          <w:tcPr>
            <w:tcW w:w="2268" w:type="dxa"/>
            <w:hideMark/>
          </w:tcPr>
          <w:p w14:paraId="5C8AC6ED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1.76 [1.27–2.43]*</w:t>
            </w:r>
          </w:p>
        </w:tc>
        <w:tc>
          <w:tcPr>
            <w:tcW w:w="1985" w:type="dxa"/>
            <w:hideMark/>
          </w:tcPr>
          <w:p w14:paraId="52FE5CB8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B029F" w:rsidRPr="00862B15" w14:paraId="58ECC93F" w14:textId="77777777" w:rsidTr="00E37F16">
        <w:tblPrEx>
          <w:tblCellMar>
            <w:right w:w="108" w:type="dxa"/>
          </w:tblCellMar>
        </w:tblPrEx>
        <w:trPr>
          <w:trHeight w:val="272"/>
        </w:trPr>
        <w:tc>
          <w:tcPr>
            <w:tcW w:w="3261" w:type="dxa"/>
            <w:tcBorders>
              <w:bottom w:val="single" w:sz="4" w:space="0" w:color="auto"/>
            </w:tcBorders>
            <w:hideMark/>
          </w:tcPr>
          <w:p w14:paraId="133B03D3" w14:textId="77777777" w:rsidR="009B029F" w:rsidRPr="00E37F16" w:rsidRDefault="009B029F" w:rsidP="00E37F16">
            <w:pPr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All-cause death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14:paraId="5A0E64B5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0.99 [0.83–1.19]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14:paraId="753A674A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1.04 [1.04–1.05]*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14:paraId="5C998588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1.40 [1.11–1.76]*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14:paraId="08A491CB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2.16 [1.65–2.82]*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2C79D4FD" w14:textId="77777777" w:rsidR="009B029F" w:rsidRPr="00E37F16" w:rsidRDefault="009B029F" w:rsidP="00E37F1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37F16">
              <w:rPr>
                <w:rFonts w:asciiTheme="majorBidi" w:hAnsiTheme="majorBidi" w:cstheme="majorBidi"/>
                <w:sz w:val="20"/>
                <w:szCs w:val="20"/>
              </w:rPr>
              <w:t>1.13 [1.09–1.17]*</w:t>
            </w:r>
          </w:p>
        </w:tc>
      </w:tr>
    </w:tbl>
    <w:p w14:paraId="0EF15FD7" w14:textId="77777777" w:rsidR="009B029F" w:rsidRPr="00E37F16" w:rsidRDefault="009B029F" w:rsidP="009B029F">
      <w:pPr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E37F16">
        <w:rPr>
          <w:rFonts w:asciiTheme="majorBidi" w:hAnsiTheme="majorBidi" w:cstheme="majorBidi"/>
          <w:sz w:val="20"/>
          <w:szCs w:val="20"/>
        </w:rPr>
        <w:t xml:space="preserve">*Significant at 5% level of significance. </w:t>
      </w:r>
      <w:r w:rsidRPr="00E37F16">
        <w:rPr>
          <w:rFonts w:asciiTheme="majorBidi" w:hAnsiTheme="majorBidi" w:cstheme="majorBidi"/>
          <w:sz w:val="20"/>
          <w:szCs w:val="20"/>
        </w:rPr>
        <w:br/>
        <w:t xml:space="preserve">CI, confidence interval; CCI, Charlson comorbidity index; DM, diabetes mellitus; NASH, nonalcoholic steatohepatitis; NAFLD, nonalcoholic fatty liver disease. </w:t>
      </w:r>
    </w:p>
    <w:p w14:paraId="5CF66870" w14:textId="77777777" w:rsidR="009B029F" w:rsidRPr="00E37F16" w:rsidRDefault="009B029F" w:rsidP="009B029F">
      <w:pPr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E37F16">
        <w:rPr>
          <w:rFonts w:asciiTheme="majorBidi" w:hAnsiTheme="majorBidi" w:cstheme="majorBidi"/>
          <w:sz w:val="20"/>
          <w:szCs w:val="20"/>
        </w:rPr>
        <w:t>Rows are independent variables, and columns are covariates of Cox regression.</w:t>
      </w:r>
    </w:p>
    <w:p w14:paraId="74116667" w14:textId="77777777" w:rsidR="009B029F" w:rsidRPr="00E37F16" w:rsidRDefault="009B029F" w:rsidP="009B029F">
      <w:pPr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E37F16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a</w:t>
      </w:r>
      <w:r w:rsidRPr="00E37F16">
        <w:rPr>
          <w:rFonts w:asciiTheme="majorBidi" w:hAnsiTheme="majorBidi" w:cstheme="majorBidi"/>
          <w:sz w:val="20"/>
          <w:szCs w:val="20"/>
        </w:rPr>
        <w:t>Hazard ratio in female patients relative to male patients.</w:t>
      </w:r>
    </w:p>
    <w:p w14:paraId="71D0D729" w14:textId="77777777" w:rsidR="00DC58BA" w:rsidRDefault="009B029F" w:rsidP="00DC58BA">
      <w:pPr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E37F16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b</w:t>
      </w:r>
      <w:r w:rsidRPr="00E37F16">
        <w:rPr>
          <w:rFonts w:asciiTheme="majorBidi" w:hAnsiTheme="majorBidi" w:cstheme="majorBidi"/>
          <w:sz w:val="20"/>
          <w:szCs w:val="20"/>
        </w:rPr>
        <w:t>CCI was included as a covariate only for all-cause death.</w:t>
      </w:r>
    </w:p>
    <w:p w14:paraId="6B20A388" w14:textId="067B0B8E" w:rsidR="00DC58BA" w:rsidRPr="00DC58BA" w:rsidRDefault="00DC58BA" w:rsidP="00DC58BA">
      <w:pPr>
        <w:widowControl/>
        <w:spacing w:after="160" w:line="259" w:lineRule="auto"/>
        <w:jc w:val="left"/>
        <w:rPr>
          <w:rFonts w:asciiTheme="majorBidi" w:hAnsiTheme="majorBidi" w:cstheme="majorBidi"/>
          <w:sz w:val="20"/>
          <w:szCs w:val="20"/>
        </w:rPr>
        <w:sectPr w:rsidR="00DC58BA" w:rsidRPr="00DC58BA" w:rsidSect="005208B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EA22142" w14:textId="73DB42DE" w:rsidR="006451D5" w:rsidRPr="00E37F16" w:rsidRDefault="006451D5" w:rsidP="00DC58BA">
      <w:pPr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E37F16">
        <w:rPr>
          <w:rFonts w:asciiTheme="majorBidi" w:eastAsia="MS Mincho" w:hAnsiTheme="majorBidi" w:cstheme="majorBidi"/>
          <w:b/>
          <w:bCs/>
          <w:color w:val="000000"/>
          <w:spacing w:val="1"/>
          <w:kern w:val="0"/>
          <w:sz w:val="20"/>
          <w:szCs w:val="20"/>
        </w:rPr>
        <w:lastRenderedPageBreak/>
        <w:t xml:space="preserve">Fig. </w:t>
      </w:r>
      <w:r>
        <w:rPr>
          <w:rFonts w:asciiTheme="majorBidi" w:hAnsiTheme="majorBidi" w:cstheme="majorBidi"/>
          <w:b/>
          <w:bCs/>
          <w:sz w:val="20"/>
          <w:szCs w:val="20"/>
        </w:rPr>
        <w:t>S1</w:t>
      </w:r>
      <w:r w:rsidRPr="00E37F16">
        <w:rPr>
          <w:rFonts w:asciiTheme="majorBidi" w:hAnsiTheme="majorBidi" w:cstheme="majorBidi"/>
          <w:sz w:val="20"/>
          <w:szCs w:val="20"/>
        </w:rPr>
        <w:t xml:space="preserve"> Patient flow</w:t>
      </w:r>
    </w:p>
    <w:p w14:paraId="1CE2B799" w14:textId="77777777" w:rsidR="006451D5" w:rsidRPr="00E37F16" w:rsidRDefault="006451D5" w:rsidP="006451D5">
      <w:pPr>
        <w:pStyle w:val="a"/>
        <w:widowControl/>
        <w:snapToGrid w:val="0"/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E37F16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E37F16">
        <w:rPr>
          <w:rFonts w:asciiTheme="majorBidi" w:hAnsiTheme="majorBidi" w:cstheme="majorBidi"/>
          <w:sz w:val="20"/>
          <w:szCs w:val="20"/>
        </w:rPr>
        <w:t>Pituitary hormones other than vasopressin includes ACTH, TSH, Gn, and GH.</w:t>
      </w:r>
    </w:p>
    <w:p w14:paraId="40AA1B29" w14:textId="3ED6A973" w:rsidR="006451D5" w:rsidRDefault="006451D5" w:rsidP="006451D5">
      <w:pPr>
        <w:pStyle w:val="a"/>
        <w:widowControl/>
        <w:snapToGrid w:val="0"/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 w:rsidRPr="00E37F16">
        <w:rPr>
          <w:rFonts w:asciiTheme="majorBidi" w:hAnsiTheme="majorBidi" w:cstheme="majorBidi"/>
          <w:sz w:val="20"/>
          <w:szCs w:val="20"/>
        </w:rPr>
        <w:t xml:space="preserve">ACTH, adrenocorticotropic hormone; AGHD, adult growth hormone deficiency; Gn, gonadotropin; </w:t>
      </w:r>
      <w:r w:rsidR="006F1720">
        <w:rPr>
          <w:rFonts w:asciiTheme="majorBidi" w:hAnsiTheme="majorBidi" w:cstheme="majorBidi"/>
          <w:sz w:val="20"/>
          <w:szCs w:val="20"/>
        </w:rPr>
        <w:t xml:space="preserve">GH, growth hormone; </w:t>
      </w:r>
      <w:r w:rsidRPr="00E37F16">
        <w:rPr>
          <w:rFonts w:asciiTheme="majorBidi" w:hAnsiTheme="majorBidi" w:cstheme="majorBidi"/>
          <w:sz w:val="20"/>
          <w:szCs w:val="20"/>
        </w:rPr>
        <w:t xml:space="preserve">GHD, growth hormone deficiency; GHRT, growth hormone replacement therapy; MDV, Medical </w:t>
      </w:r>
      <w:r w:rsidR="006F1720">
        <w:rPr>
          <w:rFonts w:asciiTheme="majorBidi" w:hAnsiTheme="majorBidi" w:cstheme="majorBidi"/>
          <w:sz w:val="20"/>
          <w:szCs w:val="20"/>
        </w:rPr>
        <w:t>D</w:t>
      </w:r>
      <w:r w:rsidRPr="00E37F16">
        <w:rPr>
          <w:rFonts w:asciiTheme="majorBidi" w:hAnsiTheme="majorBidi" w:cstheme="majorBidi"/>
          <w:sz w:val="20"/>
          <w:szCs w:val="20"/>
        </w:rPr>
        <w:t xml:space="preserve">ata </w:t>
      </w:r>
      <w:r w:rsidR="006F1720">
        <w:rPr>
          <w:rFonts w:asciiTheme="majorBidi" w:hAnsiTheme="majorBidi" w:cstheme="majorBidi"/>
          <w:sz w:val="20"/>
          <w:szCs w:val="20"/>
        </w:rPr>
        <w:t>V</w:t>
      </w:r>
      <w:r w:rsidRPr="00E37F16">
        <w:rPr>
          <w:rFonts w:asciiTheme="majorBidi" w:hAnsiTheme="majorBidi" w:cstheme="majorBidi"/>
          <w:sz w:val="20"/>
          <w:szCs w:val="20"/>
        </w:rPr>
        <w:t>ision; TSH, thyroid stimulating hormone.</w:t>
      </w:r>
    </w:p>
    <w:p w14:paraId="326406B6" w14:textId="62068B85" w:rsidR="00B132C0" w:rsidRPr="00E37F16" w:rsidRDefault="00B132C0" w:rsidP="006451D5">
      <w:pPr>
        <w:pStyle w:val="a"/>
        <w:widowControl/>
        <w:snapToGrid w:val="0"/>
        <w:spacing w:line="480" w:lineRule="auto"/>
        <w:jc w:val="left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2C822DBC" wp14:editId="59DE8E7C">
            <wp:extent cx="5304790" cy="2356485"/>
            <wp:effectExtent l="0" t="0" r="0" b="5715"/>
            <wp:docPr id="1036553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790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7946E" w14:textId="77777777" w:rsidR="00CD6046" w:rsidRPr="00AF38FB" w:rsidRDefault="00CD6046">
      <w:pPr>
        <w:rPr>
          <w:rFonts w:asciiTheme="majorBidi" w:hAnsiTheme="majorBidi" w:cstheme="majorBidi"/>
          <w:sz w:val="20"/>
          <w:szCs w:val="20"/>
        </w:rPr>
      </w:pPr>
    </w:p>
    <w:sectPr w:rsidR="00CD6046" w:rsidRPr="00AF38FB" w:rsidSect="00DC58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trackRevisions/>
  <w:defaultTabStop w:val="72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1E"/>
    <w:rsid w:val="000032BF"/>
    <w:rsid w:val="00047F46"/>
    <w:rsid w:val="000707CA"/>
    <w:rsid w:val="000748D1"/>
    <w:rsid w:val="000C63CF"/>
    <w:rsid w:val="000E0397"/>
    <w:rsid w:val="00156D63"/>
    <w:rsid w:val="002001E5"/>
    <w:rsid w:val="00262C79"/>
    <w:rsid w:val="002C7E9A"/>
    <w:rsid w:val="002E0376"/>
    <w:rsid w:val="002E55AB"/>
    <w:rsid w:val="00305E09"/>
    <w:rsid w:val="00392684"/>
    <w:rsid w:val="003A420E"/>
    <w:rsid w:val="003C2527"/>
    <w:rsid w:val="0041450F"/>
    <w:rsid w:val="00434D98"/>
    <w:rsid w:val="00476875"/>
    <w:rsid w:val="004D41DC"/>
    <w:rsid w:val="005208BB"/>
    <w:rsid w:val="00563927"/>
    <w:rsid w:val="006451D5"/>
    <w:rsid w:val="00653D1E"/>
    <w:rsid w:val="006A72C8"/>
    <w:rsid w:val="006F1720"/>
    <w:rsid w:val="00742FBA"/>
    <w:rsid w:val="00812248"/>
    <w:rsid w:val="00833CC7"/>
    <w:rsid w:val="00842E38"/>
    <w:rsid w:val="00880D42"/>
    <w:rsid w:val="00884024"/>
    <w:rsid w:val="008A0B68"/>
    <w:rsid w:val="00907D4B"/>
    <w:rsid w:val="009B029F"/>
    <w:rsid w:val="009B1AEB"/>
    <w:rsid w:val="00A23344"/>
    <w:rsid w:val="00A7157A"/>
    <w:rsid w:val="00A91EE6"/>
    <w:rsid w:val="00AB27AC"/>
    <w:rsid w:val="00AF38FB"/>
    <w:rsid w:val="00B132C0"/>
    <w:rsid w:val="00B82D4D"/>
    <w:rsid w:val="00BA03CE"/>
    <w:rsid w:val="00BB70CE"/>
    <w:rsid w:val="00C37537"/>
    <w:rsid w:val="00C50BA4"/>
    <w:rsid w:val="00C96C11"/>
    <w:rsid w:val="00CD6046"/>
    <w:rsid w:val="00CF19F6"/>
    <w:rsid w:val="00D10F3C"/>
    <w:rsid w:val="00D22175"/>
    <w:rsid w:val="00D85C43"/>
    <w:rsid w:val="00DA1285"/>
    <w:rsid w:val="00DC58BA"/>
    <w:rsid w:val="00DC628F"/>
    <w:rsid w:val="00DD3C8A"/>
    <w:rsid w:val="00E373C7"/>
    <w:rsid w:val="00EB4588"/>
    <w:rsid w:val="00F05BDB"/>
    <w:rsid w:val="00FA05A5"/>
    <w:rsid w:val="00FC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DA8AD1"/>
  <w15:chartTrackingRefBased/>
  <w15:docId w15:val="{2D68E29D-D34A-4A2C-9508-086CE142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Bidi" w:eastAsiaTheme="minorEastAsia" w:hAnsiTheme="majorBidi" w:cs="Times New Roman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8FB"/>
    <w:pPr>
      <w:widowControl w:val="0"/>
      <w:spacing w:after="0" w:line="240" w:lineRule="auto"/>
      <w:jc w:val="both"/>
    </w:pPr>
    <w:rPr>
      <w:rFonts w:asciiTheme="minorHAnsi" w:hAnsiTheme="minorHAnsi" w:cstheme="minorBidi"/>
      <w:kern w:val="2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D1E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D1E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D1E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D1E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D1E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0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D1E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D1E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0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D1E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D1E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0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D1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D1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D1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D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D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D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D1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D1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3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D1E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3D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D1E"/>
    <w:pPr>
      <w:widowControl/>
      <w:spacing w:before="160" w:after="160" w:line="259" w:lineRule="auto"/>
      <w:jc w:val="center"/>
    </w:pPr>
    <w:rPr>
      <w:rFonts w:asciiTheme="majorBidi" w:eastAsiaTheme="minorHAnsi" w:hAnsiTheme="majorBidi" w:cs="Times New Roman"/>
      <w:i/>
      <w:iCs/>
      <w:color w:val="404040" w:themeColor="text1" w:themeTint="BF"/>
      <w:kern w:val="0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3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D1E"/>
    <w:pPr>
      <w:widowControl/>
      <w:spacing w:after="160" w:line="259" w:lineRule="auto"/>
      <w:ind w:left="720"/>
      <w:contextualSpacing/>
      <w:jc w:val="left"/>
    </w:pPr>
    <w:rPr>
      <w:rFonts w:asciiTheme="majorBidi" w:eastAsiaTheme="minorHAnsi" w:hAnsiTheme="majorBidi" w:cs="Times New Roman"/>
      <w:kern w:val="0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3D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D1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ajorBidi" w:eastAsiaTheme="minorHAnsi" w:hAnsiTheme="majorBidi" w:cs="Times New Roman"/>
      <w:i/>
      <w:iCs/>
      <w:color w:val="0F4761" w:themeColor="accent1" w:themeShade="BF"/>
      <w:kern w:val="0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D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D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38FB"/>
    <w:pPr>
      <w:spacing w:after="0" w:line="240" w:lineRule="auto"/>
    </w:pPr>
    <w:rPr>
      <w:rFonts w:asciiTheme="minorHAnsi" w:hAnsiTheme="minorHAnsi" w:cstheme="minorBidi"/>
      <w:kern w:val="2"/>
      <w:sz w:val="21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link w:val="BodyTextChar"/>
    <w:uiPriority w:val="9"/>
    <w:qFormat/>
    <w:rsid w:val="00156D63"/>
    <w:pPr>
      <w:suppressAutoHyphens/>
      <w:spacing w:after="240" w:line="264" w:lineRule="auto"/>
    </w:pPr>
    <w:rPr>
      <w:rFonts w:ascii="Times New Roman" w:eastAsia="Times New Roman" w:hAnsi="Times New Roman"/>
      <w:sz w:val="24"/>
      <w:szCs w:val="24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"/>
    <w:rsid w:val="00156D63"/>
    <w:rPr>
      <w:rFonts w:ascii="Times New Roman" w:eastAsia="Times New Roman" w:hAnsi="Times New Roman"/>
      <w:sz w:val="24"/>
      <w:szCs w:val="24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84024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DA1285"/>
    <w:pPr>
      <w:spacing w:after="0" w:line="240" w:lineRule="auto"/>
    </w:pPr>
    <w:rPr>
      <w:rFonts w:asciiTheme="minorHAnsi" w:hAnsiTheme="minorHAnsi" w:cstheme="minorBidi"/>
      <w:kern w:val="2"/>
      <w:sz w:val="21"/>
      <w:lang w:eastAsia="ja-JP"/>
      <w14:ligatures w14:val="none"/>
    </w:rPr>
  </w:style>
  <w:style w:type="paragraph" w:customStyle="1" w:styleId="a">
    <w:name w:val="投稿規定など"/>
    <w:basedOn w:val="Normal"/>
    <w:rsid w:val="006451D5"/>
    <w:pPr>
      <w:autoSpaceDE w:val="0"/>
      <w:autoSpaceDN w:val="0"/>
      <w:adjustRightInd w:val="0"/>
      <w:spacing w:line="234" w:lineRule="atLeast"/>
      <w:textAlignment w:val="center"/>
    </w:pPr>
    <w:rPr>
      <w:rFonts w:ascii="Times New Roman" w:eastAsia="MS Mincho" w:hAnsi="Times New Roman" w:cs="Times New Roman"/>
      <w:color w:val="000000"/>
      <w:spacing w:val="1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6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3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3CF"/>
    <w:rPr>
      <w:rFonts w:asciiTheme="minorHAnsi" w:eastAsiaTheme="minorEastAsia" w:hAnsiTheme="minorHAnsi" w:cstheme="minorBidi"/>
      <w:kern w:val="2"/>
      <w:sz w:val="20"/>
      <w:szCs w:val="20"/>
      <w:lang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3CF"/>
    <w:rPr>
      <w:rFonts w:asciiTheme="minorHAnsi" w:eastAsiaTheme="minorEastAsia" w:hAnsiTheme="minorHAnsi" w:cstheme="minorBidi"/>
      <w:b/>
      <w:bCs/>
      <w:kern w:val="2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tend@novonordis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Medical Writer</cp:lastModifiedBy>
  <cp:revision>4</cp:revision>
  <dcterms:created xsi:type="dcterms:W3CDTF">2025-01-27T19:05:00Z</dcterms:created>
  <dcterms:modified xsi:type="dcterms:W3CDTF">2025-01-31T05:17:00Z</dcterms:modified>
</cp:coreProperties>
</file>