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2FA0" w14:textId="39562021" w:rsidR="00A51A7E" w:rsidRDefault="00D210DB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val="en-GB"/>
        </w:rPr>
        <w:t>Supplementary</w:t>
      </w:r>
      <w:r>
        <w:rPr>
          <w:rFonts w:cs="Times New Roman"/>
          <w:b/>
          <w:bCs/>
          <w:sz w:val="24"/>
          <w:szCs w:val="24"/>
        </w:rPr>
        <w:t xml:space="preserve"> figure legends</w:t>
      </w:r>
    </w:p>
    <w:p w14:paraId="33EE2FA1" w14:textId="4556EFB6" w:rsidR="00A51A7E" w:rsidRDefault="00D210DB">
      <w:pPr>
        <w:spacing w:line="480" w:lineRule="auto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/>
          <w:bCs/>
          <w:sz w:val="24"/>
          <w:szCs w:val="24"/>
          <w:lang w:val="en-GB"/>
        </w:rPr>
        <w:t>Supplemental Fig. 1</w:t>
      </w:r>
      <w:r>
        <w:rPr>
          <w:rFonts w:cs="Times New Roman"/>
          <w:bCs/>
          <w:sz w:val="24"/>
          <w:szCs w:val="24"/>
          <w:lang w:val="en-GB"/>
        </w:rPr>
        <w:t xml:space="preserve"> Saturation curves of </w:t>
      </w:r>
      <w:r>
        <w:rPr>
          <w:rFonts w:cs="Times New Roman"/>
          <w:bCs/>
          <w:i/>
          <w:iCs/>
          <w:sz w:val="24"/>
          <w:szCs w:val="24"/>
          <w:lang w:val="en-GB"/>
        </w:rPr>
        <w:t>Synechocystis</w:t>
      </w:r>
      <w:r>
        <w:rPr>
          <w:rFonts w:cs="Times New Roman"/>
          <w:bCs/>
          <w:sz w:val="24"/>
          <w:szCs w:val="24"/>
          <w:lang w:val="en-GB"/>
        </w:rPr>
        <w:t xml:space="preserve"> sp. PCC 6803 pyruvate kinase 2 (</w:t>
      </w:r>
      <w:r>
        <w:rPr>
          <w:rFonts w:cs="Times New Roman"/>
          <w:bCs/>
          <w:i/>
          <w:iCs/>
          <w:sz w:val="24"/>
          <w:szCs w:val="24"/>
          <w:lang w:val="en-GB"/>
        </w:rPr>
        <w:t>Sy</w:t>
      </w:r>
      <w:r>
        <w:rPr>
          <w:rFonts w:cs="Times New Roman"/>
          <w:bCs/>
          <w:sz w:val="24"/>
          <w:szCs w:val="24"/>
          <w:lang w:val="en-GB"/>
        </w:rPr>
        <w:t xml:space="preserve">Pyk2) for phosphoenolpyruvate (PEP) and adenosine diphosphate (ADP). (a) Saturation curves of </w:t>
      </w:r>
      <w:r>
        <w:rPr>
          <w:rFonts w:cs="Times New Roman"/>
          <w:bCs/>
          <w:i/>
          <w:iCs/>
          <w:sz w:val="24"/>
          <w:szCs w:val="24"/>
          <w:lang w:val="en-GB"/>
        </w:rPr>
        <w:t>Sy</w:t>
      </w:r>
      <w:r>
        <w:rPr>
          <w:rFonts w:cs="Times New Roman"/>
          <w:bCs/>
          <w:sz w:val="24"/>
          <w:szCs w:val="24"/>
          <w:lang w:val="en-GB"/>
        </w:rPr>
        <w:t xml:space="preserve">Pyk2 for PEP. These measurements were performed in optimum </w:t>
      </w:r>
      <w:r w:rsidR="00EB0042">
        <w:rPr>
          <w:rFonts w:cs="Times New Roman"/>
          <w:bCs/>
          <w:i/>
          <w:iCs/>
          <w:sz w:val="24"/>
          <w:szCs w:val="24"/>
          <w:lang w:val="en-GB"/>
        </w:rPr>
        <w:t>Synechocystis</w:t>
      </w:r>
      <w:r w:rsidR="00EB0042">
        <w:rPr>
          <w:rFonts w:cs="Times New Roman"/>
          <w:bCs/>
          <w:sz w:val="24"/>
          <w:szCs w:val="24"/>
          <w:lang w:val="en-GB"/>
        </w:rPr>
        <w:t xml:space="preserve"> </w:t>
      </w:r>
      <w:r w:rsidR="00ED3466">
        <w:rPr>
          <w:rFonts w:cs="Times New Roman"/>
          <w:szCs w:val="20"/>
        </w:rPr>
        <w:t>phosphoenolpyruvate carboxylase (PEPC)</w:t>
      </w:r>
      <w:r w:rsidR="00EB0042">
        <w:rPr>
          <w:rFonts w:cs="Times New Roman"/>
          <w:bCs/>
          <w:sz w:val="24"/>
          <w:szCs w:val="24"/>
          <w:lang w:val="en-GB"/>
        </w:rPr>
        <w:t xml:space="preserve"> </w:t>
      </w:r>
      <w:r>
        <w:rPr>
          <w:rFonts w:cs="Times New Roman"/>
          <w:bCs/>
          <w:sz w:val="24"/>
          <w:szCs w:val="24"/>
          <w:lang w:val="en-GB"/>
        </w:rPr>
        <w:t>conditions at 30°C and pH 7.</w:t>
      </w:r>
      <w:r w:rsidR="002F7291">
        <w:rPr>
          <w:rFonts w:cs="Times New Roman"/>
          <w:bCs/>
          <w:sz w:val="24"/>
          <w:szCs w:val="24"/>
          <w:lang w:val="en-GB"/>
        </w:rPr>
        <w:t>0</w:t>
      </w:r>
      <w:r>
        <w:rPr>
          <w:rFonts w:cs="Times New Roman"/>
          <w:bCs/>
          <w:sz w:val="24"/>
          <w:szCs w:val="24"/>
          <w:lang w:val="en-GB"/>
        </w:rPr>
        <w:t xml:space="preserve"> in Tris-HCl</w:t>
      </w:r>
      <w:r w:rsidR="002F7291">
        <w:rPr>
          <w:rFonts w:cs="Times New Roman"/>
          <w:bCs/>
          <w:sz w:val="24"/>
          <w:szCs w:val="24"/>
          <w:lang w:val="en-GB"/>
        </w:rPr>
        <w:t xml:space="preserve"> (Takeya et al. 2017)</w:t>
      </w:r>
      <w:r>
        <w:rPr>
          <w:rFonts w:cs="Times New Roman"/>
          <w:bCs/>
          <w:sz w:val="24"/>
          <w:szCs w:val="24"/>
          <w:lang w:val="en-GB"/>
        </w:rPr>
        <w:t>. The adenosine diphosphate (ADP) concentration was 2.0 mM. The concentrations of KCl and MgCl</w:t>
      </w:r>
      <w:r>
        <w:rPr>
          <w:rFonts w:cs="Times New Roman"/>
          <w:bCs/>
          <w:sz w:val="24"/>
          <w:szCs w:val="24"/>
          <w:vertAlign w:val="subscript"/>
          <w:lang w:val="en-GB"/>
        </w:rPr>
        <w:t>2</w:t>
      </w:r>
      <w:r>
        <w:rPr>
          <w:rFonts w:cs="Times New Roman"/>
          <w:bCs/>
          <w:sz w:val="24"/>
          <w:szCs w:val="24"/>
          <w:lang w:val="en-GB"/>
        </w:rPr>
        <w:t xml:space="preserve"> were 100 and 15 mM, respectively. Mean ± SD values were calculated from three independent experiments. (b) Saturation curves of </w:t>
      </w:r>
      <w:r>
        <w:rPr>
          <w:rFonts w:cs="Times New Roman"/>
          <w:bCs/>
          <w:i/>
          <w:iCs/>
          <w:sz w:val="24"/>
          <w:szCs w:val="24"/>
          <w:lang w:val="en-GB"/>
        </w:rPr>
        <w:t>Sy</w:t>
      </w:r>
      <w:r>
        <w:rPr>
          <w:rFonts w:cs="Times New Roman"/>
          <w:bCs/>
          <w:sz w:val="24"/>
          <w:szCs w:val="24"/>
          <w:lang w:val="en-GB"/>
        </w:rPr>
        <w:t xml:space="preserve">Pyk2 for ADP. These measurements were performed in </w:t>
      </w:r>
      <w:r w:rsidR="00012982">
        <w:rPr>
          <w:rFonts w:cs="Times New Roman"/>
          <w:bCs/>
          <w:sz w:val="24"/>
          <w:szCs w:val="24"/>
          <w:lang w:val="en-GB"/>
        </w:rPr>
        <w:t xml:space="preserve">optimum </w:t>
      </w:r>
      <w:r w:rsidR="00012982">
        <w:rPr>
          <w:rFonts w:cs="Times New Roman"/>
          <w:bCs/>
          <w:i/>
          <w:iCs/>
          <w:sz w:val="24"/>
          <w:szCs w:val="24"/>
          <w:lang w:val="en-GB"/>
        </w:rPr>
        <w:t>Synechocystis</w:t>
      </w:r>
      <w:r w:rsidR="00012982">
        <w:rPr>
          <w:rFonts w:cs="Times New Roman"/>
          <w:bCs/>
          <w:sz w:val="24"/>
          <w:szCs w:val="24"/>
          <w:lang w:val="en-GB"/>
        </w:rPr>
        <w:t xml:space="preserve"> PEPC</w:t>
      </w:r>
      <w:r>
        <w:rPr>
          <w:rFonts w:cs="Times New Roman"/>
          <w:bCs/>
          <w:sz w:val="24"/>
          <w:szCs w:val="24"/>
          <w:lang w:val="en-GB"/>
        </w:rPr>
        <w:t xml:space="preserve"> conditions at 30°C</w:t>
      </w:r>
      <w:r>
        <w:rPr>
          <w:rFonts w:cs="Times New Roman" w:hint="eastAsia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en-GB"/>
        </w:rPr>
        <w:t>and pH 7.</w:t>
      </w:r>
      <w:r w:rsidR="001162EA">
        <w:rPr>
          <w:rFonts w:cs="Times New Roman"/>
          <w:bCs/>
          <w:sz w:val="24"/>
          <w:szCs w:val="24"/>
          <w:lang w:val="en-GB"/>
        </w:rPr>
        <w:t>0</w:t>
      </w:r>
      <w:r>
        <w:rPr>
          <w:rFonts w:cs="Times New Roman"/>
          <w:bCs/>
          <w:sz w:val="24"/>
          <w:szCs w:val="24"/>
          <w:lang w:val="en-GB"/>
        </w:rPr>
        <w:t xml:space="preserve"> in Tris-HCl</w:t>
      </w:r>
      <w:r w:rsidR="00AC761C">
        <w:rPr>
          <w:rFonts w:cs="Times New Roman"/>
          <w:bCs/>
          <w:sz w:val="24"/>
          <w:szCs w:val="24"/>
          <w:lang w:val="en-GB"/>
        </w:rPr>
        <w:t xml:space="preserve"> (Takeya et al. 2017)</w:t>
      </w:r>
      <w:r>
        <w:rPr>
          <w:rFonts w:cs="Times New Roman"/>
          <w:bCs/>
          <w:sz w:val="24"/>
          <w:szCs w:val="24"/>
          <w:lang w:val="en-GB"/>
        </w:rPr>
        <w:t>. The PEP concentration was 5 mM. The concentrations of KCl and MgCl</w:t>
      </w:r>
      <w:r>
        <w:rPr>
          <w:rFonts w:cs="Times New Roman"/>
          <w:bCs/>
          <w:sz w:val="24"/>
          <w:szCs w:val="24"/>
          <w:vertAlign w:val="subscript"/>
          <w:lang w:val="en-GB"/>
        </w:rPr>
        <w:t>2</w:t>
      </w:r>
      <w:r>
        <w:rPr>
          <w:rFonts w:cs="Times New Roman"/>
          <w:bCs/>
          <w:sz w:val="24"/>
          <w:szCs w:val="24"/>
          <w:lang w:val="en-GB"/>
        </w:rPr>
        <w:t xml:space="preserve"> were 100 and 15 mM, respectively. Mean ± SD values were calculated from three independent experiments.</w:t>
      </w:r>
    </w:p>
    <w:p w14:paraId="33EE2FA2" w14:textId="77777777" w:rsidR="00A51A7E" w:rsidRDefault="00A51A7E">
      <w:pPr>
        <w:spacing w:line="480" w:lineRule="auto"/>
        <w:rPr>
          <w:rFonts w:cs="Times New Roman"/>
          <w:bCs/>
          <w:sz w:val="24"/>
          <w:szCs w:val="24"/>
          <w:lang w:val="en-GB"/>
        </w:rPr>
      </w:pPr>
    </w:p>
    <w:p w14:paraId="33EE2FA4" w14:textId="7BC9A39D" w:rsidR="00A51A7E" w:rsidRDefault="00D210DB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Supplemental Fig. 2</w:t>
      </w:r>
      <w:r>
        <w:rPr>
          <w:rFonts w:cs="Times New Roman"/>
          <w:sz w:val="24"/>
          <w:szCs w:val="24"/>
        </w:rPr>
        <w:t xml:space="preserve"> Adenosine triphosphate (ATP) inhibition of </w:t>
      </w:r>
      <w:r>
        <w:rPr>
          <w:rFonts w:cs="Times New Roman"/>
          <w:i/>
          <w:iCs/>
          <w:sz w:val="24"/>
          <w:szCs w:val="24"/>
        </w:rPr>
        <w:t>Sy</w:t>
      </w:r>
      <w:r>
        <w:rPr>
          <w:rFonts w:cs="Times New Roman"/>
          <w:sz w:val="24"/>
          <w:szCs w:val="24"/>
        </w:rPr>
        <w:t xml:space="preserve">Pyk2. The orange circle indicated inhibited </w:t>
      </w:r>
      <w:r>
        <w:rPr>
          <w:rFonts w:cs="Times New Roman"/>
          <w:i/>
          <w:iCs/>
          <w:sz w:val="24"/>
          <w:szCs w:val="24"/>
        </w:rPr>
        <w:t>Sy</w:t>
      </w:r>
      <w:r>
        <w:rPr>
          <w:rFonts w:cs="Times New Roman"/>
          <w:sz w:val="24"/>
          <w:szCs w:val="24"/>
        </w:rPr>
        <w:t>Pyk2 activity. This experiment measured intracellular conditions at 30</w:t>
      </w:r>
      <w:r>
        <w:rPr>
          <w:rFonts w:cs="Times New Roman"/>
          <w:bCs/>
          <w:sz w:val="24"/>
          <w:szCs w:val="24"/>
          <w:lang w:val="en-GB"/>
        </w:rPr>
        <w:t>°C</w:t>
      </w:r>
      <w:r>
        <w:rPr>
          <w:rFonts w:cs="Times New Roman"/>
          <w:sz w:val="24"/>
          <w:szCs w:val="24"/>
        </w:rPr>
        <w:t xml:space="preserve"> and pH 7.8 in Tris-HCl buffer. The concentration of phosphoenolpyruvate (PEP) and adenosine diphosphate (ADP) was 5 and 2 mM. The concentrations of KCl and MgCl</w:t>
      </w:r>
      <w:r>
        <w:rPr>
          <w:rFonts w:cs="Times New Roman"/>
          <w:sz w:val="24"/>
          <w:szCs w:val="24"/>
          <w:vertAlign w:val="subscript"/>
        </w:rPr>
        <w:t>2</w:t>
      </w:r>
      <w:r>
        <w:rPr>
          <w:rFonts w:cs="Times New Roman"/>
          <w:sz w:val="24"/>
          <w:szCs w:val="24"/>
        </w:rPr>
        <w:t xml:space="preserve"> were 100 and 15 mM, respectively. </w:t>
      </w:r>
      <w:r>
        <w:rPr>
          <w:rFonts w:cs="Times New Roman"/>
          <w:bCs/>
          <w:sz w:val="24"/>
          <w:szCs w:val="24"/>
          <w:lang w:val="en-GB"/>
        </w:rPr>
        <w:t>Mean ± SD values were calculated from three independent experiments.</w:t>
      </w:r>
      <w:r>
        <w:rPr>
          <w:rFonts w:cs="Times New Roman"/>
          <w:sz w:val="24"/>
          <w:szCs w:val="24"/>
          <w:lang w:val="en-GB"/>
        </w:rPr>
        <w:t xml:space="preserve"> </w:t>
      </w:r>
      <w:r>
        <w:rPr>
          <w:rFonts w:cs="Times New Roman"/>
          <w:sz w:val="24"/>
          <w:szCs w:val="24"/>
        </w:rPr>
        <w:t>Half-maximal (50%) inhibitory concentration (IC</w:t>
      </w:r>
      <w:r>
        <w:rPr>
          <w:rFonts w:cs="Times New Roman"/>
          <w:sz w:val="24"/>
          <w:szCs w:val="24"/>
          <w:vertAlign w:val="subscript"/>
        </w:rPr>
        <w:t>50</w:t>
      </w:r>
      <w:r>
        <w:rPr>
          <w:rFonts w:cs="Times New Roman"/>
          <w:sz w:val="24"/>
          <w:szCs w:val="24"/>
        </w:rPr>
        <w:t>) was 4</w:t>
      </w:r>
      <w:r w:rsidR="00A41C2B">
        <w:rPr>
          <w:rFonts w:cs="Times New Roman"/>
          <w:sz w:val="24"/>
          <w:szCs w:val="24"/>
        </w:rPr>
        <w:t>.</w:t>
      </w:r>
      <w:r w:rsidR="00751594" w:rsidRPr="00751594">
        <w:rPr>
          <w:rFonts w:cs="Times New Roman"/>
          <w:color w:val="FF0000"/>
          <w:sz w:val="24"/>
          <w:szCs w:val="24"/>
        </w:rPr>
        <w:t>1</w:t>
      </w:r>
      <w:r>
        <w:rPr>
          <w:rFonts w:cs="Times New Roman"/>
          <w:sz w:val="24"/>
          <w:szCs w:val="24"/>
        </w:rPr>
        <w:t xml:space="preserve"> mM of ATP. </w:t>
      </w:r>
    </w:p>
    <w:sectPr w:rsidR="00A51A7E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99C71" w14:textId="77777777" w:rsidR="0055331E" w:rsidRDefault="0055331E" w:rsidP="0055331E">
      <w:r>
        <w:separator/>
      </w:r>
    </w:p>
  </w:endnote>
  <w:endnote w:type="continuationSeparator" w:id="0">
    <w:p w14:paraId="45059701" w14:textId="77777777" w:rsidR="0055331E" w:rsidRDefault="0055331E" w:rsidP="0055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67C2B" w14:textId="77777777" w:rsidR="0055331E" w:rsidRDefault="0055331E" w:rsidP="0055331E">
      <w:r>
        <w:separator/>
      </w:r>
    </w:p>
  </w:footnote>
  <w:footnote w:type="continuationSeparator" w:id="0">
    <w:p w14:paraId="7025BA3B" w14:textId="77777777" w:rsidR="0055331E" w:rsidRDefault="0055331E" w:rsidP="00553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A7E"/>
    <w:rsid w:val="00012982"/>
    <w:rsid w:val="001162EA"/>
    <w:rsid w:val="002F7291"/>
    <w:rsid w:val="003937BF"/>
    <w:rsid w:val="0055331E"/>
    <w:rsid w:val="005A0480"/>
    <w:rsid w:val="00625B16"/>
    <w:rsid w:val="00751594"/>
    <w:rsid w:val="008A24E6"/>
    <w:rsid w:val="008A4200"/>
    <w:rsid w:val="00A41C2B"/>
    <w:rsid w:val="00A51A7E"/>
    <w:rsid w:val="00AC761C"/>
    <w:rsid w:val="00C242FE"/>
    <w:rsid w:val="00C51B0E"/>
    <w:rsid w:val="00D210DB"/>
    <w:rsid w:val="00EB0042"/>
    <w:rsid w:val="00ED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3EE2FA0"/>
  <w15:docId w15:val="{33F026C8-AB08-49C5-B304-34ED02E2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Pr>
      <w:rFonts w:ascii="Times New Roman" w:hAnsi="Times New Roman"/>
      <w:sz w:val="20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Pr>
      <w:szCs w:val="20"/>
    </w:rPr>
  </w:style>
  <w:style w:type="character" w:customStyle="1" w:styleId="a6">
    <w:name w:val="コメント文字列 (文字)"/>
    <w:basedOn w:val="a0"/>
    <w:link w:val="a5"/>
    <w:uiPriority w:val="99"/>
    <w:rPr>
      <w:rFonts w:ascii="Times New Roman" w:hAnsi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533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5331E"/>
    <w:rPr>
      <w:rFonts w:ascii="Times New Roman" w:hAnsi="Times New Roman"/>
      <w:sz w:val="20"/>
    </w:rPr>
  </w:style>
  <w:style w:type="paragraph" w:styleId="ad">
    <w:name w:val="footer"/>
    <w:basedOn w:val="a"/>
    <w:link w:val="ae"/>
    <w:uiPriority w:val="99"/>
    <w:unhideWhenUsed/>
    <w:rsid w:val="005533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5331E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E4A98-895B-4B15-B80F-D8CB78569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苅込 将宏</dc:creator>
  <cp:lastModifiedBy>将宏 苅込</cp:lastModifiedBy>
  <cp:revision>2</cp:revision>
  <dcterms:created xsi:type="dcterms:W3CDTF">2023-11-28T11:45:00Z</dcterms:created>
  <dcterms:modified xsi:type="dcterms:W3CDTF">2023-11-28T11:45:00Z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868911065ccd4609b16c23d701d56675</vt:lpwstr>
  </property>
</Properties>
</file>