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/>
          <w:bCs/>
          <w:lang w:val="en-GB"/>
        </w:rPr>
      </w:pPr>
      <w:bookmarkStart w:id="0" w:name="_Hlk95933288"/>
      <w:r>
        <w:rPr>
          <w:b/>
          <w:bCs/>
          <w:lang w:val="en-GB"/>
        </w:rPr>
        <w:t>Supplementary information</w:t>
      </w:r>
    </w:p>
    <w:p>
      <w:pPr>
        <w:pStyle w:val="Normal"/>
        <w:rPr>
          <w:lang w:val="en-GB"/>
        </w:rPr>
      </w:pPr>
      <w:r>
        <w:rPr>
          <w:lang w:val="en-GB"/>
        </w:rPr>
        <w:t>Tree-size heterogeneity modulates the forest age-dependent carbon density in biomass and top soil stocks on Mediterranean woodlands</w:t>
      </w:r>
    </w:p>
    <w:p>
      <w:pPr>
        <w:pStyle w:val="Normal"/>
        <w:rPr>
          <w:i/>
          <w:i/>
          <w:iCs/>
          <w:lang w:val="en-GB"/>
        </w:rPr>
      </w:pPr>
      <w:r>
        <w:rPr>
          <w:i/>
          <w:iCs/>
          <w:lang w:val="en-GB"/>
        </w:rPr>
        <w:t>Plant &amp; Soil</w:t>
      </w:r>
    </w:p>
    <w:p>
      <w:pPr>
        <w:pStyle w:val="Normal"/>
        <w:rPr>
          <w:rFonts w:cs="Cambria" w:cstheme="minorHAnsi"/>
          <w:lang w:val="es-ES"/>
        </w:rPr>
      </w:pPr>
      <w:r>
        <w:rPr>
          <w:lang w:val="es-ES"/>
        </w:rPr>
        <w:t xml:space="preserve">Hernández-Alonso H, </w:t>
      </w:r>
      <w:r>
        <w:rPr>
          <w:rFonts w:cs="Cambria" w:cstheme="minorHAnsi"/>
          <w:lang w:val="es-ES"/>
        </w:rPr>
        <w:t>Madrigal-González J, Tornos-Estupiña L</w:t>
      </w:r>
      <w:r>
        <w:rPr>
          <w:rFonts w:cs="Cambria" w:cstheme="minorHAnsi"/>
          <w:vertAlign w:val="subscript"/>
          <w:lang w:val="es-ES"/>
        </w:rPr>
        <w:t>,</w:t>
      </w:r>
      <w:r>
        <w:rPr>
          <w:rFonts w:cs="Cambria" w:cstheme="minorHAnsi"/>
          <w:lang w:val="es-ES"/>
        </w:rPr>
        <w:t xml:space="preserve"> Santiago-Rodríguez A, Alonso-Rojo MP, Morera-Beita A, Silla F</w:t>
      </w:r>
    </w:p>
    <w:p>
      <w:pPr>
        <w:pStyle w:val="Normal"/>
        <w:rPr>
          <w:rFonts w:cs="Cambria" w:cstheme="minorHAnsi"/>
          <w:lang w:val="es-ES"/>
        </w:rPr>
      </w:pPr>
      <w:r>
        <w:rPr>
          <w:rFonts w:cs="Cambria" w:cstheme="minorHAnsi"/>
          <w:lang w:val="es-ES"/>
        </w:rPr>
        <w:t>Corresponding author: Héctor Hernández Alonso (</w:t>
      </w:r>
      <w:r>
        <w:rPr>
          <w:lang w:val="en-GB"/>
        </w:rPr>
        <w:t>University of Salamanca, University of Valladolid, COCEDER</w:t>
      </w:r>
      <w:r>
        <w:rPr>
          <w:rFonts w:cs="Cambria" w:cstheme="minorHAnsi"/>
          <w:lang w:val="es-ES"/>
        </w:rPr>
        <w:t>) (h.alonso.hector@gmail.com)</w:t>
      </w:r>
    </w:p>
    <w:p>
      <w:pPr>
        <w:pStyle w:val="FirstParagraph"/>
        <w:rPr>
          <w:b/>
          <w:b/>
          <w:bCs/>
        </w:rPr>
      </w:pPr>
      <w:bookmarkStart w:id="1" w:name="_Hlk95933288"/>
      <w:r>
        <w:rPr>
          <w:b/>
          <w:bCs/>
        </w:rPr>
        <w:t>Appendix S1: Additional information</w:t>
      </w:r>
      <w:bookmarkEnd w:id="1"/>
    </w:p>
    <w:p>
      <w:pPr>
        <w:pStyle w:val="Normal"/>
        <w:jc w:val="both"/>
        <w:rPr>
          <w:lang w:val="en-GB"/>
        </w:rPr>
      </w:pPr>
      <w:r>
        <w:rPr>
          <w:lang w:val="en-GB"/>
        </w:rPr>
        <w:t xml:space="preserve">Table S1. Summary of sampled plots attending to physic and forestry characteristics. </w:t>
      </w:r>
    </w:p>
    <w:tbl>
      <w:tblPr>
        <w:tblStyle w:val="Tablaconcuadrcula"/>
        <w:tblW w:w="887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6"/>
        <w:gridCol w:w="706"/>
        <w:gridCol w:w="2057"/>
        <w:gridCol w:w="862"/>
        <w:gridCol w:w="1412"/>
        <w:gridCol w:w="1636"/>
        <w:gridCol w:w="1356"/>
      </w:tblGrid>
      <w:tr>
        <w:trPr>
          <w:trHeight w:val="227" w:hRule="atLeast"/>
        </w:trPr>
        <w:tc>
          <w:tcPr>
            <w:tcW w:w="846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 w:eastAsia="es-ES_tradnl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>Plot code</w:t>
            </w:r>
          </w:p>
        </w:tc>
        <w:tc>
          <w:tcPr>
            <w:tcW w:w="706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 w:eastAsia="es-ES_tradnl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>Cluster</w:t>
            </w:r>
          </w:p>
        </w:tc>
        <w:tc>
          <w:tcPr>
            <w:tcW w:w="2057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 w:eastAsia="es-ES_tradnl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>Geographic coordinates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 w:eastAsia="es-ES_tradnl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>(Grades, minutes, seconds)</w:t>
            </w:r>
          </w:p>
        </w:tc>
        <w:tc>
          <w:tcPr>
            <w:tcW w:w="862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 w:eastAsia="es-ES_tradnl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>Elevation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 w:eastAsia="es-ES_tradnl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>(m a.s.l.)</w:t>
            </w:r>
          </w:p>
        </w:tc>
        <w:tc>
          <w:tcPr>
            <w:tcW w:w="1412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 w:eastAsia="es-ES_tradnl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>Plot Tree Density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 w:eastAsia="es-ES_tradnl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>(living trees Ha</w:t>
            </w:r>
            <w:r>
              <w:rPr>
                <w:rFonts w:eastAsia="Cambria" w:cs="Cambria" w:cstheme="minorHAnsi"/>
                <w:kern w:val="0"/>
                <w:sz w:val="16"/>
                <w:szCs w:val="16"/>
                <w:vertAlign w:val="superscript"/>
                <w:lang w:val="en-GB" w:eastAsia="es-ES_tradnl" w:bidi="ar-SA"/>
              </w:rPr>
              <w:t>-1</w:t>
            </w: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>)</w:t>
            </w:r>
          </w:p>
        </w:tc>
        <w:tc>
          <w:tcPr>
            <w:tcW w:w="1636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 w:eastAsia="es-ES_tradnl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>Plot Basal Area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 w:eastAsia="es-ES_tradnl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>(living trees m</w:t>
            </w:r>
            <w:r>
              <w:rPr>
                <w:rFonts w:eastAsia="Cambria" w:cs="Cambria" w:cstheme="minorHAnsi"/>
                <w:kern w:val="0"/>
                <w:sz w:val="16"/>
                <w:szCs w:val="16"/>
                <w:vertAlign w:val="superscript"/>
                <w:lang w:val="en-GB" w:eastAsia="es-ES_tradnl" w:bidi="ar-SA"/>
              </w:rPr>
              <w:t>2</w:t>
            </w: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 xml:space="preserve"> Ha</w:t>
            </w:r>
            <w:r>
              <w:rPr>
                <w:rFonts w:eastAsia="Cambria" w:cs="Cambria" w:cstheme="minorHAnsi"/>
                <w:kern w:val="0"/>
                <w:sz w:val="16"/>
                <w:szCs w:val="16"/>
                <w:vertAlign w:val="superscript"/>
                <w:lang w:val="en-GB" w:eastAsia="es-ES_tradnl" w:bidi="ar-SA"/>
              </w:rPr>
              <w:t>-1</w:t>
            </w: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>)</w:t>
            </w:r>
          </w:p>
        </w:tc>
        <w:tc>
          <w:tcPr>
            <w:tcW w:w="1356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 w:eastAsia="es-ES_tradnl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>Mean/Maximum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 w:eastAsia="es-ES_tradnl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>plot tree age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 w:eastAsia="es-ES_tradnl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s-ES_tradnl" w:bidi="ar-SA"/>
              </w:rPr>
              <w:t>(years)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ALA01</w:t>
            </w:r>
          </w:p>
        </w:tc>
        <w:tc>
          <w:tcPr>
            <w:tcW w:w="706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2057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40°29’27” N; 5°55’07” W</w:t>
            </w: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625</w:t>
            </w:r>
          </w:p>
        </w:tc>
        <w:tc>
          <w:tcPr>
            <w:tcW w:w="1412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1722.3</w:t>
            </w:r>
          </w:p>
        </w:tc>
        <w:tc>
          <w:tcPr>
            <w:tcW w:w="1636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21.7</w:t>
            </w:r>
          </w:p>
        </w:tc>
        <w:tc>
          <w:tcPr>
            <w:tcW w:w="1356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44/62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ALA02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40°29’29” N; 5°55’21”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640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2200.0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23.7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37/65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FRA01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40°31’32” N; 6°03’05”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825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541.7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31.1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69/110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FRA02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40°30’51” N; 6°09’27”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1355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313.3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35.6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75/101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FRA03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40°30’52” N; 6°09’20”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1300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541.6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32.3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96/144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GRE01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40°20’19” N; 5°32’48”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1040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187.2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21.0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66/88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GRE02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40°20’07” N; 5°32’40”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1080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947.1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18.7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34/57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GRE03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40°20’27” N; 5°34’23”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1115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297.4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23.1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45/67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GRE04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40°20’27” N; 5°34’36”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1145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605.7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38.3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45/61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GRE05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40°20’60” N; 5°32’55”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1080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1288.9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56.8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48/55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GRE06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40°19’46” N; 5°32’48”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1230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877.8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38.8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28/35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GRE07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40°19’51” N; 5°32’43”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1200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1344.4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56.7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33/50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GRE08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40°19’33” N; 5°34’13”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1085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911.1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22.3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35/54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GRE09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40°19’39” N; 5°34’01”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1075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877.8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44.6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51/62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GRE10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40°19’25” N; 5°34’28”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1090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1611.1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58.8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46/60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GRE11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40°19’51” N; 5°32’51”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1195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477.8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16.9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19/29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GRE12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40°20’08” N; 5°32’50”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1075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1144.4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30.5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33/56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GRE13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40°20’17” N; 5°34’15”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1095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388.9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38.6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49/60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GRE14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40°20’14” N; 5°34’20”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1090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477.8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36.2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59/65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GRE15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40°19’27” N; 5°34’25”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1090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744.4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28.0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57/59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GRE16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40°17’51” N; 5°34’10”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1440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2088.9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52.8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44/47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QUI01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40°33’50” N; 5°54’47”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1020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637.5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42.7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48/66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QUI02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40°34’01” N; 5°54’56”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1090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722.2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39.2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58/104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QUI03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40°33’54” N; 5°54’48”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1000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644.4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18.1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57/79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QUI04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40°34’42” N; 5°56’21”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2325.0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28.6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31/36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QUI05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40°34’40” N; 5°56’19”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1000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1450.0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21.6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53/58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QUI06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40°34’24” N; 5°57’17”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1150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725.0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48.0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59/111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QUI07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40°34’01” N; 5°54’56”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1000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711.1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44.1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66/109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QUI08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40°34’00” N; 5°54’55” W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1005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2050.0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32.7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60/75</w:t>
            </w:r>
          </w:p>
        </w:tc>
      </w:tr>
      <w:tr>
        <w:trPr>
          <w:trHeight w:val="227" w:hRule="atLeast"/>
        </w:trPr>
        <w:tc>
          <w:tcPr>
            <w:tcW w:w="846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QUI09</w:t>
            </w:r>
          </w:p>
        </w:tc>
        <w:tc>
          <w:tcPr>
            <w:tcW w:w="706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</w:t>
            </w:r>
          </w:p>
        </w:tc>
        <w:tc>
          <w:tcPr>
            <w:tcW w:w="2057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40°34’52” N; 5°57’58” W</w:t>
            </w:r>
          </w:p>
        </w:tc>
        <w:tc>
          <w:tcPr>
            <w:tcW w:w="862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1270</w:t>
            </w:r>
          </w:p>
        </w:tc>
        <w:tc>
          <w:tcPr>
            <w:tcW w:w="1412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662.5</w:t>
            </w:r>
          </w:p>
        </w:tc>
        <w:tc>
          <w:tcPr>
            <w:tcW w:w="1636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mbria" w:cs=""/>
                <w:kern w:val="0"/>
                <w:sz w:val="16"/>
                <w:szCs w:val="16"/>
                <w:lang w:val="es-ES_tradnl" w:eastAsia="en-US" w:bidi="ar-SA"/>
              </w:rPr>
              <w:t>24.4</w:t>
            </w:r>
          </w:p>
        </w:tc>
        <w:tc>
          <w:tcPr>
            <w:tcW w:w="1356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mbria" w:cstheme="minorHAnsi"/>
                <w:sz w:val="16"/>
                <w:szCs w:val="16"/>
                <w:lang w:val="en-GB"/>
              </w:rPr>
            </w:pPr>
            <w:r>
              <w:rPr>
                <w:rFonts w:eastAsia="Cambria" w:cs="Cambria" w:cstheme="minorHAnsi"/>
                <w:kern w:val="0"/>
                <w:sz w:val="16"/>
                <w:szCs w:val="16"/>
                <w:lang w:val="en-GB" w:eastAsia="en-US" w:bidi="ar-SA"/>
              </w:rPr>
              <w:t>79/100</w:t>
            </w:r>
          </w:p>
        </w:tc>
      </w:tr>
    </w:tbl>
    <w:p>
      <w:pPr>
        <w:pStyle w:val="Normal"/>
        <w:spacing w:before="0" w:after="200"/>
        <w:rPr>
          <w:sz w:val="22"/>
          <w:szCs w:val="22"/>
        </w:rPr>
      </w:pPr>
      <w:r>
        <w:rPr/>
      </w:r>
    </w:p>
    <w:sectPr>
      <w:type w:val="nextPage"/>
      <w:pgSz w:w="12240" w:h="15840"/>
      <w:pgMar w:left="1701" w:right="1701" w:gutter="0" w:header="0" w:top="1417" w:footer="0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nsolas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embedSystemFonts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" w:asciiTheme="minorHAnsi" w:cstheme="minorBidi" w:eastAsiaTheme="minorHAnsi" w:hAnsiTheme="minorHAnsi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Ttulo1">
    <w:name w:val="Heading 1"/>
    <w:basedOn w:val="Normal"/>
    <w:next w:val="Cuerpodetexto"/>
    <w:uiPriority w:val="9"/>
    <w:qFormat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32"/>
      <w:szCs w:val="32"/>
    </w:rPr>
  </w:style>
  <w:style w:type="paragraph" w:styleId="Ttulo2">
    <w:name w:val="Heading 2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8"/>
      <w:szCs w:val="28"/>
    </w:rPr>
  </w:style>
  <w:style w:type="paragraph" w:styleId="Ttulo3">
    <w:name w:val="Heading 3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Ttulo4">
    <w:name w:val="Heading 4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Cs/>
      <w:i/>
      <w:color w:val="4F81BD" w:themeColor="accent1"/>
    </w:rPr>
  </w:style>
  <w:style w:type="paragraph" w:styleId="Ttulo5">
    <w:name w:val="Heading 5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iCs/>
      <w:color w:val="4F81BD" w:themeColor="accent1"/>
    </w:rPr>
  </w:style>
  <w:style w:type="paragraph" w:styleId="Ttulo6">
    <w:name w:val="Heading 6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color w:val="4F81BD" w:themeColor="accent1"/>
    </w:rPr>
  </w:style>
  <w:style w:type="paragraph" w:styleId="Ttulo7">
    <w:name w:val="Heading 7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color w:val="4F81BD" w:themeColor="accent1"/>
    </w:rPr>
  </w:style>
  <w:style w:type="paragraph" w:styleId="Ttulo8">
    <w:name w:val="Heading 8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val="4F81BD" w:themeColor="accent1"/>
    </w:rPr>
  </w:style>
  <w:style w:type="paragraph" w:styleId="Ttulo9">
    <w:name w:val="Heading 9"/>
    <w:basedOn w:val="Normal"/>
    <w:next w:val="Cuerpodetexto"/>
    <w:uiPriority w:val="9"/>
    <w:unhideWhenUsed/>
    <w:qFormat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DescripcinCar" w:customStyle="1">
    <w:name w:val="Descripción Car"/>
    <w:basedOn w:val="DefaultParagraphFont"/>
    <w:link w:val="Caption"/>
    <w:qFormat/>
    <w:rPr/>
  </w:style>
  <w:style w:type="character" w:styleId="VerbatimChar" w:customStyle="1">
    <w:name w:val="Verbatim Char"/>
    <w:basedOn w:val="DescripcinCar"/>
    <w:link w:val="SourceCode"/>
    <w:qFormat/>
    <w:rPr>
      <w:rFonts w:ascii="Consolas" w:hAnsi="Consolas"/>
      <w:sz w:val="22"/>
    </w:rPr>
  </w:style>
  <w:style w:type="character" w:styleId="SectionNumber" w:customStyle="1">
    <w:name w:val="Section Number"/>
    <w:basedOn w:val="DescripcinCar"/>
    <w:qFormat/>
    <w:rPr/>
  </w:style>
  <w:style w:type="character" w:styleId="Caracteresdenotaalpie">
    <w:name w:val="Caracteres de nota al pie"/>
    <w:basedOn w:val="DescripcinCar"/>
    <w:qFormat/>
    <w:rPr>
      <w:vertAlign w:val="superscript"/>
    </w:rPr>
  </w:style>
  <w:style w:type="character" w:styleId="Ancladenotaalpie">
    <w:name w:val="Footnote Reference"/>
    <w:rPr>
      <w:vertAlign w:val="superscript"/>
    </w:rPr>
  </w:style>
  <w:style w:type="character" w:styleId="EnlacedeInternet">
    <w:name w:val="Hyperlink"/>
    <w:basedOn w:val="DescripcinCar"/>
    <w:rPr>
      <w:color w:val="4F81BD" w:themeColor="accent1"/>
    </w:rPr>
  </w:style>
  <w:style w:type="character" w:styleId="KeywordTok" w:customStyle="1">
    <w:name w:val="KeywordTok"/>
    <w:basedOn w:val="VerbatimChar"/>
    <w:qFormat/>
    <w:rPr>
      <w:rFonts w:ascii="Consolas" w:hAnsi="Consolas"/>
      <w:b/>
      <w:color w:val="204A87"/>
      <w:sz w:val="22"/>
      <w:shd w:fill="F8F8F8" w:val="clear"/>
    </w:rPr>
  </w:style>
  <w:style w:type="character" w:styleId="DataTypeTok" w:customStyle="1">
    <w:name w:val="DataTypeTok"/>
    <w:basedOn w:val="VerbatimChar"/>
    <w:qFormat/>
    <w:rPr>
      <w:rFonts w:ascii="Consolas" w:hAnsi="Consolas"/>
      <w:color w:val="204A87"/>
      <w:sz w:val="22"/>
      <w:shd w:fill="F8F8F8" w:val="clear"/>
    </w:rPr>
  </w:style>
  <w:style w:type="character" w:styleId="DecValTok" w:customStyle="1">
    <w:name w:val="DecValTok"/>
    <w:basedOn w:val="VerbatimChar"/>
    <w:qFormat/>
    <w:rPr>
      <w:rFonts w:ascii="Consolas" w:hAnsi="Consolas"/>
      <w:color w:val="0000CF"/>
      <w:sz w:val="22"/>
      <w:shd w:fill="F8F8F8" w:val="clear"/>
    </w:rPr>
  </w:style>
  <w:style w:type="character" w:styleId="BaseNTok" w:customStyle="1">
    <w:name w:val="BaseNTok"/>
    <w:basedOn w:val="VerbatimChar"/>
    <w:qFormat/>
    <w:rPr>
      <w:rFonts w:ascii="Consolas" w:hAnsi="Consolas"/>
      <w:color w:val="0000CF"/>
      <w:sz w:val="22"/>
      <w:shd w:fill="F8F8F8" w:val="clear"/>
    </w:rPr>
  </w:style>
  <w:style w:type="character" w:styleId="FloatTok" w:customStyle="1">
    <w:name w:val="FloatTok"/>
    <w:basedOn w:val="VerbatimChar"/>
    <w:qFormat/>
    <w:rPr>
      <w:rFonts w:ascii="Consolas" w:hAnsi="Consolas"/>
      <w:color w:val="0000CF"/>
      <w:sz w:val="22"/>
      <w:shd w:fill="F8F8F8" w:val="clear"/>
    </w:rPr>
  </w:style>
  <w:style w:type="character" w:styleId="ConstantTok" w:customStyle="1">
    <w:name w:val="ConstantTok"/>
    <w:basedOn w:val="VerbatimChar"/>
    <w:qFormat/>
    <w:rPr>
      <w:rFonts w:ascii="Consolas" w:hAnsi="Consolas"/>
      <w:color w:val="000000"/>
      <w:sz w:val="22"/>
      <w:shd w:fill="F8F8F8" w:val="clear"/>
    </w:rPr>
  </w:style>
  <w:style w:type="character" w:styleId="CharTok" w:customStyle="1">
    <w:name w:val="CharTok"/>
    <w:basedOn w:val="VerbatimChar"/>
    <w:qFormat/>
    <w:rPr>
      <w:rFonts w:ascii="Consolas" w:hAnsi="Consolas"/>
      <w:color w:val="4E9A06"/>
      <w:sz w:val="22"/>
      <w:shd w:fill="F8F8F8" w:val="clear"/>
    </w:rPr>
  </w:style>
  <w:style w:type="character" w:styleId="SpecialCharTok" w:customStyle="1">
    <w:name w:val="SpecialCharTok"/>
    <w:basedOn w:val="VerbatimChar"/>
    <w:qFormat/>
    <w:rPr>
      <w:rFonts w:ascii="Consolas" w:hAnsi="Consolas"/>
      <w:color w:val="000000"/>
      <w:sz w:val="22"/>
      <w:shd w:fill="F8F8F8" w:val="clear"/>
    </w:rPr>
  </w:style>
  <w:style w:type="character" w:styleId="StringTok" w:customStyle="1">
    <w:name w:val="StringTok"/>
    <w:basedOn w:val="VerbatimChar"/>
    <w:qFormat/>
    <w:rPr>
      <w:rFonts w:ascii="Consolas" w:hAnsi="Consolas"/>
      <w:color w:val="4E9A06"/>
      <w:sz w:val="22"/>
      <w:shd w:fill="F8F8F8" w:val="clear"/>
    </w:rPr>
  </w:style>
  <w:style w:type="character" w:styleId="VerbatimStringTok" w:customStyle="1">
    <w:name w:val="VerbatimStringTok"/>
    <w:basedOn w:val="VerbatimChar"/>
    <w:qFormat/>
    <w:rPr>
      <w:rFonts w:ascii="Consolas" w:hAnsi="Consolas"/>
      <w:color w:val="4E9A06"/>
      <w:sz w:val="22"/>
      <w:shd w:fill="F8F8F8" w:val="clear"/>
    </w:rPr>
  </w:style>
  <w:style w:type="character" w:styleId="SpecialStringTok" w:customStyle="1">
    <w:name w:val="SpecialStringTok"/>
    <w:basedOn w:val="VerbatimChar"/>
    <w:qFormat/>
    <w:rPr>
      <w:rFonts w:ascii="Consolas" w:hAnsi="Consolas"/>
      <w:color w:val="4E9A06"/>
      <w:sz w:val="22"/>
      <w:shd w:fill="F8F8F8" w:val="clear"/>
    </w:rPr>
  </w:style>
  <w:style w:type="character" w:styleId="ImportTok" w:customStyle="1">
    <w:name w:val="ImportTok"/>
    <w:basedOn w:val="VerbatimChar"/>
    <w:qFormat/>
    <w:rPr>
      <w:rFonts w:ascii="Consolas" w:hAnsi="Consolas"/>
      <w:sz w:val="22"/>
      <w:shd w:fill="F8F8F8" w:val="clear"/>
    </w:rPr>
  </w:style>
  <w:style w:type="character" w:styleId="CommentTok" w:customStyle="1">
    <w:name w:val="CommentTok"/>
    <w:basedOn w:val="VerbatimChar"/>
    <w:qFormat/>
    <w:rPr>
      <w:rFonts w:ascii="Consolas" w:hAnsi="Consolas"/>
      <w:i/>
      <w:color w:val="8F5902"/>
      <w:sz w:val="22"/>
      <w:shd w:fill="F8F8F8" w:val="clear"/>
    </w:rPr>
  </w:style>
  <w:style w:type="character" w:styleId="DocumentationTok" w:customStyle="1">
    <w:name w:val="DocumentationTok"/>
    <w:basedOn w:val="VerbatimChar"/>
    <w:qFormat/>
    <w:rPr>
      <w:rFonts w:ascii="Consolas" w:hAnsi="Consolas"/>
      <w:b/>
      <w:i/>
      <w:color w:val="8F5902"/>
      <w:sz w:val="22"/>
      <w:shd w:fill="F8F8F8" w:val="clear"/>
    </w:rPr>
  </w:style>
  <w:style w:type="character" w:styleId="AnnotationTok" w:customStyle="1">
    <w:name w:val="AnnotationTok"/>
    <w:basedOn w:val="VerbatimChar"/>
    <w:qFormat/>
    <w:rPr>
      <w:rFonts w:ascii="Consolas" w:hAnsi="Consolas"/>
      <w:b/>
      <w:i/>
      <w:color w:val="8F5902"/>
      <w:sz w:val="22"/>
      <w:shd w:fill="F8F8F8" w:val="clear"/>
    </w:rPr>
  </w:style>
  <w:style w:type="character" w:styleId="CommentVarTok" w:customStyle="1">
    <w:name w:val="CommentVarTok"/>
    <w:basedOn w:val="VerbatimChar"/>
    <w:qFormat/>
    <w:rPr>
      <w:rFonts w:ascii="Consolas" w:hAnsi="Consolas"/>
      <w:b/>
      <w:i/>
      <w:color w:val="8F5902"/>
      <w:sz w:val="22"/>
      <w:shd w:fill="F8F8F8" w:val="clear"/>
    </w:rPr>
  </w:style>
  <w:style w:type="character" w:styleId="OtherTok" w:customStyle="1">
    <w:name w:val="OtherTok"/>
    <w:basedOn w:val="VerbatimChar"/>
    <w:qFormat/>
    <w:rPr>
      <w:rFonts w:ascii="Consolas" w:hAnsi="Consolas"/>
      <w:color w:val="8F5902"/>
      <w:sz w:val="22"/>
      <w:shd w:fill="F8F8F8" w:val="clear"/>
    </w:rPr>
  </w:style>
  <w:style w:type="character" w:styleId="FunctionTok" w:customStyle="1">
    <w:name w:val="FunctionTok"/>
    <w:basedOn w:val="VerbatimChar"/>
    <w:qFormat/>
    <w:rPr>
      <w:rFonts w:ascii="Consolas" w:hAnsi="Consolas"/>
      <w:color w:val="000000"/>
      <w:sz w:val="22"/>
      <w:shd w:fill="F8F8F8" w:val="clear"/>
    </w:rPr>
  </w:style>
  <w:style w:type="character" w:styleId="VariableTok" w:customStyle="1">
    <w:name w:val="VariableTok"/>
    <w:basedOn w:val="VerbatimChar"/>
    <w:qFormat/>
    <w:rPr>
      <w:rFonts w:ascii="Consolas" w:hAnsi="Consolas"/>
      <w:color w:val="000000"/>
      <w:sz w:val="22"/>
      <w:shd w:fill="F8F8F8" w:val="clear"/>
    </w:rPr>
  </w:style>
  <w:style w:type="character" w:styleId="ControlFlowTok" w:customStyle="1">
    <w:name w:val="ControlFlowTok"/>
    <w:basedOn w:val="VerbatimChar"/>
    <w:qFormat/>
    <w:rPr>
      <w:rFonts w:ascii="Consolas" w:hAnsi="Consolas"/>
      <w:b/>
      <w:color w:val="204A87"/>
      <w:sz w:val="22"/>
      <w:shd w:fill="F8F8F8" w:val="clear"/>
    </w:rPr>
  </w:style>
  <w:style w:type="character" w:styleId="OperatorTok" w:customStyle="1">
    <w:name w:val="OperatorTok"/>
    <w:basedOn w:val="VerbatimChar"/>
    <w:qFormat/>
    <w:rPr>
      <w:rFonts w:ascii="Consolas" w:hAnsi="Consolas"/>
      <w:b/>
      <w:color w:val="CE5C00"/>
      <w:sz w:val="22"/>
      <w:shd w:fill="F8F8F8" w:val="clear"/>
    </w:rPr>
  </w:style>
  <w:style w:type="character" w:styleId="BuiltInTok" w:customStyle="1">
    <w:name w:val="BuiltInTok"/>
    <w:basedOn w:val="VerbatimChar"/>
    <w:qFormat/>
    <w:rPr>
      <w:rFonts w:ascii="Consolas" w:hAnsi="Consolas"/>
      <w:sz w:val="22"/>
      <w:shd w:fill="F8F8F8" w:val="clear"/>
    </w:rPr>
  </w:style>
  <w:style w:type="character" w:styleId="ExtensionTok" w:customStyle="1">
    <w:name w:val="ExtensionTok"/>
    <w:basedOn w:val="VerbatimChar"/>
    <w:qFormat/>
    <w:rPr>
      <w:rFonts w:ascii="Consolas" w:hAnsi="Consolas"/>
      <w:sz w:val="22"/>
      <w:shd w:fill="F8F8F8" w:val="clear"/>
    </w:rPr>
  </w:style>
  <w:style w:type="character" w:styleId="PreprocessorTok" w:customStyle="1">
    <w:name w:val="PreprocessorTok"/>
    <w:basedOn w:val="VerbatimChar"/>
    <w:qFormat/>
    <w:rPr>
      <w:rFonts w:ascii="Consolas" w:hAnsi="Consolas"/>
      <w:i/>
      <w:color w:val="8F5902"/>
      <w:sz w:val="22"/>
      <w:shd w:fill="F8F8F8" w:val="clear"/>
    </w:rPr>
  </w:style>
  <w:style w:type="character" w:styleId="AttributeTok" w:customStyle="1">
    <w:name w:val="AttributeTok"/>
    <w:basedOn w:val="VerbatimChar"/>
    <w:qFormat/>
    <w:rPr>
      <w:rFonts w:ascii="Consolas" w:hAnsi="Consolas"/>
      <w:color w:val="C4A000"/>
      <w:sz w:val="22"/>
      <w:shd w:fill="F8F8F8" w:val="clear"/>
    </w:rPr>
  </w:style>
  <w:style w:type="character" w:styleId="RegionMarkerTok" w:customStyle="1">
    <w:name w:val="RegionMarkerTok"/>
    <w:basedOn w:val="VerbatimChar"/>
    <w:qFormat/>
    <w:rPr>
      <w:rFonts w:ascii="Consolas" w:hAnsi="Consolas"/>
      <w:sz w:val="22"/>
      <w:shd w:fill="F8F8F8" w:val="clear"/>
    </w:rPr>
  </w:style>
  <w:style w:type="character" w:styleId="InformationTok" w:customStyle="1">
    <w:name w:val="InformationTok"/>
    <w:basedOn w:val="VerbatimChar"/>
    <w:qFormat/>
    <w:rPr>
      <w:rFonts w:ascii="Consolas" w:hAnsi="Consolas"/>
      <w:b/>
      <w:i/>
      <w:color w:val="8F5902"/>
      <w:sz w:val="22"/>
      <w:shd w:fill="F8F8F8" w:val="clear"/>
    </w:rPr>
  </w:style>
  <w:style w:type="character" w:styleId="WarningTok" w:customStyle="1">
    <w:name w:val="WarningTok"/>
    <w:basedOn w:val="VerbatimChar"/>
    <w:qFormat/>
    <w:rPr>
      <w:rFonts w:ascii="Consolas" w:hAnsi="Consolas"/>
      <w:b/>
      <w:i/>
      <w:color w:val="8F5902"/>
      <w:sz w:val="22"/>
      <w:shd w:fill="F8F8F8" w:val="clear"/>
    </w:rPr>
  </w:style>
  <w:style w:type="character" w:styleId="AlertTok" w:customStyle="1">
    <w:name w:val="AlertTok"/>
    <w:basedOn w:val="VerbatimChar"/>
    <w:qFormat/>
    <w:rPr>
      <w:rFonts w:ascii="Consolas" w:hAnsi="Consolas"/>
      <w:color w:val="EF2929"/>
      <w:sz w:val="22"/>
      <w:shd w:fill="F8F8F8" w:val="clear"/>
    </w:rPr>
  </w:style>
  <w:style w:type="character" w:styleId="ErrorTok" w:customStyle="1">
    <w:name w:val="ErrorTok"/>
    <w:basedOn w:val="VerbatimChar"/>
    <w:qFormat/>
    <w:rPr>
      <w:rFonts w:ascii="Consolas" w:hAnsi="Consolas"/>
      <w:b/>
      <w:color w:val="A40000"/>
      <w:sz w:val="22"/>
      <w:shd w:fill="F8F8F8" w:val="clear"/>
    </w:rPr>
  </w:style>
  <w:style w:type="character" w:styleId="NormalTok" w:customStyle="1">
    <w:name w:val="NormalTok"/>
    <w:basedOn w:val="VerbatimChar"/>
    <w:qFormat/>
    <w:rPr>
      <w:rFonts w:ascii="Consolas" w:hAnsi="Consolas"/>
      <w:sz w:val="22"/>
      <w:shd w:fill="F8F8F8" w:val="clear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qFormat/>
    <w:pPr>
      <w:spacing w:before="180" w:after="18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FirstParagraph" w:customStyle="1">
    <w:name w:val="First Paragraph"/>
    <w:basedOn w:val="Cuerpodetexto"/>
    <w:next w:val="Cuerpodetexto"/>
    <w:qFormat/>
    <w:pPr/>
    <w:rPr/>
  </w:style>
  <w:style w:type="paragraph" w:styleId="Compact" w:customStyle="1">
    <w:name w:val="Compact"/>
    <w:basedOn w:val="Cuerpodetexto"/>
    <w:qFormat/>
    <w:pPr>
      <w:spacing w:before="36" w:after="36"/>
    </w:pPr>
    <w:rPr/>
  </w:style>
  <w:style w:type="paragraph" w:styleId="Ttulogeneral">
    <w:name w:val="Title"/>
    <w:basedOn w:val="Normal"/>
    <w:next w:val="Cuerpodetexto"/>
    <w:qFormat/>
    <w:pPr>
      <w:keepNext w:val="true"/>
      <w:keepLines/>
      <w:spacing w:before="480" w:after="240"/>
      <w:jc w:val="center"/>
    </w:pPr>
    <w:rPr>
      <w:rFonts w:ascii="Calibri" w:hAnsi="Calibri" w:eastAsia="" w:cs="" w:asciiTheme="majorHAnsi" w:cstheme="majorBidi" w:eastAsiaTheme="majorEastAsia" w:hAnsiTheme="majorHAns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Ttulogeneral"/>
    <w:next w:val="Cuerpodetexto"/>
    <w:qFormat/>
    <w:pPr>
      <w:spacing w:before="240" w:after="240"/>
    </w:pPr>
    <w:rPr>
      <w:sz w:val="30"/>
      <w:szCs w:val="30"/>
    </w:rPr>
  </w:style>
  <w:style w:type="paragraph" w:styleId="Author" w:customStyle="1">
    <w:name w:val="Author"/>
    <w:next w:val="Cuerpodetexto"/>
    <w:qFormat/>
    <w:pPr>
      <w:keepNext w:val="true"/>
      <w:keepLines/>
      <w:widowControl/>
      <w:bidi w:val="0"/>
      <w:spacing w:before="0" w:after="200"/>
      <w:jc w:val="center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Date">
    <w:name w:val="Date"/>
    <w:next w:val="Cuerpodetexto"/>
    <w:qFormat/>
    <w:pPr>
      <w:keepNext w:val="true"/>
      <w:keepLines/>
      <w:widowControl/>
      <w:bidi w:val="0"/>
      <w:spacing w:before="0" w:after="200"/>
      <w:jc w:val="center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Abstract" w:customStyle="1">
    <w:name w:val="Abstract"/>
    <w:basedOn w:val="Normal"/>
    <w:next w:val="Cuerpodetexto"/>
    <w:qFormat/>
    <w:pPr>
      <w:keepNext w:val="true"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Cuerpodetexto"/>
    <w:next w:val="Cuerpodetexto"/>
    <w:uiPriority w:val="9"/>
    <w:unhideWhenUsed/>
    <w:qFormat/>
    <w:pPr>
      <w:spacing w:before="100" w:after="100"/>
      <w:ind w:left="480" w:right="480" w:hanging="0"/>
    </w:pPr>
    <w:rPr/>
  </w:style>
  <w:style w:type="paragraph" w:styleId="Notaalpie">
    <w:name w:val="Footnote Text"/>
    <w:basedOn w:val="Normal"/>
    <w:uiPriority w:val="9"/>
    <w:unhideWhenUsed/>
    <w:qFormat/>
    <w:pPr/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Caption">
    <w:name w:val="caption"/>
    <w:basedOn w:val="Normal"/>
    <w:link w:val="DescripcinCar"/>
    <w:qFormat/>
    <w:pPr>
      <w:spacing w:before="0" w:after="120"/>
    </w:pPr>
    <w:rPr>
      <w:i/>
    </w:rPr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a" w:customStyle="1">
    <w:name w:val="Figura"/>
    <w:basedOn w:val="Normal"/>
    <w:qFormat/>
    <w:pPr/>
    <w:rPr/>
  </w:style>
  <w:style w:type="paragraph" w:styleId="CaptionedFigure" w:customStyle="1">
    <w:name w:val="Captioned Figure"/>
    <w:basedOn w:val="Figura"/>
    <w:qFormat/>
    <w:pPr>
      <w:keepNext w:val="true"/>
    </w:pPr>
    <w:rPr/>
  </w:style>
  <w:style w:type="paragraph" w:styleId="Ttulodelndice">
    <w:name w:val="Index Heading"/>
    <w:basedOn w:val="Ttulo"/>
    <w:pPr/>
    <w:rPr/>
  </w:style>
  <w:style w:type="paragraph" w:styleId="Ttulodelsumario">
    <w:name w:val="TOC Heading"/>
    <w:basedOn w:val="Ttulo1"/>
    <w:next w:val="Cuerpodetexto"/>
    <w:uiPriority w:val="39"/>
    <w:unhideWhenUsed/>
    <w:qFormat/>
    <w:pPr>
      <w:spacing w:lineRule="auto" w:line="259" w:before="240" w:after="0"/>
      <w:outlineLvl w:val="9"/>
    </w:pPr>
    <w:rPr>
      <w:b w:val="false"/>
      <w:bCs w:val="false"/>
      <w:color w:val="365F91" w:themeColor="accent1" w:themeShade="bf"/>
    </w:rPr>
  </w:style>
  <w:style w:type="paragraph" w:styleId="SourceCode" w:customStyle="1">
    <w:name w:val="Source Code"/>
    <w:basedOn w:val="Normal"/>
    <w:link w:val="VerbatimChar"/>
    <w:qFormat/>
    <w:pPr>
      <w:shd w:val="clear" w:color="auto" w:fill="F8F8F8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table" w:styleId="Tablaconcuadrcula">
    <w:name w:val="Table Grid"/>
    <w:basedOn w:val="Tablanormal"/>
    <w:uiPriority w:val="59"/>
    <w:rsid w:val="00cc5575"/>
    <w:pPr>
      <w:spacing w:after="0"/>
    </w:pPr>
    <w:rPr>
      <w:lang w:val="es-ES_tradnl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LibreOffice/7.4.3.2$Linux_X86_64 LibreOffice_project/40$Build-2</Application>
  <AppVersion>15.0000</AppVersion>
  <Pages>1</Pages>
  <Words>394</Words>
  <Characters>1990</Characters>
  <CharactersWithSpaces>2155</CharactersWithSpaces>
  <Paragraphs>230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2022-02-16T18:50:00Z</dcterms:created>
  <dc:creator>HECTOR HERNANDEZ-ALONSO</dc:creator>
  <dc:description/>
  <dc:language>es-ES</dc:language>
  <cp:lastModifiedBy/>
  <dcterms:modified xsi:type="dcterms:W3CDTF">2023-01-11T17:23:46Z</dcterms:modified>
  <cp:revision>6</cp:revision>
  <dc:subject/>
  <dc:title>Suplementary materials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>Héctor Hernández-Alonso</vt:lpwstr>
  </property>
  <property fmtid="{D5CDD505-2E9C-101B-9397-08002B2CF9AE}" pid="3" name="output">
    <vt:lpwstr/>
  </property>
</Properties>
</file>