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01"/>
        <w:gridCol w:w="3602"/>
        <w:gridCol w:w="3602"/>
        <w:gridCol w:w="1801"/>
      </w:tblGrid>
      <w:tr w:rsidR="009B3951" w:rsidRPr="006936C6" w:rsidTr="00EA433C">
        <w:trPr>
          <w:trHeight w:hRule="exact" w:val="567"/>
          <w:jc w:val="center"/>
        </w:trPr>
        <w:tc>
          <w:tcPr>
            <w:tcW w:w="1134" w:type="dxa"/>
            <w:gridSpan w:val="4"/>
            <w:vAlign w:val="center"/>
          </w:tcPr>
          <w:p w:rsidR="009B3951" w:rsidRPr="00EA433C" w:rsidRDefault="009B3951" w:rsidP="00DB0756">
            <w:pPr>
              <w:jc w:val="center"/>
              <w:rPr>
                <w:rFonts w:eastAsia="ArialMT"/>
                <w:bCs/>
              </w:rPr>
            </w:pPr>
            <w:r w:rsidRPr="00EA433C">
              <w:rPr>
                <w:rFonts w:eastAsia="ArialMT"/>
                <w:bCs/>
              </w:rPr>
              <w:t>Primer sequences and references</w:t>
            </w:r>
          </w:p>
        </w:tc>
      </w:tr>
      <w:tr w:rsidR="009B3951" w:rsidRPr="008E5149" w:rsidTr="005073B3">
        <w:trPr>
          <w:jc w:val="center"/>
        </w:trPr>
        <w:tc>
          <w:tcPr>
            <w:tcW w:w="1134" w:type="dxa"/>
            <w:vAlign w:val="center"/>
          </w:tcPr>
          <w:p w:rsidR="009B3951" w:rsidRPr="008E5149" w:rsidRDefault="009B3951" w:rsidP="00DB0756">
            <w:pPr>
              <w:jc w:val="center"/>
              <w:rPr>
                <w:rFonts w:eastAsia="ArialMT"/>
                <w:b/>
                <w:bCs/>
                <w:sz w:val="20"/>
                <w:szCs w:val="20"/>
              </w:rPr>
            </w:pPr>
            <w:r w:rsidRPr="008E5149">
              <w:rPr>
                <w:rFonts w:eastAsia="ArialMT"/>
                <w:b/>
                <w:bCs/>
                <w:sz w:val="20"/>
                <w:szCs w:val="20"/>
              </w:rPr>
              <w:t>Name of the gene</w:t>
            </w:r>
          </w:p>
        </w:tc>
        <w:tc>
          <w:tcPr>
            <w:tcW w:w="3402" w:type="dxa"/>
            <w:vAlign w:val="center"/>
          </w:tcPr>
          <w:p w:rsidR="009B3951" w:rsidRPr="008E5149" w:rsidRDefault="009B3951" w:rsidP="00DB0756">
            <w:pPr>
              <w:jc w:val="center"/>
              <w:rPr>
                <w:rFonts w:eastAsia="ArialMT"/>
                <w:b/>
                <w:bCs/>
                <w:sz w:val="20"/>
                <w:szCs w:val="20"/>
              </w:rPr>
            </w:pPr>
            <w:r w:rsidRPr="008E5149">
              <w:rPr>
                <w:rFonts w:eastAsia="ArialMT"/>
                <w:b/>
                <w:bCs/>
                <w:sz w:val="20"/>
                <w:szCs w:val="20"/>
              </w:rPr>
              <w:t>Forward sequences 5’-</w:t>
            </w:r>
            <w:smartTag w:uri="urn:schemas-microsoft-com:office:smarttags" w:element="metricconverter">
              <w:smartTagPr>
                <w:attr w:name="ProductID" w:val="3’"/>
              </w:smartTagPr>
              <w:r w:rsidRPr="008E5149">
                <w:rPr>
                  <w:rFonts w:eastAsia="ArialMT"/>
                  <w:b/>
                  <w:bCs/>
                  <w:sz w:val="20"/>
                  <w:szCs w:val="20"/>
                </w:rPr>
                <w:t>3’</w:t>
              </w:r>
            </w:smartTag>
          </w:p>
        </w:tc>
        <w:tc>
          <w:tcPr>
            <w:tcW w:w="3402" w:type="dxa"/>
            <w:vAlign w:val="center"/>
          </w:tcPr>
          <w:p w:rsidR="009B3951" w:rsidRPr="008E5149" w:rsidRDefault="009B3951" w:rsidP="00DB0756">
            <w:pPr>
              <w:jc w:val="center"/>
              <w:rPr>
                <w:rFonts w:eastAsia="ArialMT"/>
                <w:b/>
                <w:bCs/>
                <w:sz w:val="20"/>
                <w:szCs w:val="20"/>
              </w:rPr>
            </w:pPr>
            <w:r w:rsidRPr="008E5149">
              <w:rPr>
                <w:rFonts w:eastAsia="ArialMT"/>
                <w:b/>
                <w:bCs/>
                <w:sz w:val="20"/>
                <w:szCs w:val="20"/>
              </w:rPr>
              <w:t>Reverse sequences 5’-</w:t>
            </w:r>
            <w:smartTag w:uri="urn:schemas-microsoft-com:office:smarttags" w:element="metricconverter">
              <w:smartTagPr>
                <w:attr w:name="ProductID" w:val="3’"/>
              </w:smartTagPr>
              <w:r w:rsidRPr="008E5149">
                <w:rPr>
                  <w:rFonts w:eastAsia="ArialMT"/>
                  <w:b/>
                  <w:bCs/>
                  <w:sz w:val="20"/>
                  <w:szCs w:val="20"/>
                </w:rPr>
                <w:t>3’</w:t>
              </w:r>
            </w:smartTag>
          </w:p>
        </w:tc>
        <w:tc>
          <w:tcPr>
            <w:tcW w:w="1701" w:type="dxa"/>
            <w:vAlign w:val="center"/>
          </w:tcPr>
          <w:p w:rsidR="009B3951" w:rsidRPr="008E5149" w:rsidRDefault="009B3951" w:rsidP="00DB0756">
            <w:pPr>
              <w:jc w:val="center"/>
              <w:rPr>
                <w:rFonts w:eastAsia="ArialMT"/>
                <w:b/>
                <w:bCs/>
                <w:sz w:val="20"/>
                <w:szCs w:val="20"/>
              </w:rPr>
            </w:pPr>
            <w:r w:rsidRPr="008E5149">
              <w:rPr>
                <w:rFonts w:eastAsia="ArialMT"/>
                <w:b/>
                <w:bCs/>
                <w:sz w:val="20"/>
                <w:szCs w:val="20"/>
              </w:rPr>
              <w:t>references</w:t>
            </w:r>
          </w:p>
        </w:tc>
      </w:tr>
      <w:tr w:rsidR="009B3951" w:rsidRPr="006936C6" w:rsidTr="005073B3">
        <w:trPr>
          <w:trHeight w:hRule="exact" w:val="567"/>
          <w:jc w:val="center"/>
        </w:trPr>
        <w:tc>
          <w:tcPr>
            <w:tcW w:w="1134" w:type="dxa"/>
            <w:vAlign w:val="center"/>
          </w:tcPr>
          <w:p w:rsidR="009B3951" w:rsidRPr="00B20679" w:rsidRDefault="009B3951" w:rsidP="00DB0756">
            <w:pPr>
              <w:jc w:val="center"/>
              <w:rPr>
                <w:rFonts w:eastAsia="ArialMT"/>
                <w:bCs/>
                <w:sz w:val="18"/>
                <w:szCs w:val="18"/>
              </w:rPr>
            </w:pPr>
            <w:r w:rsidRPr="00B20679">
              <w:rPr>
                <w:rFonts w:eastAsia="ArialMT"/>
                <w:bCs/>
                <w:sz w:val="18"/>
                <w:szCs w:val="18"/>
              </w:rPr>
              <w:t>CBF14</w:t>
            </w:r>
          </w:p>
        </w:tc>
        <w:tc>
          <w:tcPr>
            <w:tcW w:w="3402" w:type="dxa"/>
            <w:vAlign w:val="center"/>
          </w:tcPr>
          <w:p w:rsidR="009B3951" w:rsidRPr="00B20679" w:rsidRDefault="009B3951" w:rsidP="00DB0756">
            <w:pPr>
              <w:jc w:val="center"/>
              <w:rPr>
                <w:rFonts w:eastAsia="ArialMT"/>
                <w:bCs/>
                <w:sz w:val="18"/>
                <w:szCs w:val="18"/>
              </w:rPr>
            </w:pPr>
            <w:r w:rsidRPr="00B20679">
              <w:rPr>
                <w:rFonts w:eastAsia="ArialMT"/>
                <w:bCs/>
                <w:sz w:val="18"/>
                <w:szCs w:val="18"/>
              </w:rPr>
              <w:t>CCACCAAATATGGGAGGAAA</w:t>
            </w:r>
          </w:p>
        </w:tc>
        <w:tc>
          <w:tcPr>
            <w:tcW w:w="3402" w:type="dxa"/>
            <w:vAlign w:val="center"/>
          </w:tcPr>
          <w:p w:rsidR="009B3951" w:rsidRPr="00B20679" w:rsidRDefault="009B3951" w:rsidP="00DB0756">
            <w:pPr>
              <w:jc w:val="center"/>
              <w:rPr>
                <w:rFonts w:eastAsia="ArialMT"/>
                <w:bCs/>
                <w:sz w:val="18"/>
                <w:szCs w:val="18"/>
              </w:rPr>
            </w:pPr>
            <w:r w:rsidRPr="00B20679">
              <w:rPr>
                <w:rFonts w:eastAsia="ArialMT"/>
                <w:bCs/>
                <w:sz w:val="18"/>
                <w:szCs w:val="18"/>
              </w:rPr>
              <w:t>CTTTCACAATGAACGAGCA</w:t>
            </w:r>
          </w:p>
        </w:tc>
        <w:tc>
          <w:tcPr>
            <w:tcW w:w="1701" w:type="dxa"/>
            <w:vAlign w:val="center"/>
          </w:tcPr>
          <w:p w:rsidR="009B3951" w:rsidRPr="00B20679" w:rsidRDefault="009B3951" w:rsidP="005073B3">
            <w:pPr>
              <w:jc w:val="center"/>
              <w:rPr>
                <w:rFonts w:eastAsia="ArialMT"/>
                <w:bCs/>
                <w:sz w:val="18"/>
                <w:szCs w:val="18"/>
              </w:rPr>
            </w:pPr>
            <w:r w:rsidRPr="00B20679">
              <w:rPr>
                <w:rFonts w:eastAsia="ArialMT"/>
                <w:bCs/>
                <w:sz w:val="18"/>
                <w:szCs w:val="18"/>
              </w:rPr>
              <w:fldChar w:fldCharType="begin" w:fldLock="1"/>
            </w:r>
            <w:r w:rsidR="005073B3">
              <w:rPr>
                <w:rFonts w:eastAsia="ArialMT"/>
                <w:bCs/>
                <w:sz w:val="18"/>
                <w:szCs w:val="18"/>
              </w:rPr>
              <w:instrText>ADDIN CSL_CITATION { "citationItems" : [ { "id" : "ITEM-1", "itemData" : { "DOI" : "10.1104/pp.110.159079", "ISSN" : "1532-2548", "PMID" : "20571115", "abstract" : "In winter wheat (Triticum spp.) and barley (Hordeum vulgare) varieties, long exposures to nonfreezing cold temperatures accelerate flowering time (vernalization) and improve freezing tolerance (cold acclimation). However, when plants initiate their reproductive development, freezing tolerance decreases, suggesting a connection between the two processes. To better understand this connection, we used two diploid wheat (Triticum monococcum) mutants, maintained vegetative phase (mvp), that carry deletions encompassing VRN-1, the major vernalization gene in temperate cereals. Homozygous mvp/mvp plants never flower, whereas plants carrying at least one functional VRN-1 copy (Mvp/-) exhibit normal flowering and high transcript levels of VRN-1 under long days. The Mvp/- plants showed reduced freezing tolerance and reduced transcript levels of several cold-induced C-REPEAT BINDING FACTOR transcription factors and COLD REGULATED genes (COR) relative to the mvp/mvp plants. Diploid wheat accessions with mutations in the VRN-1 promoter, resulting in high transcript levels under both long and short days, showed a significant down-regulation of COR14b under long days but not under short days. Taken together, these studies suggest that VRN-1 is required for the initiation of the regulatory cascade that down-regulates the cold acclimation pathway but that additional genes regulated by long days are required for the down-regulation of the COR genes. In addition, our results show that allelic variation in VRN-1 is sufficient to determine differences in freezing tolerance, suggesting that quantitative trait loci for freezing tolerance previously mapped on this chromosome region are likely a pleiotropic effect of VRN-1 rather than the effect of a separate closely linked locus (FROST RESISTANCE-1), as proposed in early freezing tolerance studies.", "author" : [ { "dropping-particle" : "", "family" : "Dhillon", "given" : "Taniya", "non-dropping-particle" : "", "parse-names" : false, "suffix" : "" }, { "dropping-particle" : "", "family" : "Pearce", "given" : "Stephen P", "non-dropping-particle" : "", "parse-names" : false, "suffix" : "" }, { "dropping-particle" : "", "family" : "Stockinger", "given" : "Eric J", "non-dropping-particle" : "", "parse-names" : false, "suffix" : "" }, { "dropping-particle" : "", "family" : "Distelfeld", "given" : "Assaf", "non-dropping-particle" : "", "parse-names" : false, "suffix" : "" }, { "dropping-particle" : "", "family" : "Li", "given" : "Chengxia", "non-dropping-particle" : "", "parse-names" : false, "suffix" : "" }, { "dropping-particle" : "", "family" : "Knox", "given" : "Andrea K", "non-dropping-particle" : "", "parse-names" : false, "suffix" : "" }, { "dropping-particle" : "", "family" : "Vashegyi", "given" : "Ildik\u00f3", "non-dropping-particle" : "", "parse-names" : false, "suffix" : "" }, { "dropping-particle" : "", "family" : "V\u00e1g\u00fajfalvi", "given" : "Attila", "non-dropping-particle" : "", "parse-names" : false, "suffix" : "" }, { "dropping-particle" : "", "family" : "Galiba", "given" : "Gabor", "non-dropping-particle" : "", "parse-names" : false, "suffix" : "" }, { "dropping-particle" : "", "family" : "Dubcovsky", "given" : "Jorge", "non-dropping-particle" : "", "parse-names" : false, "suffix" : "" } ], "container-title" : "Plant Physiology", "id" : "ITEM-1", "issue" : "4", "issued" : { "date-parts" : [ [ "2010", "8" ] ] }, "page" : "1846-1858", "title" : "Regulation of freezing tolerance and flowering in temperate cereals: the VRN-1 connection.", "type" : "article-journal", "volume" : "153" }, "uris" : [ "http://www.mendeley.com/documents/?uuid=5bbbe252-d9ad-4779-834f-a254926b4a9c" ] } ], "mendeley" : { "formattedCitation" : "(Dhillon et al. 2010)", "manualFormatting" : "Dhillon et al. 2010", "plainTextFormattedCitation" : "(Dhillon et al. 2010)", "previouslyFormattedCitation" : "(Dhillon et al. 2010)" }, "properties" : { "noteIndex" : 0 }, "schema" : "https://github.com/citation-style-language/schema/raw/master/csl-citation.json" }</w:instrText>
            </w:r>
            <w:r w:rsidRPr="00B20679">
              <w:rPr>
                <w:rFonts w:eastAsia="ArialMT"/>
                <w:bCs/>
                <w:sz w:val="18"/>
                <w:szCs w:val="18"/>
              </w:rPr>
              <w:fldChar w:fldCharType="separate"/>
            </w:r>
            <w:r w:rsidR="00FC3962" w:rsidRPr="00FC3962">
              <w:rPr>
                <w:rFonts w:eastAsia="ArialMT"/>
                <w:bCs/>
                <w:noProof/>
                <w:sz w:val="18"/>
                <w:szCs w:val="18"/>
              </w:rPr>
              <w:t>Dhillon et al. 2010</w:t>
            </w:r>
            <w:r w:rsidRPr="00B20679">
              <w:rPr>
                <w:rFonts w:eastAsia="ArialMT"/>
                <w:bCs/>
                <w:sz w:val="18"/>
                <w:szCs w:val="18"/>
              </w:rPr>
              <w:fldChar w:fldCharType="end"/>
            </w:r>
          </w:p>
        </w:tc>
      </w:tr>
      <w:tr w:rsidR="009B3951" w:rsidRPr="006936C6" w:rsidTr="005073B3">
        <w:trPr>
          <w:trHeight w:hRule="exact" w:val="680"/>
          <w:jc w:val="center"/>
        </w:trPr>
        <w:tc>
          <w:tcPr>
            <w:tcW w:w="1134" w:type="dxa"/>
            <w:vAlign w:val="center"/>
          </w:tcPr>
          <w:p w:rsidR="009B3951" w:rsidRPr="00B20679" w:rsidRDefault="000C0049" w:rsidP="00DB0756">
            <w:pPr>
              <w:jc w:val="center"/>
              <w:rPr>
                <w:rFonts w:eastAsia="ArialMT"/>
                <w:bCs/>
                <w:sz w:val="18"/>
                <w:szCs w:val="18"/>
              </w:rPr>
            </w:pPr>
            <w:r>
              <w:rPr>
                <w:rFonts w:eastAsia="ArialMT"/>
                <w:bCs/>
                <w:sz w:val="18"/>
                <w:szCs w:val="18"/>
              </w:rPr>
              <w:t>CRY1a</w:t>
            </w:r>
          </w:p>
        </w:tc>
        <w:tc>
          <w:tcPr>
            <w:tcW w:w="3402" w:type="dxa"/>
            <w:vAlign w:val="center"/>
          </w:tcPr>
          <w:p w:rsidR="009B3951" w:rsidRPr="00B20679" w:rsidRDefault="000C0049" w:rsidP="00DB0756">
            <w:pPr>
              <w:jc w:val="center"/>
              <w:rPr>
                <w:rFonts w:eastAsia="ArialMT"/>
                <w:bCs/>
                <w:sz w:val="18"/>
                <w:szCs w:val="18"/>
              </w:rPr>
            </w:pPr>
            <w:r w:rsidRPr="000C0049">
              <w:rPr>
                <w:rFonts w:eastAsia="ArialMT"/>
                <w:bCs/>
                <w:sz w:val="18"/>
                <w:szCs w:val="18"/>
              </w:rPr>
              <w:t>CAGCCTCAGACTCGGATGG</w:t>
            </w:r>
          </w:p>
        </w:tc>
        <w:tc>
          <w:tcPr>
            <w:tcW w:w="3402" w:type="dxa"/>
            <w:vAlign w:val="center"/>
          </w:tcPr>
          <w:p w:rsidR="009B3951" w:rsidRPr="00B20679" w:rsidRDefault="000C0049" w:rsidP="00DB0756">
            <w:pPr>
              <w:jc w:val="center"/>
              <w:rPr>
                <w:rFonts w:eastAsia="ArialMT"/>
                <w:bCs/>
                <w:sz w:val="18"/>
                <w:szCs w:val="18"/>
              </w:rPr>
            </w:pPr>
            <w:r w:rsidRPr="000C0049">
              <w:rPr>
                <w:rFonts w:eastAsia="ArialMT"/>
                <w:bCs/>
                <w:sz w:val="18"/>
                <w:szCs w:val="18"/>
              </w:rPr>
              <w:t>CTGAAGTGGATGGTGCTATGCC</w:t>
            </w:r>
          </w:p>
        </w:tc>
        <w:tc>
          <w:tcPr>
            <w:tcW w:w="1701" w:type="dxa"/>
            <w:vAlign w:val="center"/>
          </w:tcPr>
          <w:p w:rsidR="00095847" w:rsidRDefault="00095847" w:rsidP="00DB0756">
            <w:pPr>
              <w:jc w:val="center"/>
              <w:rPr>
                <w:rFonts w:eastAsia="ArialMT"/>
                <w:bCs/>
                <w:sz w:val="18"/>
                <w:szCs w:val="18"/>
              </w:rPr>
            </w:pPr>
            <w:r w:rsidRPr="00095847">
              <w:rPr>
                <w:rFonts w:eastAsia="ArialMT"/>
                <w:bCs/>
                <w:sz w:val="18"/>
                <w:szCs w:val="18"/>
              </w:rPr>
              <w:t>EF601539.1</w:t>
            </w:r>
          </w:p>
          <w:p w:rsidR="009B3951" w:rsidRPr="00B20679" w:rsidRDefault="00ED2645" w:rsidP="00DB0756">
            <w:pPr>
              <w:jc w:val="center"/>
              <w:rPr>
                <w:rFonts w:eastAsia="ArialMT"/>
                <w:bCs/>
                <w:sz w:val="18"/>
                <w:szCs w:val="18"/>
              </w:rPr>
            </w:pPr>
            <w:r w:rsidRPr="00ED2645">
              <w:rPr>
                <w:rFonts w:eastAsia="ArialMT"/>
                <w:bCs/>
                <w:sz w:val="18"/>
                <w:szCs w:val="18"/>
              </w:rPr>
              <w:t>EF601540.1</w:t>
            </w:r>
          </w:p>
        </w:tc>
      </w:tr>
      <w:tr w:rsidR="000C0049" w:rsidRPr="006936C6" w:rsidTr="008E5149">
        <w:trPr>
          <w:trHeight w:val="680"/>
          <w:jc w:val="center"/>
        </w:trPr>
        <w:tc>
          <w:tcPr>
            <w:tcW w:w="1134" w:type="dxa"/>
            <w:vAlign w:val="center"/>
          </w:tcPr>
          <w:p w:rsidR="000C0049" w:rsidRDefault="000C0049" w:rsidP="00DB0756">
            <w:pPr>
              <w:jc w:val="center"/>
              <w:rPr>
                <w:rFonts w:eastAsia="ArialMT"/>
                <w:bCs/>
                <w:sz w:val="18"/>
                <w:szCs w:val="18"/>
              </w:rPr>
            </w:pPr>
            <w:r>
              <w:rPr>
                <w:rFonts w:eastAsia="ArialMT"/>
                <w:bCs/>
                <w:sz w:val="18"/>
                <w:szCs w:val="18"/>
              </w:rPr>
              <w:t>CRY2</w:t>
            </w:r>
          </w:p>
        </w:tc>
        <w:tc>
          <w:tcPr>
            <w:tcW w:w="3402" w:type="dxa"/>
            <w:vAlign w:val="center"/>
          </w:tcPr>
          <w:p w:rsidR="000C0049" w:rsidRPr="00B20679" w:rsidRDefault="000C0049" w:rsidP="00DB0756">
            <w:pPr>
              <w:jc w:val="center"/>
              <w:rPr>
                <w:rFonts w:eastAsia="ArialMT"/>
                <w:bCs/>
                <w:sz w:val="18"/>
                <w:szCs w:val="18"/>
              </w:rPr>
            </w:pPr>
            <w:r w:rsidRPr="000C0049">
              <w:rPr>
                <w:rFonts w:eastAsia="ArialMT"/>
                <w:bCs/>
                <w:sz w:val="18"/>
                <w:szCs w:val="18"/>
              </w:rPr>
              <w:t>CTGGTGGTTATTTAGTTGGGTCGT</w:t>
            </w:r>
          </w:p>
        </w:tc>
        <w:tc>
          <w:tcPr>
            <w:tcW w:w="3402" w:type="dxa"/>
            <w:vAlign w:val="center"/>
          </w:tcPr>
          <w:p w:rsidR="000C0049" w:rsidRPr="00B20679" w:rsidRDefault="000C0049" w:rsidP="00DB0756">
            <w:pPr>
              <w:jc w:val="center"/>
              <w:rPr>
                <w:rFonts w:eastAsia="ArialMT"/>
                <w:bCs/>
                <w:sz w:val="18"/>
                <w:szCs w:val="18"/>
              </w:rPr>
            </w:pPr>
            <w:r w:rsidRPr="000C0049">
              <w:rPr>
                <w:rFonts w:eastAsia="ArialMT"/>
                <w:bCs/>
                <w:sz w:val="18"/>
                <w:szCs w:val="18"/>
              </w:rPr>
              <w:t>GTACCACTATCGGCACTGTCATC</w:t>
            </w:r>
          </w:p>
        </w:tc>
        <w:tc>
          <w:tcPr>
            <w:tcW w:w="1701" w:type="dxa"/>
            <w:vAlign w:val="center"/>
          </w:tcPr>
          <w:p w:rsidR="000C0049" w:rsidRDefault="00ED2645" w:rsidP="00DB0756">
            <w:pPr>
              <w:jc w:val="center"/>
              <w:rPr>
                <w:rFonts w:eastAsia="ArialMT"/>
                <w:bCs/>
                <w:sz w:val="18"/>
                <w:szCs w:val="18"/>
              </w:rPr>
            </w:pPr>
            <w:r w:rsidRPr="00ED2645">
              <w:rPr>
                <w:rFonts w:eastAsia="ArialMT"/>
                <w:bCs/>
                <w:sz w:val="18"/>
                <w:szCs w:val="18"/>
              </w:rPr>
              <w:t>EF601541.1</w:t>
            </w:r>
          </w:p>
          <w:p w:rsidR="00ED2645" w:rsidRPr="00B20679" w:rsidRDefault="00ED2645" w:rsidP="00DB0756">
            <w:pPr>
              <w:jc w:val="center"/>
              <w:rPr>
                <w:rFonts w:eastAsia="ArialMT"/>
                <w:bCs/>
                <w:sz w:val="18"/>
                <w:szCs w:val="18"/>
              </w:rPr>
            </w:pPr>
            <w:r w:rsidRPr="00ED2645">
              <w:rPr>
                <w:rFonts w:eastAsia="ArialMT"/>
                <w:bCs/>
                <w:sz w:val="18"/>
                <w:szCs w:val="18"/>
              </w:rPr>
              <w:t>EF601542.1</w:t>
            </w:r>
          </w:p>
        </w:tc>
        <w:bookmarkStart w:id="0" w:name="_GoBack"/>
        <w:bookmarkEnd w:id="0"/>
      </w:tr>
      <w:tr w:rsidR="009B3951" w:rsidRPr="006936C6" w:rsidTr="005073B3">
        <w:trPr>
          <w:trHeight w:hRule="exact" w:val="567"/>
          <w:jc w:val="center"/>
        </w:trPr>
        <w:tc>
          <w:tcPr>
            <w:tcW w:w="1134" w:type="dxa"/>
            <w:vAlign w:val="center"/>
          </w:tcPr>
          <w:p w:rsidR="009B3951" w:rsidRPr="00B20679" w:rsidRDefault="009B3951" w:rsidP="00DB0756">
            <w:pPr>
              <w:jc w:val="center"/>
              <w:rPr>
                <w:rFonts w:eastAsia="ArialMT"/>
                <w:bCs/>
                <w:sz w:val="18"/>
                <w:szCs w:val="18"/>
              </w:rPr>
            </w:pPr>
            <w:proofErr w:type="spellStart"/>
            <w:r w:rsidRPr="00B20679">
              <w:rPr>
                <w:rFonts w:eastAsia="ArialMT"/>
                <w:bCs/>
                <w:sz w:val="18"/>
                <w:szCs w:val="18"/>
              </w:rPr>
              <w:t>Cyclophilin</w:t>
            </w:r>
            <w:proofErr w:type="spellEnd"/>
          </w:p>
        </w:tc>
        <w:tc>
          <w:tcPr>
            <w:tcW w:w="3402" w:type="dxa"/>
            <w:vAlign w:val="center"/>
          </w:tcPr>
          <w:p w:rsidR="009B3951" w:rsidRPr="00B20679" w:rsidRDefault="009B3951" w:rsidP="00DB0756">
            <w:pPr>
              <w:jc w:val="center"/>
              <w:rPr>
                <w:rFonts w:eastAsia="ArialMT"/>
                <w:bCs/>
                <w:sz w:val="18"/>
                <w:szCs w:val="18"/>
              </w:rPr>
            </w:pPr>
            <w:r w:rsidRPr="00B20679">
              <w:rPr>
                <w:rFonts w:eastAsia="ArialMT"/>
                <w:bCs/>
                <w:sz w:val="18"/>
                <w:szCs w:val="18"/>
              </w:rPr>
              <w:t>CCTGTCGTGTCGTCGGTCTAAA</w:t>
            </w:r>
          </w:p>
        </w:tc>
        <w:tc>
          <w:tcPr>
            <w:tcW w:w="3402" w:type="dxa"/>
            <w:vAlign w:val="center"/>
          </w:tcPr>
          <w:p w:rsidR="009B3951" w:rsidRPr="00B20679" w:rsidRDefault="009B3951" w:rsidP="00DB0756">
            <w:pPr>
              <w:jc w:val="center"/>
              <w:rPr>
                <w:rFonts w:eastAsia="ArialMT"/>
                <w:bCs/>
                <w:sz w:val="18"/>
                <w:szCs w:val="18"/>
              </w:rPr>
            </w:pPr>
            <w:r w:rsidRPr="00B20679">
              <w:rPr>
                <w:rFonts w:eastAsia="ArialMT"/>
                <w:bCs/>
                <w:sz w:val="18"/>
                <w:szCs w:val="18"/>
              </w:rPr>
              <w:t>ACGCAGATCCAGCAGCCTAAAG</w:t>
            </w:r>
          </w:p>
        </w:tc>
        <w:tc>
          <w:tcPr>
            <w:tcW w:w="1701" w:type="dxa"/>
            <w:vAlign w:val="center"/>
          </w:tcPr>
          <w:p w:rsidR="009B3951" w:rsidRPr="00B20679" w:rsidRDefault="009B3951" w:rsidP="005073B3">
            <w:pPr>
              <w:jc w:val="center"/>
              <w:rPr>
                <w:rFonts w:eastAsia="ArialMT"/>
                <w:bCs/>
                <w:sz w:val="18"/>
                <w:szCs w:val="18"/>
              </w:rPr>
            </w:pPr>
            <w:r w:rsidRPr="00B20679">
              <w:rPr>
                <w:rFonts w:eastAsia="ArialMT"/>
                <w:bCs/>
                <w:sz w:val="18"/>
                <w:szCs w:val="18"/>
              </w:rPr>
              <w:fldChar w:fldCharType="begin" w:fldLock="1"/>
            </w:r>
            <w:r w:rsidR="005073B3">
              <w:rPr>
                <w:rFonts w:eastAsia="ArialMT"/>
                <w:bCs/>
                <w:sz w:val="18"/>
                <w:szCs w:val="18"/>
              </w:rPr>
              <w:instrText>ADDIN CSL_CITATION { "citationItems" : [ { "id" : "ITEM-1", "itemData" : { "DOI" : "10.1104/pp.103.032904.bers", "abstract" : "Sequence data from cDNA and genomic clones, coupled with analyses of expressed sequence tag databases, indicate that the CesA (cellulose synthase) gene family from barley (Hordeum vulgare) has at least eight members, which are distributed across the genome. Quantitative polymerase chain reaction has been used to determine the relative abundance of mRNA transcripts for individual HvCesA genes in vegetative and floral tissues, at different stages of development. To ensure accurate expression profiling, geometric averaging of multiple internal control gene transcripts has been applied for the normalization of transcript abundance. Total HvCesA mRNA levels are highest in coleoptiles, roots, and stems and much lower in floral tissues, early developing grain, and in the elongation zone of leaves. In most tissues, HvCesA1, HvCesA2, and HvCesA6 predominate, and their relative abundance is very similar; these genes appear to be coordinately transcribed. A second group, comprising HvCesA4, HvCesA7, and HvCesA8, also appears to be coordinately transcribed, most obviously in maturing stem and root tissues. The HvCesA3 expression pattern does not fall into either of these two groups, and HvCesA5 transcript levels are extremely low in all tissues. Thus, the HvCesA genes fall into two general groups of three genes with respect to mRNA abundance, and the co-expression of the groups identifies their products as candidates for the rosettes that are involved in cellulose biosynthesis at the plasma membrane. Phylogenetic analysis allows the two groups of genes to be linked with orthologous Arabidopsis CesA genes that have been implicated in primary and secondary wall synthesis.", "author" : [ { "dropping-particle" : "", "family" : "Burton", "given" : "Rachel A", "non-dropping-particle" : "", "parse-names" : false, "suffix" : "" }, { "dropping-particle" : "", "family" : "Shirley", "given" : "Neil J", "non-dropping-particle" : "", "parse-names" : false, "suffix" : "" }, { "dropping-particle" : "", "family" : "King", "given" : "Brendon J", "non-dropping-particle" : "", "parse-names" : false, "suffix" : "" }, { "dropping-particle" : "", "family" : "Harvey", "given" : "Andrew J", "non-dropping-particle" : "", "parse-names" : false, "suffix" : "" }, { "dropping-particle" : "", "family" : "Fincher", "given" : "Geoffrey B", "non-dropping-particle" : "", "parse-names" : false, "suffix" : "" } ], "container-title" : "Plant Physiology", "id" : "ITEM-1", "issue" : "1", "issued" : { "date-parts" : [ [ "2004" ] ] }, "page" : "224-236", "title" : "The CesA gene family of barley. Quantitative analysis of transcripts reveals two groups of co-expressed genes", "type" : "article-journal", "volume" : "134" }, "uris" : [ "http://www.mendeley.com/documents/?uuid=74d422bd-a1ec-4342-b7da-c08abd43f577" ] } ], "mendeley" : { "formattedCitation" : "(Burton et al. 2004)", "manualFormatting" : "Burton et al. 2004", "plainTextFormattedCitation" : "(Burton et al. 2004)", "previouslyFormattedCitation" : "(Burton et al. 2004)" }, "properties" : { "noteIndex" : 0 }, "schema" : "https://github.com/citation-style-language/schema/raw/master/csl-citation.json" }</w:instrText>
            </w:r>
            <w:r w:rsidRPr="00B20679">
              <w:rPr>
                <w:rFonts w:eastAsia="ArialMT"/>
                <w:bCs/>
                <w:sz w:val="18"/>
                <w:szCs w:val="18"/>
              </w:rPr>
              <w:fldChar w:fldCharType="separate"/>
            </w:r>
            <w:r w:rsidR="00FC3962" w:rsidRPr="00FC3962">
              <w:rPr>
                <w:rFonts w:eastAsia="ArialMT"/>
                <w:bCs/>
                <w:noProof/>
                <w:sz w:val="18"/>
                <w:szCs w:val="18"/>
              </w:rPr>
              <w:t>Burton et al. 2004</w:t>
            </w:r>
            <w:r w:rsidRPr="00B20679">
              <w:rPr>
                <w:rFonts w:eastAsia="ArialMT"/>
                <w:bCs/>
                <w:sz w:val="18"/>
                <w:szCs w:val="18"/>
              </w:rPr>
              <w:fldChar w:fldCharType="end"/>
            </w:r>
          </w:p>
        </w:tc>
      </w:tr>
      <w:tr w:rsidR="009B3951" w:rsidRPr="006936C6" w:rsidTr="005073B3">
        <w:trPr>
          <w:trHeight w:hRule="exact" w:val="567"/>
          <w:jc w:val="center"/>
        </w:trPr>
        <w:tc>
          <w:tcPr>
            <w:tcW w:w="1134" w:type="dxa"/>
            <w:vAlign w:val="center"/>
          </w:tcPr>
          <w:p w:rsidR="009B3951" w:rsidRPr="00B20679" w:rsidRDefault="009B3951" w:rsidP="00DB0756">
            <w:pPr>
              <w:jc w:val="center"/>
              <w:rPr>
                <w:rFonts w:eastAsia="ArialMT"/>
                <w:bCs/>
                <w:sz w:val="18"/>
                <w:szCs w:val="18"/>
              </w:rPr>
            </w:pPr>
            <w:r w:rsidRPr="00B20679">
              <w:rPr>
                <w:rFonts w:eastAsia="ArialMT"/>
                <w:bCs/>
                <w:sz w:val="18"/>
                <w:szCs w:val="18"/>
              </w:rPr>
              <w:t>HvCBF14</w:t>
            </w:r>
          </w:p>
        </w:tc>
        <w:tc>
          <w:tcPr>
            <w:tcW w:w="3402" w:type="dxa"/>
            <w:vAlign w:val="center"/>
          </w:tcPr>
          <w:p w:rsidR="009B3951" w:rsidRPr="00B20679" w:rsidRDefault="009B3951" w:rsidP="00DB0756">
            <w:pPr>
              <w:jc w:val="center"/>
              <w:rPr>
                <w:rFonts w:eastAsia="ArialMT"/>
                <w:bCs/>
                <w:sz w:val="18"/>
                <w:szCs w:val="18"/>
              </w:rPr>
            </w:pPr>
            <w:r w:rsidRPr="00B20679">
              <w:rPr>
                <w:rFonts w:eastAsia="ArialMT"/>
                <w:bCs/>
                <w:sz w:val="18"/>
                <w:szCs w:val="18"/>
              </w:rPr>
              <w:t>GTTGAATGAGCACTGGTTTGG</w:t>
            </w:r>
          </w:p>
        </w:tc>
        <w:tc>
          <w:tcPr>
            <w:tcW w:w="3402" w:type="dxa"/>
            <w:vAlign w:val="center"/>
          </w:tcPr>
          <w:p w:rsidR="009B3951" w:rsidRPr="00B20679" w:rsidRDefault="009B3951" w:rsidP="00DB0756">
            <w:pPr>
              <w:jc w:val="center"/>
              <w:rPr>
                <w:rFonts w:eastAsia="ArialMT"/>
                <w:bCs/>
                <w:sz w:val="18"/>
                <w:szCs w:val="18"/>
              </w:rPr>
            </w:pPr>
            <w:r w:rsidRPr="00B20679">
              <w:rPr>
                <w:rFonts w:eastAsia="ArialMT"/>
                <w:bCs/>
                <w:sz w:val="18"/>
                <w:szCs w:val="18"/>
              </w:rPr>
              <w:t>ACAATGAACGAGCAGGTATGG</w:t>
            </w:r>
          </w:p>
        </w:tc>
        <w:tc>
          <w:tcPr>
            <w:tcW w:w="1701" w:type="dxa"/>
            <w:vAlign w:val="center"/>
          </w:tcPr>
          <w:p w:rsidR="009B3951" w:rsidRPr="00B20679" w:rsidRDefault="009B3951" w:rsidP="005073B3">
            <w:pPr>
              <w:jc w:val="center"/>
              <w:rPr>
                <w:rFonts w:eastAsia="ArialMT"/>
                <w:bCs/>
                <w:sz w:val="18"/>
                <w:szCs w:val="18"/>
              </w:rPr>
            </w:pPr>
            <w:r w:rsidRPr="00B20679">
              <w:rPr>
                <w:rFonts w:eastAsia="ArialMT"/>
                <w:bCs/>
                <w:sz w:val="18"/>
                <w:szCs w:val="18"/>
              </w:rPr>
              <w:fldChar w:fldCharType="begin" w:fldLock="1"/>
            </w:r>
            <w:r w:rsidR="005073B3">
              <w:rPr>
                <w:rFonts w:eastAsia="ArialMT"/>
                <w:bCs/>
                <w:sz w:val="18"/>
                <w:szCs w:val="18"/>
              </w:rPr>
              <w:instrText>ADDIN CSL_CITATION { "citationItems" : [ { "id" : "ITEM-1", "itemData" : { "DOI" : "10.1111/j.1467-7652.2010.00547.x", "ISSN" : "1467-7652", "PMID" : "20642740", "abstract" : "Transcription factors have been shown to control the activity of multiple stress response genes in a coordinated manner and therefore represent attractive targets for application in molecular plant breeding. We investigated the possibility of modulating the transcriptional regulation of drought and cold responses in the agriculturally important species, wheat and barley, with a view to increase drought and frost tolerance. Transgenic wheat and barley plants were generated showing constitutive (double 35S) and drought-inducible (maize Rab17) expression of the TaDREB2 and TaDREB3 transcription factors isolated from wheat grain. Transgenic populations with constitutive over-expression showed slower growth, delayed flowering and lower grain yields relative to the nontransgenic controls. However, both the TaDREB2 and TaDREB3 transgenic plants showed improved survival under severe drought conditions relative to nontransgenic controls. There were two components to the drought tolerance: real (activation of drought-stress-inducible genes) and 'seeming' (consumption of less water as a result of smaller size and/or slower growth of transgenics compared to controls). The undesired changes in plant development associated with the 'seeming' component of tolerance could be alleviated by using a drought-inducible promoter. In addition to drought tolerance, both TaDREB2 and TaDREB3 transgenic plants with constitutive over-expression of the transgene showed a significant improvement in frost tolerance. The increased expression of TaDREB2 and TaDREB3 lead to elevated expression in the transgenics of 10 other CBF/DREB genes and a large number of stress responsive LEA/COR/DHN genes known to be responsible for the protection of cell from damage and desiccation under stress.", "author" : [ { "dropping-particle" : "", "family" : "Morran", "given" : "Sarah", "non-dropping-particle" : "", "parse-names" : false, "suffix" : "" }, { "dropping-particle" : "", "family" : "Eini", "given" : "Omid", "non-dropping-particle" : "", "parse-names" : false, "suffix" : "" }, { "dropping-particle" : "", "family" : "Pyvovarenko", "given" : "Tatiana", "non-dropping-particle" : "", "parse-names" : false, "suffix" : "" }, { "dropping-particle" : "", "family" : "Parent", "given" : "Boris", "non-dropping-particle" : "", "parse-names" : false, "suffix" : "" }, { "dropping-particle" : "", "family" : "Singh", "given" : "Rohan", "non-dropping-particle" : "", "parse-names" : false, "suffix" : "" }, { "dropping-particle" : "", "family" : "Ismagul", "given" : "Ainur", "non-dropping-particle" : "", "parse-names" : false, "suffix" : "" }, { "dropping-particle" : "", "family" : "Eliby", "given" : "Serik", "non-dropping-particle" : "", "parse-names" : false, "suffix" : "" }, { "dropping-particle" : "", "family" : "Shirley", "given" : "Neil", "non-dropping-particle" : "", "parse-names" : false, "suffix" : "" }, { "dropping-particle" : "", "family" : "Langridge", "given" : "Peter", "non-dropping-particle" : "", "parse-names" : false, "suffix" : "" }, { "dropping-particle" : "", "family" : "Lopato", "given" : "Sergiy", "non-dropping-particle" : "", "parse-names" : false, "suffix" : "" } ], "container-title" : "Plant Biotechnology Journal", "id" : "ITEM-1", "issue" : "2", "issued" : { "date-parts" : [ [ "2011", "2" ] ] }, "page" : "230-249", "title" : "Improvement of stress tolerance of wheat and barley by modulation of expression of DREB/CBF factors", "type" : "article-journal", "volume" : "9" }, "uris" : [ "http://www.mendeley.com/documents/?uuid=9ef1f678-d56e-4bf0-88fb-5b31cd43cbe6" ] } ], "mendeley" : { "formattedCitation" : "(Morran et al. 2011)", "manualFormatting" : "Morran et al. 2011", "plainTextFormattedCitation" : "(Morran et al. 2011)", "previouslyFormattedCitation" : "(Morran et al. 2011)" }, "properties" : { "noteIndex" : 0 }, "schema" : "https://github.com/citation-style-language/schema/raw/master/csl-citation.json" }</w:instrText>
            </w:r>
            <w:r w:rsidRPr="00B20679">
              <w:rPr>
                <w:rFonts w:eastAsia="ArialMT"/>
                <w:bCs/>
                <w:sz w:val="18"/>
                <w:szCs w:val="18"/>
              </w:rPr>
              <w:fldChar w:fldCharType="separate"/>
            </w:r>
            <w:r w:rsidR="00FC3962" w:rsidRPr="00FC3962">
              <w:rPr>
                <w:rFonts w:eastAsia="ArialMT"/>
                <w:bCs/>
                <w:noProof/>
                <w:sz w:val="18"/>
                <w:szCs w:val="18"/>
              </w:rPr>
              <w:t>Morran et al. 2011</w:t>
            </w:r>
            <w:r w:rsidRPr="00B20679">
              <w:rPr>
                <w:rFonts w:eastAsia="ArialMT"/>
                <w:bCs/>
                <w:sz w:val="18"/>
                <w:szCs w:val="18"/>
              </w:rPr>
              <w:fldChar w:fldCharType="end"/>
            </w:r>
          </w:p>
        </w:tc>
      </w:tr>
      <w:tr w:rsidR="009B3951" w:rsidRPr="006936C6" w:rsidTr="005073B3">
        <w:trPr>
          <w:jc w:val="center"/>
        </w:trPr>
        <w:tc>
          <w:tcPr>
            <w:tcW w:w="1134" w:type="dxa"/>
            <w:vAlign w:val="center"/>
          </w:tcPr>
          <w:p w:rsidR="009B3951" w:rsidRPr="00B20679" w:rsidRDefault="00C12A39" w:rsidP="00DB0756">
            <w:pPr>
              <w:jc w:val="center"/>
              <w:rPr>
                <w:rFonts w:eastAsia="ArialMT"/>
                <w:bCs/>
                <w:sz w:val="18"/>
                <w:szCs w:val="18"/>
              </w:rPr>
            </w:pPr>
            <w:r>
              <w:rPr>
                <w:rFonts w:eastAsia="ArialMT"/>
                <w:bCs/>
                <w:sz w:val="18"/>
                <w:szCs w:val="18"/>
              </w:rPr>
              <w:t>HvCRY1a</w:t>
            </w:r>
          </w:p>
        </w:tc>
        <w:tc>
          <w:tcPr>
            <w:tcW w:w="3402" w:type="dxa"/>
            <w:vAlign w:val="center"/>
          </w:tcPr>
          <w:p w:rsidR="009B3951" w:rsidRPr="00B20679" w:rsidRDefault="00C12A39" w:rsidP="00DB0756">
            <w:pPr>
              <w:jc w:val="center"/>
              <w:rPr>
                <w:rFonts w:eastAsia="ArialMT"/>
                <w:bCs/>
                <w:sz w:val="18"/>
                <w:szCs w:val="18"/>
              </w:rPr>
            </w:pPr>
            <w:r w:rsidRPr="00C12A39">
              <w:rPr>
                <w:rFonts w:eastAsia="ArialMT"/>
                <w:bCs/>
                <w:sz w:val="18"/>
                <w:szCs w:val="18"/>
              </w:rPr>
              <w:t>CACATGGAAGTGGACCGTGC</w:t>
            </w:r>
          </w:p>
        </w:tc>
        <w:tc>
          <w:tcPr>
            <w:tcW w:w="3402" w:type="dxa"/>
            <w:vAlign w:val="center"/>
          </w:tcPr>
          <w:p w:rsidR="009B3951" w:rsidRPr="00B20679" w:rsidRDefault="00C12A39" w:rsidP="00DB0756">
            <w:pPr>
              <w:jc w:val="center"/>
              <w:rPr>
                <w:rFonts w:eastAsia="ArialMT"/>
                <w:bCs/>
                <w:sz w:val="18"/>
                <w:szCs w:val="18"/>
              </w:rPr>
            </w:pPr>
            <w:r w:rsidRPr="00C12A39">
              <w:rPr>
                <w:rFonts w:eastAsia="ArialMT"/>
                <w:bCs/>
                <w:sz w:val="18"/>
                <w:szCs w:val="18"/>
              </w:rPr>
              <w:t>CGCTGGCAACTTGTTCCCTG</w:t>
            </w:r>
          </w:p>
        </w:tc>
        <w:tc>
          <w:tcPr>
            <w:tcW w:w="1701" w:type="dxa"/>
            <w:vAlign w:val="center"/>
          </w:tcPr>
          <w:p w:rsidR="00C12A39" w:rsidRPr="00C12A39" w:rsidRDefault="00C12A39" w:rsidP="00C12A39">
            <w:pPr>
              <w:jc w:val="center"/>
              <w:rPr>
                <w:rFonts w:eastAsia="ArialMT"/>
                <w:bCs/>
                <w:sz w:val="18"/>
                <w:szCs w:val="18"/>
                <w:lang w:val="hu-HU"/>
              </w:rPr>
            </w:pPr>
            <w:r w:rsidRPr="00C12A39">
              <w:rPr>
                <w:rFonts w:eastAsia="ArialMT"/>
                <w:bCs/>
                <w:sz w:val="18"/>
                <w:szCs w:val="18"/>
                <w:lang w:val="hu-HU"/>
              </w:rPr>
              <w:t>DQ201149.1</w:t>
            </w:r>
          </w:p>
          <w:p w:rsidR="009B3951" w:rsidRDefault="005B7602" w:rsidP="00DB0756">
            <w:pPr>
              <w:jc w:val="center"/>
              <w:rPr>
                <w:rFonts w:eastAsia="ArialMT"/>
                <w:bCs/>
                <w:sz w:val="18"/>
                <w:szCs w:val="18"/>
              </w:rPr>
            </w:pPr>
            <w:r w:rsidRPr="005B7602">
              <w:rPr>
                <w:rFonts w:eastAsia="ArialMT"/>
                <w:bCs/>
                <w:sz w:val="18"/>
                <w:szCs w:val="18"/>
              </w:rPr>
              <w:t>DQ201150.1</w:t>
            </w:r>
          </w:p>
          <w:p w:rsidR="005B7602" w:rsidRPr="005B7602" w:rsidRDefault="005B7602" w:rsidP="005B7602">
            <w:pPr>
              <w:jc w:val="center"/>
              <w:rPr>
                <w:rFonts w:eastAsia="ArialMT"/>
                <w:bCs/>
                <w:sz w:val="18"/>
                <w:szCs w:val="18"/>
                <w:lang w:val="hu-HU"/>
              </w:rPr>
            </w:pPr>
            <w:r w:rsidRPr="005B7602">
              <w:rPr>
                <w:rFonts w:eastAsia="ArialMT"/>
                <w:bCs/>
                <w:sz w:val="18"/>
                <w:szCs w:val="18"/>
                <w:lang w:val="hu-HU"/>
              </w:rPr>
              <w:t>DQ201151.1</w:t>
            </w:r>
          </w:p>
        </w:tc>
      </w:tr>
      <w:tr w:rsidR="009B3951" w:rsidRPr="006936C6" w:rsidTr="005073B3">
        <w:trPr>
          <w:jc w:val="center"/>
        </w:trPr>
        <w:tc>
          <w:tcPr>
            <w:tcW w:w="1134" w:type="dxa"/>
            <w:vAlign w:val="center"/>
          </w:tcPr>
          <w:p w:rsidR="009B3951" w:rsidRPr="00B20679" w:rsidRDefault="00C12A39" w:rsidP="00DB0756">
            <w:pPr>
              <w:jc w:val="center"/>
              <w:rPr>
                <w:rFonts w:eastAsia="ArialMT"/>
                <w:bCs/>
                <w:sz w:val="18"/>
                <w:szCs w:val="18"/>
              </w:rPr>
            </w:pPr>
            <w:r>
              <w:rPr>
                <w:rFonts w:eastAsia="ArialMT"/>
                <w:bCs/>
                <w:sz w:val="18"/>
                <w:szCs w:val="18"/>
              </w:rPr>
              <w:t>HvCRY1b</w:t>
            </w:r>
          </w:p>
        </w:tc>
        <w:tc>
          <w:tcPr>
            <w:tcW w:w="3402" w:type="dxa"/>
            <w:vAlign w:val="center"/>
          </w:tcPr>
          <w:p w:rsidR="009B3951" w:rsidRPr="00B20679" w:rsidRDefault="00C12A39" w:rsidP="00DB0756">
            <w:pPr>
              <w:jc w:val="center"/>
              <w:rPr>
                <w:rFonts w:eastAsia="ArialMT"/>
                <w:bCs/>
                <w:sz w:val="18"/>
                <w:szCs w:val="18"/>
              </w:rPr>
            </w:pPr>
            <w:r w:rsidRPr="00C12A39">
              <w:rPr>
                <w:rFonts w:eastAsia="ArialMT"/>
                <w:bCs/>
                <w:sz w:val="18"/>
                <w:szCs w:val="18"/>
              </w:rPr>
              <w:t>GATGGAAGTCCATTGGGAACC</w:t>
            </w:r>
          </w:p>
        </w:tc>
        <w:tc>
          <w:tcPr>
            <w:tcW w:w="3402" w:type="dxa"/>
            <w:vAlign w:val="center"/>
          </w:tcPr>
          <w:p w:rsidR="009B3951" w:rsidRPr="00B20679" w:rsidRDefault="00C12A39" w:rsidP="00DB0756">
            <w:pPr>
              <w:jc w:val="center"/>
              <w:rPr>
                <w:rFonts w:eastAsia="ArialMT"/>
                <w:bCs/>
                <w:sz w:val="18"/>
                <w:szCs w:val="18"/>
              </w:rPr>
            </w:pPr>
            <w:r w:rsidRPr="00C12A39">
              <w:rPr>
                <w:rFonts w:eastAsia="ArialMT"/>
                <w:bCs/>
                <w:sz w:val="18"/>
                <w:szCs w:val="18"/>
              </w:rPr>
              <w:t>CATACGGTGCTGAGGTTGCTG</w:t>
            </w:r>
          </w:p>
        </w:tc>
        <w:tc>
          <w:tcPr>
            <w:tcW w:w="1701" w:type="dxa"/>
            <w:vAlign w:val="center"/>
          </w:tcPr>
          <w:p w:rsidR="00C12A39" w:rsidRDefault="00C12A39" w:rsidP="00C12A39">
            <w:pPr>
              <w:jc w:val="center"/>
              <w:rPr>
                <w:rFonts w:eastAsia="ArialMT"/>
                <w:bCs/>
                <w:sz w:val="18"/>
                <w:szCs w:val="18"/>
                <w:lang w:val="hu-HU"/>
              </w:rPr>
            </w:pPr>
            <w:r w:rsidRPr="00C12A39">
              <w:rPr>
                <w:rFonts w:eastAsia="ArialMT"/>
                <w:bCs/>
                <w:sz w:val="18"/>
                <w:szCs w:val="18"/>
                <w:lang w:val="hu-HU"/>
              </w:rPr>
              <w:t>DQ201152.1</w:t>
            </w:r>
          </w:p>
          <w:p w:rsidR="00095847" w:rsidRPr="00C12A39" w:rsidRDefault="00095847" w:rsidP="00C12A39">
            <w:pPr>
              <w:jc w:val="center"/>
              <w:rPr>
                <w:rFonts w:eastAsia="ArialMT"/>
                <w:bCs/>
                <w:sz w:val="18"/>
                <w:szCs w:val="18"/>
                <w:lang w:val="hu-HU"/>
              </w:rPr>
            </w:pPr>
            <w:r w:rsidRPr="00C12A39">
              <w:rPr>
                <w:rFonts w:eastAsia="ArialMT"/>
                <w:bCs/>
                <w:sz w:val="18"/>
                <w:szCs w:val="18"/>
                <w:lang w:val="hu-HU"/>
              </w:rPr>
              <w:t>DQ201153.1</w:t>
            </w:r>
          </w:p>
          <w:p w:rsidR="009B3951" w:rsidRPr="00C12A39" w:rsidRDefault="00C12A39" w:rsidP="00095847">
            <w:pPr>
              <w:jc w:val="center"/>
              <w:rPr>
                <w:rFonts w:eastAsia="ArialMT"/>
                <w:bCs/>
                <w:sz w:val="18"/>
                <w:szCs w:val="18"/>
                <w:lang w:val="hu-HU"/>
              </w:rPr>
            </w:pPr>
            <w:r w:rsidRPr="00C12A39">
              <w:rPr>
                <w:rFonts w:eastAsia="ArialMT"/>
                <w:bCs/>
                <w:sz w:val="18"/>
                <w:szCs w:val="18"/>
                <w:lang w:val="hu-HU"/>
              </w:rPr>
              <w:t>DQ201154.1</w:t>
            </w:r>
          </w:p>
        </w:tc>
      </w:tr>
      <w:tr w:rsidR="00C12A39" w:rsidRPr="006936C6" w:rsidTr="008E5149">
        <w:trPr>
          <w:trHeight w:val="680"/>
          <w:jc w:val="center"/>
        </w:trPr>
        <w:tc>
          <w:tcPr>
            <w:tcW w:w="1134" w:type="dxa"/>
            <w:vAlign w:val="center"/>
          </w:tcPr>
          <w:p w:rsidR="00C12A39" w:rsidRDefault="00C12A39" w:rsidP="00DB0756">
            <w:pPr>
              <w:jc w:val="center"/>
              <w:rPr>
                <w:rFonts w:eastAsia="ArialMT"/>
                <w:bCs/>
                <w:sz w:val="18"/>
                <w:szCs w:val="18"/>
              </w:rPr>
            </w:pPr>
            <w:r>
              <w:rPr>
                <w:rFonts w:eastAsia="ArialMT"/>
                <w:bCs/>
                <w:sz w:val="18"/>
                <w:szCs w:val="18"/>
              </w:rPr>
              <w:t>HvCRY2</w:t>
            </w:r>
          </w:p>
        </w:tc>
        <w:tc>
          <w:tcPr>
            <w:tcW w:w="3402" w:type="dxa"/>
            <w:vAlign w:val="center"/>
          </w:tcPr>
          <w:p w:rsidR="00C12A39" w:rsidRPr="00C12A39" w:rsidRDefault="00C12A39" w:rsidP="00DB0756">
            <w:pPr>
              <w:jc w:val="center"/>
              <w:rPr>
                <w:rFonts w:eastAsia="ArialMT"/>
                <w:bCs/>
                <w:sz w:val="18"/>
                <w:szCs w:val="18"/>
              </w:rPr>
            </w:pPr>
            <w:r w:rsidRPr="00C12A39">
              <w:rPr>
                <w:rFonts w:eastAsia="ArialMT"/>
                <w:bCs/>
                <w:sz w:val="18"/>
                <w:szCs w:val="18"/>
              </w:rPr>
              <w:t>GGCTCGCGAGTGCTTAGATG</w:t>
            </w:r>
          </w:p>
        </w:tc>
        <w:tc>
          <w:tcPr>
            <w:tcW w:w="3402" w:type="dxa"/>
            <w:vAlign w:val="center"/>
          </w:tcPr>
          <w:p w:rsidR="00C12A39" w:rsidRPr="00C12A39" w:rsidRDefault="00C12A39" w:rsidP="00DB0756">
            <w:pPr>
              <w:jc w:val="center"/>
              <w:rPr>
                <w:rFonts w:eastAsia="ArialMT"/>
                <w:bCs/>
                <w:sz w:val="18"/>
                <w:szCs w:val="18"/>
              </w:rPr>
            </w:pPr>
            <w:r w:rsidRPr="00C12A39">
              <w:rPr>
                <w:rFonts w:eastAsia="ArialMT"/>
                <w:bCs/>
                <w:sz w:val="18"/>
                <w:szCs w:val="18"/>
              </w:rPr>
              <w:t>GGAGCACTTGGAGATAGTTCCTTC</w:t>
            </w:r>
          </w:p>
        </w:tc>
        <w:tc>
          <w:tcPr>
            <w:tcW w:w="1701" w:type="dxa"/>
            <w:vAlign w:val="center"/>
          </w:tcPr>
          <w:p w:rsidR="00B44134" w:rsidRPr="00B44134" w:rsidRDefault="00B44134" w:rsidP="00B44134">
            <w:pPr>
              <w:jc w:val="center"/>
              <w:rPr>
                <w:rFonts w:eastAsia="ArialMT"/>
                <w:bCs/>
                <w:sz w:val="18"/>
                <w:szCs w:val="18"/>
                <w:lang w:val="hu-HU"/>
              </w:rPr>
            </w:pPr>
            <w:r w:rsidRPr="00B44134">
              <w:rPr>
                <w:rFonts w:eastAsia="ArialMT"/>
                <w:bCs/>
                <w:sz w:val="18"/>
                <w:szCs w:val="18"/>
                <w:lang w:val="hu-HU"/>
              </w:rPr>
              <w:t>DQ201155.1</w:t>
            </w:r>
          </w:p>
          <w:p w:rsidR="00C12A39" w:rsidRPr="00B44134" w:rsidRDefault="00B44134" w:rsidP="00B44134">
            <w:pPr>
              <w:jc w:val="center"/>
              <w:rPr>
                <w:rFonts w:eastAsia="ArialMT"/>
                <w:bCs/>
                <w:sz w:val="18"/>
                <w:szCs w:val="18"/>
                <w:lang w:val="hu-HU"/>
              </w:rPr>
            </w:pPr>
            <w:r w:rsidRPr="00B44134">
              <w:rPr>
                <w:rFonts w:eastAsia="ArialMT"/>
                <w:bCs/>
                <w:sz w:val="18"/>
                <w:szCs w:val="18"/>
                <w:lang w:val="hu-HU"/>
              </w:rPr>
              <w:t>DQ201156.1</w:t>
            </w:r>
          </w:p>
        </w:tc>
      </w:tr>
      <w:tr w:rsidR="009B3951" w:rsidRPr="006936C6" w:rsidTr="005073B3">
        <w:trPr>
          <w:trHeight w:hRule="exact" w:val="567"/>
          <w:jc w:val="center"/>
        </w:trPr>
        <w:tc>
          <w:tcPr>
            <w:tcW w:w="1134" w:type="dxa"/>
            <w:vAlign w:val="center"/>
          </w:tcPr>
          <w:p w:rsidR="009B3951" w:rsidRPr="00B20679" w:rsidRDefault="009B3951" w:rsidP="00DB0756">
            <w:pPr>
              <w:jc w:val="center"/>
              <w:rPr>
                <w:rFonts w:eastAsia="ArialMT"/>
                <w:bCs/>
                <w:sz w:val="18"/>
                <w:szCs w:val="18"/>
              </w:rPr>
            </w:pPr>
            <w:r w:rsidRPr="00B20679">
              <w:rPr>
                <w:rFonts w:eastAsia="ArialMT"/>
                <w:bCs/>
                <w:sz w:val="18"/>
                <w:szCs w:val="18"/>
              </w:rPr>
              <w:t>PHYA</w:t>
            </w:r>
          </w:p>
        </w:tc>
        <w:tc>
          <w:tcPr>
            <w:tcW w:w="3402" w:type="dxa"/>
            <w:vAlign w:val="center"/>
          </w:tcPr>
          <w:p w:rsidR="009B3951" w:rsidRPr="00B20679" w:rsidRDefault="009B3951" w:rsidP="00DB0756">
            <w:pPr>
              <w:jc w:val="center"/>
              <w:rPr>
                <w:rFonts w:eastAsia="ArialMT"/>
                <w:bCs/>
                <w:sz w:val="18"/>
                <w:szCs w:val="18"/>
              </w:rPr>
            </w:pPr>
            <w:r w:rsidRPr="00B20679">
              <w:rPr>
                <w:rFonts w:eastAsia="ArialMT"/>
                <w:bCs/>
                <w:sz w:val="18"/>
                <w:szCs w:val="18"/>
              </w:rPr>
              <w:t>TGCAGCACATTCAGAGAGGG</w:t>
            </w:r>
          </w:p>
        </w:tc>
        <w:tc>
          <w:tcPr>
            <w:tcW w:w="3402" w:type="dxa"/>
            <w:vAlign w:val="center"/>
          </w:tcPr>
          <w:p w:rsidR="009B3951" w:rsidRPr="00B20679" w:rsidRDefault="009B3951" w:rsidP="00DB0756">
            <w:pPr>
              <w:jc w:val="center"/>
              <w:rPr>
                <w:rFonts w:eastAsia="ArialMT"/>
                <w:bCs/>
                <w:sz w:val="18"/>
                <w:szCs w:val="18"/>
              </w:rPr>
            </w:pPr>
            <w:r w:rsidRPr="00B20679">
              <w:rPr>
                <w:rFonts w:eastAsia="ArialMT"/>
                <w:bCs/>
                <w:sz w:val="18"/>
                <w:szCs w:val="18"/>
              </w:rPr>
              <w:t>CCCTAGTGCCTTGTGCAGAG</w:t>
            </w:r>
          </w:p>
        </w:tc>
        <w:tc>
          <w:tcPr>
            <w:tcW w:w="1701" w:type="dxa"/>
            <w:vAlign w:val="center"/>
          </w:tcPr>
          <w:p w:rsidR="009B3951" w:rsidRPr="00B20679" w:rsidRDefault="00FC3962" w:rsidP="005073B3">
            <w:pPr>
              <w:jc w:val="center"/>
              <w:rPr>
                <w:rFonts w:eastAsia="ArialMT"/>
                <w:bCs/>
                <w:sz w:val="18"/>
                <w:szCs w:val="18"/>
              </w:rPr>
            </w:pPr>
            <w:r>
              <w:rPr>
                <w:rFonts w:eastAsia="ArialMT"/>
                <w:bCs/>
                <w:sz w:val="18"/>
                <w:szCs w:val="18"/>
              </w:rPr>
              <w:fldChar w:fldCharType="begin" w:fldLock="1"/>
            </w:r>
            <w:r w:rsidR="005073B3">
              <w:rPr>
                <w:rFonts w:eastAsia="ArialMT"/>
                <w:bCs/>
                <w:sz w:val="18"/>
                <w:szCs w:val="18"/>
              </w:rPr>
              <w:instrText>ADDIN CSL_CITATION { "citationItems" : [ { "id" : "ITEM-1", "itemData" : { "DOI" : "10.1093/jxb/erv526", "author" : [ { "dropping-particle" : "", "family" : "Nov\u00e1k", "given" : "Aliz", "non-dropping-particle" : "", "parse-names" : false, "suffix" : "" }, { "dropping-particle" : "", "family" : "Boldizs\u00e1r", "given" : "\u00c1kos", "non-dropping-particle" : "", "parse-names" : false, "suffix" : "" }, { "dropping-particle" : "", "family" : "\u00c1d\u00e1m", "given" : "\u00c9va", "non-dropping-particle" : "", "parse-names" : false, "suffix" : "" }, { "dropping-particle" : "", "family" : "Kozma-Bogn\u00e1r", "given" : "L\u00e1szl\u00f3", "non-dropping-particle" : "", "parse-names" : false, "suffix" : "" }, { "dropping-particle" : "", "family" : "Majl\u00e1th", "given" : "Imre", "non-dropping-particle" : "", "parse-names" : false, "suffix" : "" }, { "dropping-particle" : "", "family" : "B\u00e5ga", "given" : "Monica", "non-dropping-particle" : "", "parse-names" : false, "suffix" : "" }, { "dropping-particle" : "", "family" : "T\u00f3th", "given" : "Bal\u00e1zs", "non-dropping-particle" : "", "parse-names" : false, "suffix" : "" }, { "dropping-particle" : "", "family" : "Chibbar", "given" : "Ravindra", "non-dropping-particle" : "", "parse-names" : false, "suffix" : "" }, { "dropping-particle" : "", "family" : "Galiba", "given" : "G\u00e1bor", "non-dropping-particle" : "", "parse-names" : false, "suffix" : "" } ], "container-title" : "Journal of Experimental Botany", "id" : "ITEM-1", "issued" : { "date-parts" : [ [ "2016" ] ] }, "note" : "OsDREB1A -&amp;gt; OsDREB1G az At DREB1/CBF homol\u00f3gjai, sz\u00e1razs\u00e1g-, oxidat\u00edv-, mechanikai- \u00e9s egy\u00e9b stresszekben induk\u00e1l\u00f3dik\n\nrizsben 3 phy g\u00e9n van phyA-phyB \u00e9s phyC\nha v\u00f6r\u00f6s f\u00e9ny \u00e9ri akt\u00edv (Pfr) form\u00e1ba ker\u00fclnek, bejutnak a sejtmagba ahol t\u00f6bbek k\u00f6z\u00f6tt olyan transzkripci\u00f3s faktorokkal l\u00e9pnek k\u00f6lcs\u00f6nhat\u00e1sba, mint a bHLH (basic helix-loop-helix) transzkripci\u00f3s faktorok, melyek egyik t\u00edpus\u00e1t a phytochrome interacting factors (PIF) adj\u00e1k\na Pfr+PIF kapcsolat eredm\u00e9nye, hogy a PIF-ek proteoszom\u00e1kban lebont\u00e1sra ker\u00fclnek", "page" : "1285-1295", "title" : "Light-quality and temperature-dependent &lt;i&gt;CBF14&lt;/i&gt; gene expression modulates freezing tolerance in cereals", "type" : "article-journal", "volume" : "67" }, "uris" : [ "http://www.mendeley.com/documents/?uuid=619ad809-810d-45b6-b2d6-3c3460bc9a8b" ] } ], "mendeley" : { "formattedCitation" : "(Nov\u00e1k et al. 2016)", "manualFormatting" : "Nov\u00e1k et al. 2016", "plainTextFormattedCitation" : "(Nov\u00e1k et al. 2016)", "previouslyFormattedCitation" : "(Nov\u00e1k et al. 2016)" }, "properties" : { "noteIndex" : 0 }, "schema" : "https://github.com/citation-style-language/schema/raw/master/csl-citation.json" }</w:instrText>
            </w:r>
            <w:r>
              <w:rPr>
                <w:rFonts w:eastAsia="ArialMT"/>
                <w:bCs/>
                <w:sz w:val="18"/>
                <w:szCs w:val="18"/>
              </w:rPr>
              <w:fldChar w:fldCharType="separate"/>
            </w:r>
            <w:r w:rsidRPr="00FC3962">
              <w:rPr>
                <w:rFonts w:eastAsia="ArialMT"/>
                <w:bCs/>
                <w:noProof/>
                <w:sz w:val="18"/>
                <w:szCs w:val="18"/>
              </w:rPr>
              <w:t>Novák et al. 2016</w:t>
            </w:r>
            <w:r>
              <w:rPr>
                <w:rFonts w:eastAsia="ArialMT"/>
                <w:bCs/>
                <w:sz w:val="18"/>
                <w:szCs w:val="18"/>
              </w:rPr>
              <w:fldChar w:fldCharType="end"/>
            </w:r>
          </w:p>
        </w:tc>
      </w:tr>
      <w:tr w:rsidR="009B3951" w:rsidRPr="006936C6" w:rsidTr="005073B3">
        <w:trPr>
          <w:trHeight w:hRule="exact" w:val="567"/>
          <w:jc w:val="center"/>
        </w:trPr>
        <w:tc>
          <w:tcPr>
            <w:tcW w:w="1134" w:type="dxa"/>
            <w:vAlign w:val="center"/>
          </w:tcPr>
          <w:p w:rsidR="009B3951" w:rsidRPr="00B20679" w:rsidRDefault="009B3951" w:rsidP="00DB0756">
            <w:pPr>
              <w:jc w:val="center"/>
              <w:rPr>
                <w:rFonts w:eastAsia="ArialMT"/>
                <w:bCs/>
                <w:sz w:val="18"/>
                <w:szCs w:val="18"/>
              </w:rPr>
            </w:pPr>
            <w:r w:rsidRPr="00B20679">
              <w:rPr>
                <w:rFonts w:eastAsia="ArialMT"/>
                <w:bCs/>
                <w:sz w:val="18"/>
                <w:szCs w:val="18"/>
              </w:rPr>
              <w:t>PHYB</w:t>
            </w:r>
          </w:p>
        </w:tc>
        <w:tc>
          <w:tcPr>
            <w:tcW w:w="3402" w:type="dxa"/>
            <w:vAlign w:val="center"/>
          </w:tcPr>
          <w:p w:rsidR="009B3951" w:rsidRPr="00B20679" w:rsidRDefault="009B3951" w:rsidP="00DB0756">
            <w:pPr>
              <w:jc w:val="center"/>
              <w:rPr>
                <w:rFonts w:eastAsia="ArialMT"/>
                <w:bCs/>
                <w:sz w:val="18"/>
                <w:szCs w:val="18"/>
              </w:rPr>
            </w:pPr>
            <w:r w:rsidRPr="00B20679">
              <w:rPr>
                <w:rFonts w:eastAsia="ArialMT"/>
                <w:bCs/>
                <w:sz w:val="18"/>
                <w:szCs w:val="18"/>
              </w:rPr>
              <w:t>GACCTGTCGCCTCACCACT</w:t>
            </w:r>
          </w:p>
        </w:tc>
        <w:tc>
          <w:tcPr>
            <w:tcW w:w="3402" w:type="dxa"/>
            <w:vAlign w:val="center"/>
          </w:tcPr>
          <w:p w:rsidR="009B3951" w:rsidRPr="00B20679" w:rsidRDefault="009B3951" w:rsidP="00DB0756">
            <w:pPr>
              <w:jc w:val="center"/>
              <w:rPr>
                <w:rFonts w:eastAsia="ArialMT"/>
                <w:bCs/>
                <w:sz w:val="18"/>
                <w:szCs w:val="18"/>
              </w:rPr>
            </w:pPr>
            <w:r w:rsidRPr="00B20679">
              <w:rPr>
                <w:rFonts w:eastAsia="ArialMT"/>
                <w:bCs/>
                <w:sz w:val="18"/>
                <w:szCs w:val="18"/>
              </w:rPr>
              <w:t>CAGCGAGATCTCCCGTGC</w:t>
            </w:r>
          </w:p>
        </w:tc>
        <w:tc>
          <w:tcPr>
            <w:tcW w:w="1701" w:type="dxa"/>
            <w:vAlign w:val="center"/>
          </w:tcPr>
          <w:p w:rsidR="009B3951" w:rsidRPr="00B20679" w:rsidRDefault="00FC3962" w:rsidP="005073B3">
            <w:pPr>
              <w:jc w:val="center"/>
              <w:rPr>
                <w:rFonts w:eastAsia="ArialMT"/>
                <w:bCs/>
                <w:sz w:val="18"/>
                <w:szCs w:val="18"/>
              </w:rPr>
            </w:pPr>
            <w:r>
              <w:rPr>
                <w:rFonts w:eastAsia="ArialMT"/>
                <w:bCs/>
                <w:sz w:val="18"/>
                <w:szCs w:val="18"/>
              </w:rPr>
              <w:fldChar w:fldCharType="begin" w:fldLock="1"/>
            </w:r>
            <w:r w:rsidR="005073B3">
              <w:rPr>
                <w:rFonts w:eastAsia="ArialMT"/>
                <w:bCs/>
                <w:sz w:val="18"/>
                <w:szCs w:val="18"/>
              </w:rPr>
              <w:instrText>ADDIN CSL_CITATION { "citationItems" : [ { "id" : "ITEM-1", "itemData" : { "DOI" : "10.1093/jxb/erv526", "author" : [ { "dropping-particle" : "", "family" : "Nov\u00e1k", "given" : "Aliz", "non-dropping-particle" : "", "parse-names" : false, "suffix" : "" }, { "dropping-particle" : "", "family" : "Boldizs\u00e1r", "given" : "\u00c1kos", "non-dropping-particle" : "", "parse-names" : false, "suffix" : "" }, { "dropping-particle" : "", "family" : "\u00c1d\u00e1m", "given" : "\u00c9va", "non-dropping-particle" : "", "parse-names" : false, "suffix" : "" }, { "dropping-particle" : "", "family" : "Kozma-Bogn\u00e1r", "given" : "L\u00e1szl\u00f3", "non-dropping-particle" : "", "parse-names" : false, "suffix" : "" }, { "dropping-particle" : "", "family" : "Majl\u00e1th", "given" : "Imre", "non-dropping-particle" : "", "parse-names" : false, "suffix" : "" }, { "dropping-particle" : "", "family" : "B\u00e5ga", "given" : "Monica", "non-dropping-particle" : "", "parse-names" : false, "suffix" : "" }, { "dropping-particle" : "", "family" : "T\u00f3th", "given" : "Bal\u00e1zs", "non-dropping-particle" : "", "parse-names" : false, "suffix" : "" }, { "dropping-particle" : "", "family" : "Chibbar", "given" : "Ravindra", "non-dropping-particle" : "", "parse-names" : false, "suffix" : "" }, { "dropping-particle" : "", "family" : "Galiba", "given" : "G\u00e1bor", "non-dropping-particle" : "", "parse-names" : false, "suffix" : "" } ], "container-title" : "Journal of Experimental Botany", "id" : "ITEM-1", "issued" : { "date-parts" : [ [ "2016" ] ] }, "note" : "OsDREB1A -&amp;gt; OsDREB1G az At DREB1/CBF homol\u00f3gjai, sz\u00e1razs\u00e1g-, oxidat\u00edv-, mechanikai- \u00e9s egy\u00e9b stresszekben induk\u00e1l\u00f3dik\n\nrizsben 3 phy g\u00e9n van phyA-phyB \u00e9s phyC\nha v\u00f6r\u00f6s f\u00e9ny \u00e9ri akt\u00edv (Pfr) form\u00e1ba ker\u00fclnek, bejutnak a sejtmagba ahol t\u00f6bbek k\u00f6z\u00f6tt olyan transzkripci\u00f3s faktorokkal l\u00e9pnek k\u00f6lcs\u00f6nhat\u00e1sba, mint a bHLH (basic helix-loop-helix) transzkripci\u00f3s faktorok, melyek egyik t\u00edpus\u00e1t a phytochrome interacting factors (PIF) adj\u00e1k\na Pfr+PIF kapcsolat eredm\u00e9nye, hogy a PIF-ek proteoszom\u00e1kban lebont\u00e1sra ker\u00fclnek", "page" : "1285-1295", "title" : "Light-quality and temperature-dependent &lt;i&gt;CBF14&lt;/i&gt; gene expression modulates freezing tolerance in cereals", "type" : "article-journal", "volume" : "67" }, "uris" : [ "http://www.mendeley.com/documents/?uuid=619ad809-810d-45b6-b2d6-3c3460bc9a8b" ] } ], "mendeley" : { "formattedCitation" : "(Nov\u00e1k et al. 2016)", "manualFormatting" : "Nov\u00e1k et al. 2016", "plainTextFormattedCitation" : "(Nov\u00e1k et al. 2016)", "previouslyFormattedCitation" : "(Nov\u00e1k et al. 2016)" }, "properties" : { "noteIndex" : 0 }, "schema" : "https://github.com/citation-style-language/schema/raw/master/csl-citation.json" }</w:instrText>
            </w:r>
            <w:r>
              <w:rPr>
                <w:rFonts w:eastAsia="ArialMT"/>
                <w:bCs/>
                <w:sz w:val="18"/>
                <w:szCs w:val="18"/>
              </w:rPr>
              <w:fldChar w:fldCharType="separate"/>
            </w:r>
            <w:r w:rsidRPr="00FC3962">
              <w:rPr>
                <w:rFonts w:eastAsia="ArialMT"/>
                <w:bCs/>
                <w:noProof/>
                <w:sz w:val="18"/>
                <w:szCs w:val="18"/>
              </w:rPr>
              <w:t>Novák et al. 2016</w:t>
            </w:r>
            <w:r>
              <w:rPr>
                <w:rFonts w:eastAsia="ArialMT"/>
                <w:bCs/>
                <w:sz w:val="18"/>
                <w:szCs w:val="18"/>
              </w:rPr>
              <w:fldChar w:fldCharType="end"/>
            </w:r>
          </w:p>
        </w:tc>
      </w:tr>
      <w:tr w:rsidR="009B3951" w:rsidRPr="006936C6" w:rsidTr="005073B3">
        <w:trPr>
          <w:trHeight w:hRule="exact" w:val="567"/>
          <w:jc w:val="center"/>
        </w:trPr>
        <w:tc>
          <w:tcPr>
            <w:tcW w:w="1134" w:type="dxa"/>
            <w:vAlign w:val="center"/>
          </w:tcPr>
          <w:p w:rsidR="009B3951" w:rsidRPr="00B20679" w:rsidRDefault="009B3951" w:rsidP="00DB0756">
            <w:pPr>
              <w:jc w:val="center"/>
              <w:rPr>
                <w:rFonts w:eastAsia="ArialMT"/>
                <w:bCs/>
                <w:sz w:val="18"/>
                <w:szCs w:val="18"/>
              </w:rPr>
            </w:pPr>
            <w:r w:rsidRPr="00B20679">
              <w:rPr>
                <w:rFonts w:eastAsia="ArialMT"/>
                <w:bCs/>
                <w:sz w:val="18"/>
                <w:szCs w:val="18"/>
              </w:rPr>
              <w:t>PHYC</w:t>
            </w:r>
          </w:p>
        </w:tc>
        <w:tc>
          <w:tcPr>
            <w:tcW w:w="3402" w:type="dxa"/>
            <w:vAlign w:val="center"/>
          </w:tcPr>
          <w:p w:rsidR="009B3951" w:rsidRPr="00B20679" w:rsidRDefault="009B3951" w:rsidP="00DB0756">
            <w:pPr>
              <w:jc w:val="center"/>
              <w:rPr>
                <w:rFonts w:eastAsia="ArialMT"/>
                <w:bCs/>
                <w:sz w:val="18"/>
                <w:szCs w:val="18"/>
              </w:rPr>
            </w:pPr>
            <w:r w:rsidRPr="00B20679">
              <w:rPr>
                <w:rFonts w:eastAsia="ArialMT"/>
                <w:bCs/>
                <w:sz w:val="18"/>
                <w:szCs w:val="18"/>
              </w:rPr>
              <w:t>TCCAAGCACAGCGAGCG</w:t>
            </w:r>
          </w:p>
        </w:tc>
        <w:tc>
          <w:tcPr>
            <w:tcW w:w="3402" w:type="dxa"/>
            <w:vAlign w:val="center"/>
          </w:tcPr>
          <w:p w:rsidR="009B3951" w:rsidRPr="00B20679" w:rsidRDefault="009B3951" w:rsidP="00DB0756">
            <w:pPr>
              <w:jc w:val="center"/>
              <w:rPr>
                <w:rFonts w:eastAsia="ArialMT"/>
                <w:bCs/>
                <w:sz w:val="18"/>
                <w:szCs w:val="18"/>
              </w:rPr>
            </w:pPr>
            <w:r w:rsidRPr="00B20679">
              <w:rPr>
                <w:rFonts w:eastAsia="ArialMT"/>
                <w:bCs/>
                <w:sz w:val="18"/>
                <w:szCs w:val="18"/>
              </w:rPr>
              <w:t>GGTTGACCTCCCCGAAGAC</w:t>
            </w:r>
          </w:p>
        </w:tc>
        <w:tc>
          <w:tcPr>
            <w:tcW w:w="1701" w:type="dxa"/>
            <w:vAlign w:val="center"/>
          </w:tcPr>
          <w:p w:rsidR="009B3951" w:rsidRPr="00B20679" w:rsidRDefault="00FC3962" w:rsidP="005073B3">
            <w:pPr>
              <w:jc w:val="center"/>
              <w:rPr>
                <w:rFonts w:eastAsia="ArialMT"/>
                <w:bCs/>
                <w:sz w:val="18"/>
                <w:szCs w:val="18"/>
              </w:rPr>
            </w:pPr>
            <w:r>
              <w:rPr>
                <w:rFonts w:eastAsia="ArialMT"/>
                <w:bCs/>
                <w:sz w:val="18"/>
                <w:szCs w:val="18"/>
              </w:rPr>
              <w:fldChar w:fldCharType="begin" w:fldLock="1"/>
            </w:r>
            <w:r w:rsidR="005073B3">
              <w:rPr>
                <w:rFonts w:eastAsia="ArialMT"/>
                <w:bCs/>
                <w:sz w:val="18"/>
                <w:szCs w:val="18"/>
              </w:rPr>
              <w:instrText>ADDIN CSL_CITATION { "citationItems" : [ { "id" : "ITEM-1", "itemData" : { "DOI" : "10.1093/jxb/erv526", "author" : [ { "dropping-particle" : "", "family" : "Nov\u00e1k", "given" : "Aliz", "non-dropping-particle" : "", "parse-names" : false, "suffix" : "" }, { "dropping-particle" : "", "family" : "Boldizs\u00e1r", "given" : "\u00c1kos", "non-dropping-particle" : "", "parse-names" : false, "suffix" : "" }, { "dropping-particle" : "", "family" : "\u00c1d\u00e1m", "given" : "\u00c9va", "non-dropping-particle" : "", "parse-names" : false, "suffix" : "" }, { "dropping-particle" : "", "family" : "Kozma-Bogn\u00e1r", "given" : "L\u00e1szl\u00f3", "non-dropping-particle" : "", "parse-names" : false, "suffix" : "" }, { "dropping-particle" : "", "family" : "Majl\u00e1th", "given" : "Imre", "non-dropping-particle" : "", "parse-names" : false, "suffix" : "" }, { "dropping-particle" : "", "family" : "B\u00e5ga", "given" : "Monica", "non-dropping-particle" : "", "parse-names" : false, "suffix" : "" }, { "dropping-particle" : "", "family" : "T\u00f3th", "given" : "Bal\u00e1zs", "non-dropping-particle" : "", "parse-names" : false, "suffix" : "" }, { "dropping-particle" : "", "family" : "Chibbar", "given" : "Ravindra", "non-dropping-particle" : "", "parse-names" : false, "suffix" : "" }, { "dropping-particle" : "", "family" : "Galiba", "given" : "G\u00e1bor", "non-dropping-particle" : "", "parse-names" : false, "suffix" : "" } ], "container-title" : "Journal of Experimental Botany", "id" : "ITEM-1", "issued" : { "date-parts" : [ [ "2016" ] ] }, "note" : "OsDREB1A -&amp;gt; OsDREB1G az At DREB1/CBF homol\u00f3gjai, sz\u00e1razs\u00e1g-, oxidat\u00edv-, mechanikai- \u00e9s egy\u00e9b stresszekben induk\u00e1l\u00f3dik\n\nrizsben 3 phy g\u00e9n van phyA-phyB \u00e9s phyC\nha v\u00f6r\u00f6s f\u00e9ny \u00e9ri akt\u00edv (Pfr) form\u00e1ba ker\u00fclnek, bejutnak a sejtmagba ahol t\u00f6bbek k\u00f6z\u00f6tt olyan transzkripci\u00f3s faktorokkal l\u00e9pnek k\u00f6lcs\u00f6nhat\u00e1sba, mint a bHLH (basic helix-loop-helix) transzkripci\u00f3s faktorok, melyek egyik t\u00edpus\u00e1t a phytochrome interacting factors (PIF) adj\u00e1k\na Pfr+PIF kapcsolat eredm\u00e9nye, hogy a PIF-ek proteoszom\u00e1kban lebont\u00e1sra ker\u00fclnek", "page" : "1285-1295", "title" : "Light-quality and temperature-dependent &lt;i&gt;CBF14&lt;/i&gt; gene expression modulates freezing tolerance in cereals", "type" : "article-journal", "volume" : "67" }, "uris" : [ "http://www.mendeley.com/documents/?uuid=619ad809-810d-45b6-b2d6-3c3460bc9a8b" ] } ], "mendeley" : { "formattedCitation" : "(Nov\u00e1k et al. 2016)", "manualFormatting" : "Nov\u00e1k et al. 2016", "plainTextFormattedCitation" : "(Nov\u00e1k et al. 2016)", "previouslyFormattedCitation" : "(Nov\u00e1k et al. 2016)" }, "properties" : { "noteIndex" : 0 }, "schema" : "https://github.com/citation-style-language/schema/raw/master/csl-citation.json" }</w:instrText>
            </w:r>
            <w:r>
              <w:rPr>
                <w:rFonts w:eastAsia="ArialMT"/>
                <w:bCs/>
                <w:sz w:val="18"/>
                <w:szCs w:val="18"/>
              </w:rPr>
              <w:fldChar w:fldCharType="separate"/>
            </w:r>
            <w:r w:rsidRPr="00FC3962">
              <w:rPr>
                <w:rFonts w:eastAsia="ArialMT"/>
                <w:bCs/>
                <w:noProof/>
                <w:sz w:val="18"/>
                <w:szCs w:val="18"/>
              </w:rPr>
              <w:t>Novák et al. 2016</w:t>
            </w:r>
            <w:r>
              <w:rPr>
                <w:rFonts w:eastAsia="ArialMT"/>
                <w:bCs/>
                <w:sz w:val="18"/>
                <w:szCs w:val="18"/>
              </w:rPr>
              <w:fldChar w:fldCharType="end"/>
            </w:r>
          </w:p>
        </w:tc>
      </w:tr>
      <w:tr w:rsidR="0027479A" w:rsidRPr="006936C6" w:rsidTr="005073B3">
        <w:trPr>
          <w:trHeight w:hRule="exact" w:val="567"/>
          <w:jc w:val="center"/>
        </w:trPr>
        <w:tc>
          <w:tcPr>
            <w:tcW w:w="1134" w:type="dxa"/>
            <w:vAlign w:val="center"/>
          </w:tcPr>
          <w:p w:rsidR="0027479A" w:rsidRPr="00B20679" w:rsidRDefault="0027479A" w:rsidP="00DB0756">
            <w:pPr>
              <w:jc w:val="center"/>
              <w:rPr>
                <w:rFonts w:eastAsia="ArialMT"/>
                <w:bCs/>
                <w:sz w:val="18"/>
                <w:szCs w:val="18"/>
              </w:rPr>
            </w:pPr>
            <w:r>
              <w:rPr>
                <w:rFonts w:eastAsia="ArialMT"/>
                <w:bCs/>
                <w:sz w:val="18"/>
                <w:szCs w:val="18"/>
              </w:rPr>
              <w:t>R2R3-MYB</w:t>
            </w:r>
          </w:p>
        </w:tc>
        <w:tc>
          <w:tcPr>
            <w:tcW w:w="3402" w:type="dxa"/>
            <w:vAlign w:val="center"/>
          </w:tcPr>
          <w:p w:rsidR="0027479A" w:rsidRPr="00B20679" w:rsidRDefault="0027479A" w:rsidP="00DB0756">
            <w:pPr>
              <w:jc w:val="center"/>
              <w:rPr>
                <w:rFonts w:eastAsia="ArialMT"/>
                <w:bCs/>
                <w:sz w:val="18"/>
                <w:szCs w:val="18"/>
              </w:rPr>
            </w:pPr>
            <w:r w:rsidRPr="0027479A">
              <w:rPr>
                <w:rFonts w:eastAsia="ArialMT"/>
                <w:bCs/>
                <w:sz w:val="18"/>
                <w:szCs w:val="18"/>
              </w:rPr>
              <w:t>TTGGTCGTCGATCCTCCACAG</w:t>
            </w:r>
          </w:p>
        </w:tc>
        <w:tc>
          <w:tcPr>
            <w:tcW w:w="3402" w:type="dxa"/>
            <w:vAlign w:val="center"/>
          </w:tcPr>
          <w:p w:rsidR="0027479A" w:rsidRPr="00B20679" w:rsidRDefault="0027479A" w:rsidP="00DB0756">
            <w:pPr>
              <w:jc w:val="center"/>
              <w:rPr>
                <w:rFonts w:eastAsia="ArialMT"/>
                <w:bCs/>
                <w:sz w:val="18"/>
                <w:szCs w:val="18"/>
              </w:rPr>
            </w:pPr>
            <w:r w:rsidRPr="0027479A">
              <w:rPr>
                <w:rFonts w:eastAsia="ArialMT"/>
                <w:bCs/>
                <w:sz w:val="18"/>
                <w:szCs w:val="18"/>
              </w:rPr>
              <w:t>GAGGAGAAGAAGGCGGAGGTG</w:t>
            </w:r>
          </w:p>
        </w:tc>
        <w:tc>
          <w:tcPr>
            <w:tcW w:w="1701" w:type="dxa"/>
            <w:vAlign w:val="center"/>
          </w:tcPr>
          <w:p w:rsidR="0027479A" w:rsidRDefault="00FC3962" w:rsidP="005073B3">
            <w:pPr>
              <w:jc w:val="center"/>
              <w:rPr>
                <w:rFonts w:eastAsia="ArialMT"/>
                <w:bCs/>
                <w:sz w:val="18"/>
                <w:szCs w:val="18"/>
              </w:rPr>
            </w:pPr>
            <w:r>
              <w:rPr>
                <w:rFonts w:eastAsia="ArialMT"/>
                <w:bCs/>
                <w:sz w:val="18"/>
                <w:szCs w:val="18"/>
              </w:rPr>
              <w:fldChar w:fldCharType="begin" w:fldLock="1"/>
            </w:r>
            <w:r w:rsidR="005073B3">
              <w:rPr>
                <w:rFonts w:eastAsia="ArialMT"/>
                <w:bCs/>
                <w:sz w:val="18"/>
                <w:szCs w:val="18"/>
              </w:rPr>
              <w:instrText>ADDIN CSL_CITATION { "citationItems" : [ { "id" : "ITEM-1", "itemData" : { "DOI" : "10.1016/j.jplph.2016.07.005", "ISSN" : "01761617", "abstract" : "Wild type and mvp2 (maintained vegetative phase) deletion mutant T. monococcum plants incapable of flowering were compared in order to determine the effect of the deleted region of chromosome 5A on transcript profile and hormone metabolism. This region contains the vernalization1 (VRN1) gene, a major regulator of the vegetative/generative transition. Transcript profiling in the crowns of T. monococcum during the transition and the subsequent formation of flower primordia showed that 306 genes were affected by the mutation, 198 by the developmental phase and 14 by the interaction of these parameters. In addition, 546 genes were affected by two or three factors. The genes controlled by the deleted region encode transcription factors, antioxidants and enzymes of hormone, carbohydrate and amino acid metabolism. The observed changes in the expression of the gene encoding phenylalanine ammonia lyase (PAL) might indicate the effect of mvp2 mutation on the metabolism of salicylic acid, which was corroborated by the differences in 2-hydroxycinnamic acid and cinnamic acid contents in both of the leaves and crowns, and in the concentrations of salicylic acid and benzoic acid in crowns during the vegetative/generative transition. The amount and ratio of active cytokinins and their derivatives (ribosides, glucosides and phosphates) were affected by developmental changes as well as by mvp2 mutation, too.", "author" : [ { "dropping-particle" : "", "family" : "Boldizs\u00e1r", "given" : "\u00c1kos", "non-dropping-particle" : "", "parse-names" : false, "suffix" : "" }, { "dropping-particle" : "", "family" : "Vankov\u00e1", "given" : "Radom\u00edra", "non-dropping-particle" : "", "parse-names" : false, "suffix" : "" }, { "dropping-particle" : "", "family" : "Nov\u00e1k", "given" : "Aliz", "non-dropping-particle" : "", "parse-names" : false, "suffix" : "" }, { "dropping-particle" : "", "family" : "Kalapos", "given" : "Bal\u00e1zs", "non-dropping-particle" : "", "parse-names" : false, "suffix" : "" }, { "dropping-particle" : "", "family" : "Guly\u00e1s", "given" : "Zsolt", "non-dropping-particle" : "", "parse-names" : false, "suffix" : "" }, { "dropping-particle" : "", "family" : "P\u00e1l", "given" : "Magda", "non-dropping-particle" : "", "parse-names" : false, "suffix" : "" }, { "dropping-particle" : "", "family" : "Flokov\u00e1", "given" : "Kristyna", "non-dropping-particle" : "", "parse-names" : false, "suffix" : "" }, { "dropping-particle" : "", "family" : "Janda", "given" : "Tibor", "non-dropping-particle" : "", "parse-names" : false, "suffix" : "" }, { "dropping-particle" : "", "family" : "Galiba", "given" : "G\u00e1bor", "non-dropping-particle" : "", "parse-names" : false, "suffix" : "" }, { "dropping-particle" : "", "family" : "Kocsy", "given" : "G\u00e1bor", "non-dropping-particle" : "", "parse-names" : false, "suffix" : "" } ], "container-title" : "Journal of Plant Physiology", "id" : "ITEM-1", "issued" : { "date-parts" : [ [ "2016" ] ] }, "page" : "21-33", "publisher" : "Elsevier GmbH.", "title" : "The mvp2 mutation affects the generative transition through the modification of transcriptome pattern, salicylic acid and cytokinin metabolism in Triticum monococcum", "type" : "article-journal", "volume" : "202" }, "uris" : [ "http://www.mendeley.com/documents/?uuid=0bc08b9e-2fa4-413a-9df0-f11bf5aedf5c" ] } ], "mendeley" : { "formattedCitation" : "(Boldizs\u00e1r et al. 2016)", "manualFormatting" : "Boldizs\u00e1r et al. 2016", "plainTextFormattedCitation" : "(Boldizs\u00e1r et al. 2016)", "previouslyFormattedCitation" : "(Boldizs\u00e1r et al. 2016)" }, "properties" : { "noteIndex" : 0 }, "schema" : "https://github.com/citation-style-language/schema/raw/master/csl-citation.json" }</w:instrText>
            </w:r>
            <w:r>
              <w:rPr>
                <w:rFonts w:eastAsia="ArialMT"/>
                <w:bCs/>
                <w:sz w:val="18"/>
                <w:szCs w:val="18"/>
              </w:rPr>
              <w:fldChar w:fldCharType="separate"/>
            </w:r>
            <w:r w:rsidRPr="00FC3962">
              <w:rPr>
                <w:rFonts w:eastAsia="ArialMT"/>
                <w:bCs/>
                <w:noProof/>
                <w:sz w:val="18"/>
                <w:szCs w:val="18"/>
              </w:rPr>
              <w:t>Boldizsár et al. 2016</w:t>
            </w:r>
            <w:r>
              <w:rPr>
                <w:rFonts w:eastAsia="ArialMT"/>
                <w:bCs/>
                <w:sz w:val="18"/>
                <w:szCs w:val="18"/>
              </w:rPr>
              <w:fldChar w:fldCharType="end"/>
            </w:r>
          </w:p>
        </w:tc>
      </w:tr>
      <w:tr w:rsidR="0027479A" w:rsidRPr="006936C6" w:rsidTr="005073B3">
        <w:trPr>
          <w:trHeight w:hRule="exact" w:val="567"/>
          <w:jc w:val="center"/>
        </w:trPr>
        <w:tc>
          <w:tcPr>
            <w:tcW w:w="1134" w:type="dxa"/>
            <w:vAlign w:val="center"/>
          </w:tcPr>
          <w:p w:rsidR="0027479A" w:rsidRPr="00B20679" w:rsidRDefault="0027479A" w:rsidP="00DB0756">
            <w:pPr>
              <w:jc w:val="center"/>
              <w:rPr>
                <w:rFonts w:eastAsia="ArialMT"/>
                <w:bCs/>
                <w:sz w:val="18"/>
                <w:szCs w:val="18"/>
              </w:rPr>
            </w:pPr>
            <w:r>
              <w:rPr>
                <w:rFonts w:eastAsia="ArialMT"/>
                <w:bCs/>
                <w:sz w:val="18"/>
                <w:szCs w:val="18"/>
              </w:rPr>
              <w:t>ICE41</w:t>
            </w:r>
          </w:p>
        </w:tc>
        <w:tc>
          <w:tcPr>
            <w:tcW w:w="3402" w:type="dxa"/>
            <w:vAlign w:val="center"/>
          </w:tcPr>
          <w:p w:rsidR="0027479A" w:rsidRPr="00B20679" w:rsidRDefault="0027479A" w:rsidP="00DB0756">
            <w:pPr>
              <w:jc w:val="center"/>
              <w:rPr>
                <w:rFonts w:eastAsia="ArialMT"/>
                <w:bCs/>
                <w:sz w:val="18"/>
                <w:szCs w:val="18"/>
              </w:rPr>
            </w:pPr>
            <w:r w:rsidRPr="0027479A">
              <w:rPr>
                <w:rFonts w:eastAsia="ArialMT"/>
                <w:bCs/>
                <w:sz w:val="18"/>
                <w:szCs w:val="18"/>
              </w:rPr>
              <w:t>GCAACCCCTTCAACGTCGA</w:t>
            </w:r>
          </w:p>
        </w:tc>
        <w:tc>
          <w:tcPr>
            <w:tcW w:w="3402" w:type="dxa"/>
            <w:vAlign w:val="center"/>
          </w:tcPr>
          <w:p w:rsidR="0027479A" w:rsidRPr="00B20679" w:rsidRDefault="0027479A" w:rsidP="00DB0756">
            <w:pPr>
              <w:jc w:val="center"/>
              <w:rPr>
                <w:rFonts w:eastAsia="ArialMT"/>
                <w:bCs/>
                <w:sz w:val="18"/>
                <w:szCs w:val="18"/>
              </w:rPr>
            </w:pPr>
            <w:r w:rsidRPr="0027479A">
              <w:rPr>
                <w:rFonts w:eastAsia="ArialMT"/>
                <w:bCs/>
                <w:sz w:val="18"/>
                <w:szCs w:val="18"/>
              </w:rPr>
              <w:t>ACCACGGCATTCTCCAGC</w:t>
            </w:r>
          </w:p>
        </w:tc>
        <w:tc>
          <w:tcPr>
            <w:tcW w:w="1701" w:type="dxa"/>
            <w:vAlign w:val="center"/>
          </w:tcPr>
          <w:p w:rsidR="0027479A" w:rsidRDefault="0027479A" w:rsidP="00DB0756">
            <w:pPr>
              <w:jc w:val="center"/>
              <w:rPr>
                <w:rFonts w:eastAsia="ArialMT"/>
                <w:bCs/>
                <w:sz w:val="18"/>
                <w:szCs w:val="18"/>
              </w:rPr>
            </w:pPr>
            <w:r w:rsidRPr="0027479A">
              <w:rPr>
                <w:rFonts w:eastAsia="ArialMT"/>
                <w:bCs/>
                <w:sz w:val="18"/>
                <w:szCs w:val="18"/>
              </w:rPr>
              <w:t>EU562183.1</w:t>
            </w:r>
          </w:p>
        </w:tc>
      </w:tr>
      <w:tr w:rsidR="0027479A" w:rsidRPr="006936C6" w:rsidTr="005073B3">
        <w:trPr>
          <w:trHeight w:hRule="exact" w:val="567"/>
          <w:jc w:val="center"/>
        </w:trPr>
        <w:tc>
          <w:tcPr>
            <w:tcW w:w="1134" w:type="dxa"/>
            <w:vAlign w:val="center"/>
          </w:tcPr>
          <w:p w:rsidR="0027479A" w:rsidRPr="00B20679" w:rsidRDefault="0027479A" w:rsidP="00DB0756">
            <w:pPr>
              <w:jc w:val="center"/>
              <w:rPr>
                <w:rFonts w:eastAsia="ArialMT"/>
                <w:bCs/>
                <w:sz w:val="18"/>
                <w:szCs w:val="18"/>
              </w:rPr>
            </w:pPr>
            <w:r>
              <w:rPr>
                <w:rFonts w:eastAsia="ArialMT"/>
                <w:bCs/>
                <w:sz w:val="18"/>
                <w:szCs w:val="18"/>
              </w:rPr>
              <w:t>HvICE2</w:t>
            </w:r>
          </w:p>
        </w:tc>
        <w:tc>
          <w:tcPr>
            <w:tcW w:w="3402" w:type="dxa"/>
            <w:vAlign w:val="center"/>
          </w:tcPr>
          <w:p w:rsidR="0027479A" w:rsidRPr="00B20679" w:rsidRDefault="00946C62" w:rsidP="00DB0756">
            <w:pPr>
              <w:jc w:val="center"/>
              <w:rPr>
                <w:rFonts w:eastAsia="ArialMT"/>
                <w:bCs/>
                <w:sz w:val="18"/>
                <w:szCs w:val="18"/>
              </w:rPr>
            </w:pPr>
            <w:r w:rsidRPr="00946C62">
              <w:rPr>
                <w:rFonts w:eastAsia="ArialMT"/>
                <w:bCs/>
                <w:sz w:val="18"/>
                <w:szCs w:val="18"/>
              </w:rPr>
              <w:t>ACGGGAAGGGCAAGAAGAAG</w:t>
            </w:r>
          </w:p>
        </w:tc>
        <w:tc>
          <w:tcPr>
            <w:tcW w:w="3402" w:type="dxa"/>
            <w:vAlign w:val="center"/>
          </w:tcPr>
          <w:p w:rsidR="0027479A" w:rsidRPr="00B20679" w:rsidRDefault="00946C62" w:rsidP="00DB0756">
            <w:pPr>
              <w:jc w:val="center"/>
              <w:rPr>
                <w:rFonts w:eastAsia="ArialMT"/>
                <w:bCs/>
                <w:sz w:val="18"/>
                <w:szCs w:val="18"/>
              </w:rPr>
            </w:pPr>
            <w:r w:rsidRPr="00946C62">
              <w:rPr>
                <w:rFonts w:eastAsia="ArialMT"/>
                <w:bCs/>
                <w:sz w:val="18"/>
                <w:szCs w:val="18"/>
              </w:rPr>
              <w:t>TTGCGTCACCGAGGATTG</w:t>
            </w:r>
          </w:p>
        </w:tc>
        <w:tc>
          <w:tcPr>
            <w:tcW w:w="1701" w:type="dxa"/>
            <w:vAlign w:val="center"/>
          </w:tcPr>
          <w:p w:rsidR="0027479A" w:rsidRDefault="00946C62" w:rsidP="00DB0756">
            <w:pPr>
              <w:jc w:val="center"/>
              <w:rPr>
                <w:rFonts w:eastAsia="ArialMT"/>
                <w:bCs/>
                <w:sz w:val="18"/>
                <w:szCs w:val="18"/>
              </w:rPr>
            </w:pPr>
            <w:r w:rsidRPr="00946C62">
              <w:rPr>
                <w:rFonts w:eastAsia="ArialMT"/>
                <w:bCs/>
                <w:sz w:val="18"/>
                <w:szCs w:val="18"/>
              </w:rPr>
              <w:t>DQ113909.1</w:t>
            </w:r>
          </w:p>
        </w:tc>
      </w:tr>
      <w:tr w:rsidR="009B3951" w:rsidRPr="006936C6" w:rsidTr="005073B3">
        <w:trPr>
          <w:trHeight w:hRule="exact" w:val="567"/>
          <w:jc w:val="center"/>
        </w:trPr>
        <w:tc>
          <w:tcPr>
            <w:tcW w:w="1134" w:type="dxa"/>
            <w:vAlign w:val="center"/>
          </w:tcPr>
          <w:p w:rsidR="009B3951" w:rsidRPr="00B20679" w:rsidRDefault="009B3951" w:rsidP="00DB0756">
            <w:pPr>
              <w:jc w:val="center"/>
              <w:rPr>
                <w:rFonts w:eastAsia="ArialMT"/>
                <w:bCs/>
                <w:sz w:val="18"/>
                <w:szCs w:val="18"/>
              </w:rPr>
            </w:pPr>
            <w:r w:rsidRPr="00B20679">
              <w:rPr>
                <w:rFonts w:eastAsia="ArialMT"/>
                <w:bCs/>
                <w:sz w:val="18"/>
                <w:szCs w:val="18"/>
              </w:rPr>
              <w:t>Ta30797</w:t>
            </w:r>
          </w:p>
        </w:tc>
        <w:tc>
          <w:tcPr>
            <w:tcW w:w="3402" w:type="dxa"/>
            <w:vAlign w:val="center"/>
          </w:tcPr>
          <w:p w:rsidR="009B3951" w:rsidRPr="00B20679" w:rsidRDefault="009B3951" w:rsidP="00DB0756">
            <w:pPr>
              <w:jc w:val="center"/>
              <w:rPr>
                <w:rFonts w:eastAsia="ArialMT"/>
                <w:bCs/>
                <w:sz w:val="18"/>
                <w:szCs w:val="18"/>
              </w:rPr>
            </w:pPr>
            <w:r w:rsidRPr="00B20679">
              <w:rPr>
                <w:rFonts w:eastAsia="ArialMT"/>
                <w:bCs/>
                <w:sz w:val="18"/>
                <w:szCs w:val="18"/>
              </w:rPr>
              <w:t>GCCGTGTCCATGCCAGTG</w:t>
            </w:r>
          </w:p>
        </w:tc>
        <w:tc>
          <w:tcPr>
            <w:tcW w:w="3402" w:type="dxa"/>
            <w:vAlign w:val="center"/>
          </w:tcPr>
          <w:p w:rsidR="009B3951" w:rsidRPr="00B20679" w:rsidRDefault="009B3951" w:rsidP="00DB0756">
            <w:pPr>
              <w:jc w:val="center"/>
              <w:rPr>
                <w:rFonts w:eastAsia="ArialMT"/>
                <w:bCs/>
                <w:sz w:val="18"/>
                <w:szCs w:val="18"/>
              </w:rPr>
            </w:pPr>
            <w:r w:rsidRPr="00B20679">
              <w:rPr>
                <w:rFonts w:eastAsia="ArialMT"/>
                <w:bCs/>
                <w:sz w:val="18"/>
                <w:szCs w:val="18"/>
              </w:rPr>
              <w:t>TTAGCCTGAACCACCTGTGC</w:t>
            </w:r>
          </w:p>
        </w:tc>
        <w:tc>
          <w:tcPr>
            <w:tcW w:w="1701" w:type="dxa"/>
            <w:vAlign w:val="center"/>
          </w:tcPr>
          <w:p w:rsidR="009B3951" w:rsidRPr="00B20679" w:rsidRDefault="00FC3962" w:rsidP="005073B3">
            <w:pPr>
              <w:jc w:val="center"/>
              <w:rPr>
                <w:rFonts w:eastAsia="ArialMT"/>
                <w:bCs/>
                <w:sz w:val="18"/>
                <w:szCs w:val="18"/>
              </w:rPr>
            </w:pPr>
            <w:r>
              <w:rPr>
                <w:rFonts w:eastAsia="ArialMT"/>
                <w:bCs/>
                <w:sz w:val="18"/>
                <w:szCs w:val="18"/>
              </w:rPr>
              <w:fldChar w:fldCharType="begin" w:fldLock="1"/>
            </w:r>
            <w:r w:rsidR="005073B3">
              <w:rPr>
                <w:rFonts w:eastAsia="ArialMT"/>
                <w:bCs/>
                <w:sz w:val="18"/>
                <w:szCs w:val="18"/>
              </w:rPr>
              <w:instrText>ADDIN CSL_CITATION { "citationItems" : [ { "id" : "ITEM-1", "itemData" : { "DOI" : "10.1186/1471-2199-10-11", "ISSN" : "1471-2199", "PMID" : "19232096", "abstract" : "BACKGROUND: Usually the reference genes used in gene expression analysis have been chosen for their known or suspected housekeeping roles, however the variation observed in most of them hinders their effective use. The assessed lack of validated reference genes emphasizes the importance of a systematic study for their identification. For selecting candidate reference genes we have developed a simple in silico method based on the data publicly available in the wheat databases Unigene and TIGR. RESULTS: The expression stability of 32 genes was assessed by qRT-PCR using a set of cDNAs from 24 different plant samples, which included different tissues, developmental stages and temperature stresses. The selected sequences included 12 well-known HKGs representing different functional classes and 20 genes novel with reference to the normalization issue. The expression stability of the 32 candidate genes was tested by the computer programs geNorm and NormFinder using five different data-sets. Some discrepancies were detected in the ranking of the candidate reference genes, but there was substantial agreement between the groups of genes with the most and least stable expression. Three new identified reference genes appear more effective than the well-known and frequently used HKGs to normalize gene expression in wheat. Finally, the expression study of a gene encoding a PDI-like protein showed that its correct evaluation relies on the adoption of suitable normalization genes and can be negatively affected by the use of traditional HKGs with unstable expression, such as actin and alpha-tubulin. CONCLUSION: The present research represents the first wide screening aimed to the identification of reference genes and of the corresponding primer pairs specifically designed for gene expression studies in wheat, in particular for qRT-PCR analyses. Several of the new identified reference genes outperformed the traditional HKGs in terms of expression stability under all the tested conditions. The new reference genes will enable more accurate normalization and quantification of gene expression in wheat and will be helpful for designing primer pairs targeting orthologous genes in other plant species.", "author" : [ { "dropping-particle" : "", "family" : "Paolacci", "given" : "Anna R", "non-dropping-particle" : "", "parse-names" : false, "suffix" : "" }, { "dropping-particle" : "", "family" : "Tanzarella", "given" : "Oronzo A", "non-dropping-particle" : "", "parse-names" : false, "suffix" : "" }, { "dropping-particle" : "", "family" : "Porceddu", "given" : "Enrico", "non-dropping-particle" : "", "parse-names" : false, "suffix" : "" }, { "dropping-particle" : "", "family" : "Ciaffi", "given" : "Mario", "non-dropping-particle" : "", "parse-names" : false, "suffix" : "" } ], "container-title" : "BMC Molecular Biology", "id" : "ITEM-1", "issued" : { "date-parts" : [ [ "2009", "1" ] ] }, "page" : "11", "title" : "Identification and validation of reference genes for quantitative RT-PCR normalization in wheat", "type" : "article-journal", "volume" : "10" }, "uris" : [ "http://www.mendeley.com/documents/?uuid=e6e98d94-457f-4890-9806-036057f136db" ] } ], "mendeley" : { "formattedCitation" : "(Paolacci et al. 2009)", "manualFormatting" : "Paolacci et al. 2009", "plainTextFormattedCitation" : "(Paolacci et al. 2009)", "previouslyFormattedCitation" : "(Paolacci et al. 2009)" }, "properties" : { "noteIndex" : 0 }, "schema" : "https://github.com/citation-style-language/schema/raw/master/csl-citation.json" }</w:instrText>
            </w:r>
            <w:r>
              <w:rPr>
                <w:rFonts w:eastAsia="ArialMT"/>
                <w:bCs/>
                <w:sz w:val="18"/>
                <w:szCs w:val="18"/>
              </w:rPr>
              <w:fldChar w:fldCharType="separate"/>
            </w:r>
            <w:r w:rsidRPr="00FC3962">
              <w:rPr>
                <w:rFonts w:eastAsia="ArialMT"/>
                <w:bCs/>
                <w:noProof/>
                <w:sz w:val="18"/>
                <w:szCs w:val="18"/>
              </w:rPr>
              <w:t>Paolacci et al. 2009</w:t>
            </w:r>
            <w:r>
              <w:rPr>
                <w:rFonts w:eastAsia="ArialMT"/>
                <w:bCs/>
                <w:sz w:val="18"/>
                <w:szCs w:val="18"/>
              </w:rPr>
              <w:fldChar w:fldCharType="end"/>
            </w:r>
          </w:p>
        </w:tc>
      </w:tr>
    </w:tbl>
    <w:p w:rsidR="00414D99" w:rsidRDefault="00414D99" w:rsidP="005073B3"/>
    <w:sectPr w:rsidR="00414D99" w:rsidSect="005073B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MT">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3951"/>
    <w:rsid w:val="00095847"/>
    <w:rsid w:val="000C0049"/>
    <w:rsid w:val="0012343C"/>
    <w:rsid w:val="0027479A"/>
    <w:rsid w:val="00414D99"/>
    <w:rsid w:val="005073B3"/>
    <w:rsid w:val="005B7602"/>
    <w:rsid w:val="007E7ED4"/>
    <w:rsid w:val="00880CFC"/>
    <w:rsid w:val="008E5149"/>
    <w:rsid w:val="00946C62"/>
    <w:rsid w:val="009B3951"/>
    <w:rsid w:val="00B44134"/>
    <w:rsid w:val="00BF4F01"/>
    <w:rsid w:val="00C12A39"/>
    <w:rsid w:val="00E83480"/>
    <w:rsid w:val="00EA433C"/>
    <w:rsid w:val="00ED2645"/>
    <w:rsid w:val="00FC396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C39C35C4-EC4A-4A85-B157-3222251EE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B3951"/>
    <w:pPr>
      <w:spacing w:after="0" w:line="360" w:lineRule="auto"/>
      <w:jc w:val="both"/>
    </w:pPr>
    <w:rPr>
      <w:rFonts w:ascii="Times New Roman" w:eastAsia="Calibri" w:hAnsi="Times New Roman" w:cs="Times New Roman"/>
      <w:sz w:val="24"/>
      <w:szCs w:val="24"/>
      <w:lang w:val="en-US"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3492220">
      <w:bodyDiv w:val="1"/>
      <w:marLeft w:val="0"/>
      <w:marRight w:val="0"/>
      <w:marTop w:val="0"/>
      <w:marBottom w:val="0"/>
      <w:divBdr>
        <w:top w:val="none" w:sz="0" w:space="0" w:color="auto"/>
        <w:left w:val="none" w:sz="0" w:space="0" w:color="auto"/>
        <w:bottom w:val="none" w:sz="0" w:space="0" w:color="auto"/>
        <w:right w:val="none" w:sz="0" w:space="0" w:color="auto"/>
      </w:divBdr>
    </w:div>
    <w:div w:id="320694720">
      <w:bodyDiv w:val="1"/>
      <w:marLeft w:val="0"/>
      <w:marRight w:val="0"/>
      <w:marTop w:val="0"/>
      <w:marBottom w:val="0"/>
      <w:divBdr>
        <w:top w:val="none" w:sz="0" w:space="0" w:color="auto"/>
        <w:left w:val="none" w:sz="0" w:space="0" w:color="auto"/>
        <w:bottom w:val="none" w:sz="0" w:space="0" w:color="auto"/>
        <w:right w:val="none" w:sz="0" w:space="0" w:color="auto"/>
      </w:divBdr>
    </w:div>
    <w:div w:id="367144106">
      <w:bodyDiv w:val="1"/>
      <w:marLeft w:val="0"/>
      <w:marRight w:val="0"/>
      <w:marTop w:val="0"/>
      <w:marBottom w:val="0"/>
      <w:divBdr>
        <w:top w:val="none" w:sz="0" w:space="0" w:color="auto"/>
        <w:left w:val="none" w:sz="0" w:space="0" w:color="auto"/>
        <w:bottom w:val="none" w:sz="0" w:space="0" w:color="auto"/>
        <w:right w:val="none" w:sz="0" w:space="0" w:color="auto"/>
      </w:divBdr>
    </w:div>
    <w:div w:id="374472983">
      <w:bodyDiv w:val="1"/>
      <w:marLeft w:val="0"/>
      <w:marRight w:val="0"/>
      <w:marTop w:val="0"/>
      <w:marBottom w:val="0"/>
      <w:divBdr>
        <w:top w:val="none" w:sz="0" w:space="0" w:color="auto"/>
        <w:left w:val="none" w:sz="0" w:space="0" w:color="auto"/>
        <w:bottom w:val="none" w:sz="0" w:space="0" w:color="auto"/>
        <w:right w:val="none" w:sz="0" w:space="0" w:color="auto"/>
      </w:divBdr>
    </w:div>
    <w:div w:id="411467167">
      <w:bodyDiv w:val="1"/>
      <w:marLeft w:val="0"/>
      <w:marRight w:val="0"/>
      <w:marTop w:val="0"/>
      <w:marBottom w:val="0"/>
      <w:divBdr>
        <w:top w:val="none" w:sz="0" w:space="0" w:color="auto"/>
        <w:left w:val="none" w:sz="0" w:space="0" w:color="auto"/>
        <w:bottom w:val="none" w:sz="0" w:space="0" w:color="auto"/>
        <w:right w:val="none" w:sz="0" w:space="0" w:color="auto"/>
      </w:divBdr>
    </w:div>
    <w:div w:id="567957148">
      <w:bodyDiv w:val="1"/>
      <w:marLeft w:val="0"/>
      <w:marRight w:val="0"/>
      <w:marTop w:val="0"/>
      <w:marBottom w:val="0"/>
      <w:divBdr>
        <w:top w:val="none" w:sz="0" w:space="0" w:color="auto"/>
        <w:left w:val="none" w:sz="0" w:space="0" w:color="auto"/>
        <w:bottom w:val="none" w:sz="0" w:space="0" w:color="auto"/>
        <w:right w:val="none" w:sz="0" w:space="0" w:color="auto"/>
      </w:divBdr>
    </w:div>
    <w:div w:id="931620359">
      <w:bodyDiv w:val="1"/>
      <w:marLeft w:val="0"/>
      <w:marRight w:val="0"/>
      <w:marTop w:val="0"/>
      <w:marBottom w:val="0"/>
      <w:divBdr>
        <w:top w:val="none" w:sz="0" w:space="0" w:color="auto"/>
        <w:left w:val="none" w:sz="0" w:space="0" w:color="auto"/>
        <w:bottom w:val="none" w:sz="0" w:space="0" w:color="auto"/>
        <w:right w:val="none" w:sz="0" w:space="0" w:color="auto"/>
      </w:divBdr>
    </w:div>
    <w:div w:id="1050224465">
      <w:bodyDiv w:val="1"/>
      <w:marLeft w:val="0"/>
      <w:marRight w:val="0"/>
      <w:marTop w:val="0"/>
      <w:marBottom w:val="0"/>
      <w:divBdr>
        <w:top w:val="none" w:sz="0" w:space="0" w:color="auto"/>
        <w:left w:val="none" w:sz="0" w:space="0" w:color="auto"/>
        <w:bottom w:val="none" w:sz="0" w:space="0" w:color="auto"/>
        <w:right w:val="none" w:sz="0" w:space="0" w:color="auto"/>
      </w:divBdr>
    </w:div>
    <w:div w:id="1118448174">
      <w:bodyDiv w:val="1"/>
      <w:marLeft w:val="0"/>
      <w:marRight w:val="0"/>
      <w:marTop w:val="0"/>
      <w:marBottom w:val="0"/>
      <w:divBdr>
        <w:top w:val="none" w:sz="0" w:space="0" w:color="auto"/>
        <w:left w:val="none" w:sz="0" w:space="0" w:color="auto"/>
        <w:bottom w:val="none" w:sz="0" w:space="0" w:color="auto"/>
        <w:right w:val="none" w:sz="0" w:space="0" w:color="auto"/>
      </w:divBdr>
    </w:div>
    <w:div w:id="1187135697">
      <w:bodyDiv w:val="1"/>
      <w:marLeft w:val="0"/>
      <w:marRight w:val="0"/>
      <w:marTop w:val="0"/>
      <w:marBottom w:val="0"/>
      <w:divBdr>
        <w:top w:val="none" w:sz="0" w:space="0" w:color="auto"/>
        <w:left w:val="none" w:sz="0" w:space="0" w:color="auto"/>
        <w:bottom w:val="none" w:sz="0" w:space="0" w:color="auto"/>
        <w:right w:val="none" w:sz="0" w:space="0" w:color="auto"/>
      </w:divBdr>
    </w:div>
    <w:div w:id="1500265373">
      <w:bodyDiv w:val="1"/>
      <w:marLeft w:val="0"/>
      <w:marRight w:val="0"/>
      <w:marTop w:val="0"/>
      <w:marBottom w:val="0"/>
      <w:divBdr>
        <w:top w:val="none" w:sz="0" w:space="0" w:color="auto"/>
        <w:left w:val="none" w:sz="0" w:space="0" w:color="auto"/>
        <w:bottom w:val="none" w:sz="0" w:space="0" w:color="auto"/>
        <w:right w:val="none" w:sz="0" w:space="0" w:color="auto"/>
      </w:divBdr>
    </w:div>
    <w:div w:id="1590961528">
      <w:bodyDiv w:val="1"/>
      <w:marLeft w:val="0"/>
      <w:marRight w:val="0"/>
      <w:marTop w:val="0"/>
      <w:marBottom w:val="0"/>
      <w:divBdr>
        <w:top w:val="none" w:sz="0" w:space="0" w:color="auto"/>
        <w:left w:val="none" w:sz="0" w:space="0" w:color="auto"/>
        <w:bottom w:val="none" w:sz="0" w:space="0" w:color="auto"/>
        <w:right w:val="none" w:sz="0" w:space="0" w:color="auto"/>
      </w:divBdr>
    </w:div>
    <w:div w:id="1730611204">
      <w:bodyDiv w:val="1"/>
      <w:marLeft w:val="0"/>
      <w:marRight w:val="0"/>
      <w:marTop w:val="0"/>
      <w:marBottom w:val="0"/>
      <w:divBdr>
        <w:top w:val="none" w:sz="0" w:space="0" w:color="auto"/>
        <w:left w:val="none" w:sz="0" w:space="0" w:color="auto"/>
        <w:bottom w:val="none" w:sz="0" w:space="0" w:color="auto"/>
        <w:right w:val="none" w:sz="0" w:space="0" w:color="auto"/>
      </w:divBdr>
    </w:div>
    <w:div w:id="1784960644">
      <w:bodyDiv w:val="1"/>
      <w:marLeft w:val="0"/>
      <w:marRight w:val="0"/>
      <w:marTop w:val="0"/>
      <w:marBottom w:val="0"/>
      <w:divBdr>
        <w:top w:val="none" w:sz="0" w:space="0" w:color="auto"/>
        <w:left w:val="none" w:sz="0" w:space="0" w:color="auto"/>
        <w:bottom w:val="none" w:sz="0" w:space="0" w:color="auto"/>
        <w:right w:val="none" w:sz="0" w:space="0" w:color="auto"/>
      </w:divBdr>
    </w:div>
    <w:div w:id="2013607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528039-CD2D-4271-8A1C-7FAEA2EC5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Pages>
  <Words>3683</Words>
  <Characters>25420</Characters>
  <Application>Microsoft Office Word</Application>
  <DocSecurity>0</DocSecurity>
  <Lines>211</Lines>
  <Paragraphs>58</Paragraphs>
  <ScaleCrop>false</ScaleCrop>
  <HeadingPairs>
    <vt:vector size="2" baseType="variant">
      <vt:variant>
        <vt:lpstr>Cím</vt:lpstr>
      </vt:variant>
      <vt:variant>
        <vt:i4>1</vt:i4>
      </vt:variant>
    </vt:vector>
  </HeadingPairs>
  <TitlesOfParts>
    <vt:vector size="1" baseType="lpstr">
      <vt:lpstr/>
    </vt:vector>
  </TitlesOfParts>
  <Company>Martonvásár</Company>
  <LinksUpToDate>false</LinksUpToDate>
  <CharactersWithSpaces>29045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MGKI</dc:creator>
  <cp:keywords/>
  <dc:description/>
  <cp:lastModifiedBy>Boldizsár Ákos</cp:lastModifiedBy>
  <cp:revision>11</cp:revision>
  <dcterms:created xsi:type="dcterms:W3CDTF">2016-08-18T09:44:00Z</dcterms:created>
  <dcterms:modified xsi:type="dcterms:W3CDTF">2017-03-16T11:15:00Z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http://www.zotero.org/styles/plant-molecular-biology-reporter</vt:lpwstr>
  </property>
  <property fmtid="{D5CDD505-2E9C-101B-9397-08002B2CF9AE}" pid="4" name="Mendeley Recent Style Id 0_1">
    <vt:lpwstr>http://www.zotero.org/styles/american-political-science-association</vt:lpwstr>
  </property>
  <property fmtid="{D5CDD505-2E9C-101B-9397-08002B2CF9AE}" pid="5" name="Mendeley Recent Style Name 0_1">
    <vt:lpwstr>American Political Science Association</vt:lpwstr>
  </property>
  <property fmtid="{D5CDD505-2E9C-101B-9397-08002B2CF9AE}" pid="6" name="Mendeley Recent Style Id 1_1">
    <vt:lpwstr>http://www.zotero.org/styles/apa</vt:lpwstr>
  </property>
  <property fmtid="{D5CDD505-2E9C-101B-9397-08002B2CF9AE}" pid="7" name="Mendeley Recent Style Name 1_1">
    <vt:lpwstr>American Psychological Association 6th edition</vt:lpwstr>
  </property>
  <property fmtid="{D5CDD505-2E9C-101B-9397-08002B2CF9AE}" pid="8" name="Mendeley Recent Style Id 2_1">
    <vt:lpwstr>http://www.zotero.org/styles/american-sociological-association</vt:lpwstr>
  </property>
  <property fmtid="{D5CDD505-2E9C-101B-9397-08002B2CF9AE}" pid="9" name="Mendeley Recent Style Name 2_1">
    <vt:lpwstr>American Sociological Association</vt:lpwstr>
  </property>
  <property fmtid="{D5CDD505-2E9C-101B-9397-08002B2CF9AE}" pid="10" name="Mendeley Recent Style Id 3_1">
    <vt:lpwstr>http://www.zotero.org/styles/chicago-author-date</vt:lpwstr>
  </property>
  <property fmtid="{D5CDD505-2E9C-101B-9397-08002B2CF9AE}" pid="11" name="Mendeley Recent Style Name 3_1">
    <vt:lpwstr>Chicago Manual of Style 16th edition (author-date)</vt:lpwstr>
  </property>
  <property fmtid="{D5CDD505-2E9C-101B-9397-08002B2CF9AE}" pid="12" name="Mendeley Recent Style Id 4_1">
    <vt:lpwstr>http://www.zotero.org/styles/harvard1</vt:lpwstr>
  </property>
  <property fmtid="{D5CDD505-2E9C-101B-9397-08002B2CF9AE}" pid="13" name="Mendeley Recent Style Name 4_1">
    <vt:lpwstr>Harvard Reference format 1 (author-date)</vt:lpwstr>
  </property>
  <property fmtid="{D5CDD505-2E9C-101B-9397-08002B2CF9AE}" pid="14" name="Mendeley Recent Style Id 5_1">
    <vt:lpwstr>http://www.zotero.org/styles/ieee</vt:lpwstr>
  </property>
  <property fmtid="{D5CDD505-2E9C-101B-9397-08002B2CF9AE}" pid="15" name="Mendeley Recent Style Name 5_1">
    <vt:lpwstr>IEEE</vt:lpwstr>
  </property>
  <property fmtid="{D5CDD505-2E9C-101B-9397-08002B2CF9AE}" pid="16" name="Mendeley Recent Style Id 6_1">
    <vt:lpwstr>http://www.zotero.org/styles/modern-humanities-research-association</vt:lpwstr>
  </property>
  <property fmtid="{D5CDD505-2E9C-101B-9397-08002B2CF9AE}" pid="17" name="Mendeley Recent Style Name 6_1">
    <vt:lpwstr>Modern Humanities Research Association 3rd edition (note with bibliography)</vt:lpwstr>
  </property>
  <property fmtid="{D5CDD505-2E9C-101B-9397-08002B2CF9AE}" pid="18" name="Mendeley Recent Style Id 7_1">
    <vt:lpwstr>http://www.zotero.org/styles/plos-one</vt:lpwstr>
  </property>
  <property fmtid="{D5CDD505-2E9C-101B-9397-08002B2CF9AE}" pid="19" name="Mendeley Recent Style Name 7_1">
    <vt:lpwstr>PLOS ONE</vt:lpwstr>
  </property>
  <property fmtid="{D5CDD505-2E9C-101B-9397-08002B2CF9AE}" pid="20" name="Mendeley Recent Style Id 8_1">
    <vt:lpwstr>http://www.zotero.org/styles/plant-molecular-biology-reporter</vt:lpwstr>
  </property>
  <property fmtid="{D5CDD505-2E9C-101B-9397-08002B2CF9AE}" pid="21" name="Mendeley Recent Style Name 8_1">
    <vt:lpwstr>Plant Molecular Biology Reporter</vt:lpwstr>
  </property>
  <property fmtid="{D5CDD505-2E9C-101B-9397-08002B2CF9AE}" pid="22" name="Mendeley Recent Style Id 9_1">
    <vt:lpwstr>http://csl.mendeley.com/styles/43498641/atkJELENTEShez2017-2</vt:lpwstr>
  </property>
  <property fmtid="{D5CDD505-2E9C-101B-9397-08002B2CF9AE}" pid="23" name="Mendeley Recent Style Name 9_1">
    <vt:lpwstr>atkJELENTESHEZ2017 - Akos Boldizsar</vt:lpwstr>
  </property>
  <property fmtid="{D5CDD505-2E9C-101B-9397-08002B2CF9AE}" pid="24" name="Mendeley Unique User Id_1">
    <vt:lpwstr>e991a498-b755-33db-8bb9-9f4d5178e972</vt:lpwstr>
  </property>
</Properties>
</file>