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680B" w14:textId="4FF65178" w:rsidR="00A16E37" w:rsidRPr="00A16E37" w:rsidRDefault="00A16E37" w:rsidP="00A16E37">
      <w:pPr>
        <w:pStyle w:val="Caption"/>
        <w:keepNext/>
        <w:ind w:firstLine="720"/>
        <w:rPr>
          <w:rFonts w:ascii="Arial" w:hAnsi="Arial" w:cs="Arial"/>
          <w:b/>
          <w:bCs/>
          <w:i w:val="0"/>
          <w:iCs w:val="0"/>
          <w:color w:val="auto"/>
          <w:sz w:val="20"/>
          <w:szCs w:val="20"/>
        </w:rPr>
      </w:pPr>
      <w:r w:rsidRPr="00A16E37">
        <w:rPr>
          <w:rFonts w:ascii="Arial" w:hAnsi="Arial" w:cs="Arial"/>
          <w:b/>
          <w:bCs/>
          <w:i w:val="0"/>
          <w:iCs w:val="0"/>
          <w:color w:val="auto"/>
          <w:sz w:val="20"/>
          <w:szCs w:val="20"/>
        </w:rPr>
        <w:t xml:space="preserve">Figure </w:t>
      </w:r>
      <w:r w:rsidRPr="00A16E37">
        <w:rPr>
          <w:rFonts w:ascii="Arial" w:hAnsi="Arial" w:cs="Arial"/>
          <w:b/>
          <w:bCs/>
          <w:i w:val="0"/>
          <w:iCs w:val="0"/>
          <w:color w:val="auto"/>
          <w:sz w:val="20"/>
          <w:szCs w:val="20"/>
        </w:rPr>
        <w:fldChar w:fldCharType="begin"/>
      </w:r>
      <w:r w:rsidRPr="00A16E37">
        <w:rPr>
          <w:rFonts w:ascii="Arial" w:hAnsi="Arial" w:cs="Arial"/>
          <w:b/>
          <w:bCs/>
          <w:i w:val="0"/>
          <w:iCs w:val="0"/>
          <w:color w:val="auto"/>
          <w:sz w:val="20"/>
          <w:szCs w:val="20"/>
        </w:rPr>
        <w:instrText xml:space="preserve"> SEQ Figure \* ARABIC </w:instrText>
      </w:r>
      <w:r w:rsidRPr="00A16E37">
        <w:rPr>
          <w:rFonts w:ascii="Arial" w:hAnsi="Arial" w:cs="Arial"/>
          <w:b/>
          <w:bCs/>
          <w:i w:val="0"/>
          <w:iCs w:val="0"/>
          <w:color w:val="auto"/>
          <w:sz w:val="20"/>
          <w:szCs w:val="20"/>
        </w:rPr>
        <w:fldChar w:fldCharType="separate"/>
      </w:r>
      <w:r w:rsidRPr="00A16E37">
        <w:rPr>
          <w:rFonts w:ascii="Arial" w:hAnsi="Arial" w:cs="Arial"/>
          <w:b/>
          <w:bCs/>
          <w:i w:val="0"/>
          <w:iCs w:val="0"/>
          <w:noProof/>
          <w:color w:val="auto"/>
          <w:sz w:val="20"/>
          <w:szCs w:val="20"/>
        </w:rPr>
        <w:t>1</w:t>
      </w:r>
      <w:r w:rsidRPr="00A16E37">
        <w:rPr>
          <w:rFonts w:ascii="Arial" w:hAnsi="Arial" w:cs="Arial"/>
          <w:b/>
          <w:bCs/>
          <w:i w:val="0"/>
          <w:iCs w:val="0"/>
          <w:color w:val="auto"/>
          <w:sz w:val="20"/>
          <w:szCs w:val="20"/>
        </w:rPr>
        <w:fldChar w:fldCharType="end"/>
      </w:r>
      <w:r w:rsidRPr="00A16E37">
        <w:rPr>
          <w:rFonts w:ascii="Arial" w:hAnsi="Arial" w:cs="Arial"/>
          <w:b/>
          <w:bCs/>
          <w:i w:val="0"/>
          <w:iCs w:val="0"/>
          <w:color w:val="auto"/>
          <w:sz w:val="20"/>
          <w:szCs w:val="20"/>
        </w:rPr>
        <w:t xml:space="preserve"> Difference in Difference Analysis of Abortion Clinic Visits</w:t>
      </w:r>
    </w:p>
    <w:p w14:paraId="2EAA9024" w14:textId="2811B19C" w:rsidR="002A17D9" w:rsidRPr="00A551EC" w:rsidRDefault="00B11FF4" w:rsidP="00A551EC">
      <w:pPr>
        <w:pStyle w:val="NormalWeb"/>
        <w:rPr>
          <w:rFonts w:ascii="Arial" w:hAnsi="Arial" w:cs="Arial"/>
          <w:sz w:val="20"/>
          <w:szCs w:val="20"/>
        </w:rPr>
      </w:pPr>
      <w:r>
        <w:rPr>
          <w:rFonts w:ascii="Arial" w:hAnsi="Arial" w:cs="Arial"/>
          <w:noProof/>
          <w:sz w:val="20"/>
          <w:szCs w:val="20"/>
          <w14:ligatures w14:val="standardContextual"/>
        </w:rPr>
        <mc:AlternateContent>
          <mc:Choice Requires="wps">
            <w:drawing>
              <wp:anchor distT="0" distB="0" distL="114300" distR="114300" simplePos="0" relativeHeight="251664384" behindDoc="0" locked="0" layoutInCell="1" allowOverlap="1" wp14:anchorId="7426F887" wp14:editId="62DBDB30">
                <wp:simplePos x="0" y="0"/>
                <wp:positionH relativeFrom="column">
                  <wp:posOffset>1631950</wp:posOffset>
                </wp:positionH>
                <wp:positionV relativeFrom="paragraph">
                  <wp:posOffset>2552700</wp:posOffset>
                </wp:positionV>
                <wp:extent cx="120650" cy="247650"/>
                <wp:effectExtent l="38100" t="38100" r="31750" b="19050"/>
                <wp:wrapNone/>
                <wp:docPr id="1595088645" name="Straight Arrow Connector 1"/>
                <wp:cNvGraphicFramePr/>
                <a:graphic xmlns:a="http://schemas.openxmlformats.org/drawingml/2006/main">
                  <a:graphicData uri="http://schemas.microsoft.com/office/word/2010/wordprocessingShape">
                    <wps:wsp>
                      <wps:cNvCnPr/>
                      <wps:spPr>
                        <a:xfrm flipH="1" flipV="1">
                          <a:off x="0" y="0"/>
                          <a:ext cx="12065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C226198" id="_x0000_t32" coordsize="21600,21600" o:spt="32" o:oned="t" path="m,l21600,21600e" filled="f">
                <v:path arrowok="t" fillok="f" o:connecttype="none"/>
                <o:lock v:ext="edit" shapetype="t"/>
              </v:shapetype>
              <v:shape id="Straight Arrow Connector 1" o:spid="_x0000_s1026" type="#_x0000_t32" style="position:absolute;margin-left:128.5pt;margin-top:201pt;width:9.5pt;height:19.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" strokecolor="windowText" strokeweight=".5pt">
                <v:stroke endarrow="block" joinstyle="miter"/>
              </v:shape>
            </w:pict>
          </mc:Fallback>
        </mc:AlternateContent>
      </w:r>
      <w:r w:rsidRPr="002574FD">
        <w:rPr>
          <w:rFonts w:ascii="Arial" w:hAnsi="Arial" w:cs="Arial"/>
          <w:noProof/>
          <w:sz w:val="20"/>
          <w:szCs w:val="20"/>
        </w:rPr>
        <mc:AlternateContent>
          <mc:Choice Requires="wps">
            <w:drawing>
              <wp:anchor distT="45720" distB="45720" distL="114300" distR="114300" simplePos="0" relativeHeight="251661312" behindDoc="0" locked="0" layoutInCell="1" allowOverlap="1" wp14:anchorId="0F29C5CD" wp14:editId="752F2B14">
                <wp:simplePos x="0" y="0"/>
                <wp:positionH relativeFrom="column">
                  <wp:posOffset>1447800</wp:posOffset>
                </wp:positionH>
                <wp:positionV relativeFrom="paragraph">
                  <wp:posOffset>2800350</wp:posOffset>
                </wp:positionV>
                <wp:extent cx="787400" cy="279400"/>
                <wp:effectExtent l="0" t="0" r="0" b="6350"/>
                <wp:wrapNone/>
                <wp:docPr id="1939711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22954BEC" w14:textId="5822876E" w:rsidR="002A53D5" w:rsidRPr="00B11FF4" w:rsidRDefault="002A53D5" w:rsidP="002A53D5">
                            <w:pPr>
                              <w:rPr>
                                <w:rFonts w:ascii="Arial" w:hAnsi="Arial" w:cs="Arial"/>
                                <w:sz w:val="20"/>
                                <w:szCs w:val="20"/>
                              </w:rPr>
                            </w:pPr>
                            <w:r w:rsidRPr="00B11FF4">
                              <w:rPr>
                                <w:rFonts w:ascii="Arial" w:hAnsi="Arial" w:cs="Arial"/>
                                <w:sz w:val="20"/>
                                <w:szCs w:val="20"/>
                              </w:rPr>
                              <w:t>TX</w:t>
                            </w:r>
                            <w:r w:rsidRPr="00B11FF4">
                              <w:rPr>
                                <w:rFonts w:ascii="Arial" w:hAnsi="Arial" w:cs="Arial"/>
                                <w:sz w:val="20"/>
                                <w:szCs w:val="20"/>
                              </w:rPr>
                              <w:t xml:space="preserve"> Visits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9C5CD" id="_x0000_t202" coordsize="21600,21600" o:spt="202" path="m,l,21600r21600,l21600,xe">
                <v:stroke joinstyle="miter"/>
                <v:path gradientshapeok="t" o:connecttype="rect"/>
              </v:shapetype>
              <v:shape id="Text Box 2" o:spid="_x0000_s1026" type="#_x0000_t202" style="position:absolute;margin-left:114pt;margin-top:220.5pt;width:62pt;height: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" filled="f" stroked="f">
                <v:textbox>
                  <w:txbxContent>
                    <w:p w14:paraId="22954BEC" w14:textId="5822876E" w:rsidR="002A53D5" w:rsidRPr="00B11FF4" w:rsidRDefault="002A53D5" w:rsidP="002A53D5">
                      <w:pPr>
                        <w:rPr>
                          <w:rFonts w:ascii="Arial" w:hAnsi="Arial" w:cs="Arial"/>
                          <w:sz w:val="20"/>
                          <w:szCs w:val="20"/>
                        </w:rPr>
                      </w:pPr>
                      <w:r w:rsidRPr="00B11FF4">
                        <w:rPr>
                          <w:rFonts w:ascii="Arial" w:hAnsi="Arial" w:cs="Arial"/>
                          <w:sz w:val="20"/>
                          <w:szCs w:val="20"/>
                        </w:rPr>
                        <w:t>TX</w:t>
                      </w:r>
                      <w:r w:rsidRPr="00B11FF4">
                        <w:rPr>
                          <w:rFonts w:ascii="Arial" w:hAnsi="Arial" w:cs="Arial"/>
                          <w:sz w:val="20"/>
                          <w:szCs w:val="20"/>
                        </w:rPr>
                        <w:t xml:space="preserve"> Visits</w:t>
                      </w:r>
                    </w:p>
                  </w:txbxContent>
                </v:textbox>
              </v:shape>
            </w:pict>
          </mc:Fallback>
        </mc:AlternateContent>
      </w:r>
      <w:r>
        <w:rPr>
          <w:rFonts w:ascii="Arial" w:hAnsi="Arial" w:cs="Arial"/>
          <w:noProof/>
          <w:sz w:val="20"/>
          <w:szCs w:val="20"/>
          <w14:ligatures w14:val="standardContextual"/>
        </w:rPr>
        <mc:AlternateContent>
          <mc:Choice Requires="wps">
            <w:drawing>
              <wp:anchor distT="0" distB="0" distL="114300" distR="114300" simplePos="0" relativeHeight="251662336" behindDoc="0" locked="0" layoutInCell="1" allowOverlap="1" wp14:anchorId="6BF28A12" wp14:editId="390DAC1D">
                <wp:simplePos x="0" y="0"/>
                <wp:positionH relativeFrom="column">
                  <wp:posOffset>1352550</wp:posOffset>
                </wp:positionH>
                <wp:positionV relativeFrom="paragraph">
                  <wp:posOffset>1409700</wp:posOffset>
                </wp:positionV>
                <wp:extent cx="247650" cy="139700"/>
                <wp:effectExtent l="0" t="0" r="76200" b="50800"/>
                <wp:wrapNone/>
                <wp:docPr id="583814632" name="Straight Arrow Connector 1"/>
                <wp:cNvGraphicFramePr/>
                <a:graphic xmlns:a="http://schemas.openxmlformats.org/drawingml/2006/main">
                  <a:graphicData uri="http://schemas.microsoft.com/office/word/2010/wordprocessingShape">
                    <wps:wsp>
                      <wps:cNvCnPr/>
                      <wps:spPr>
                        <a:xfrm>
                          <a:off x="0" y="0"/>
                          <a:ext cx="247650" cy="139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8927EC" id="Straight Arrow Connector 1" o:spid="_x0000_s1026" type="#_x0000_t32" style="position:absolute;margin-left:106.5pt;margin-top:111pt;width:19.5pt;height:1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" strokecolor="black [3200]" strokeweight=".5pt">
                <v:stroke endarrow="block" joinstyle="miter"/>
              </v:shape>
            </w:pict>
          </mc:Fallback>
        </mc:AlternateContent>
      </w:r>
      <w:r w:rsidR="002A53D5" w:rsidRPr="002574FD">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372DF460" wp14:editId="120A0CB8">
                <wp:simplePos x="0" y="0"/>
                <wp:positionH relativeFrom="column">
                  <wp:posOffset>857250</wp:posOffset>
                </wp:positionH>
                <wp:positionV relativeFrom="paragraph">
                  <wp:posOffset>1174750</wp:posOffset>
                </wp:positionV>
                <wp:extent cx="787400" cy="2794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79400"/>
                        </a:xfrm>
                        <a:prstGeom prst="rect">
                          <a:avLst/>
                        </a:prstGeom>
                        <a:noFill/>
                        <a:ln w="9525">
                          <a:noFill/>
                          <a:miter lim="800000"/>
                          <a:headEnd/>
                          <a:tailEnd/>
                        </a:ln>
                      </wps:spPr>
                      <wps:txbx>
                        <w:txbxContent>
                          <w:p w14:paraId="777E9756" w14:textId="7070C20A" w:rsidR="002574FD" w:rsidRPr="00B11FF4" w:rsidRDefault="002574FD">
                            <w:pPr>
                              <w:rPr>
                                <w:rFonts w:ascii="Arial" w:hAnsi="Arial"/>
                                <w:sz w:val="20"/>
                                <w:szCs w:val="20"/>
                              </w:rPr>
                            </w:pPr>
                            <w:r w:rsidRPr="00B11FF4">
                              <w:rPr>
                                <w:rFonts w:ascii="Arial" w:hAnsi="Arial"/>
                                <w:sz w:val="20"/>
                                <w:szCs w:val="20"/>
                              </w:rPr>
                              <w:t>O</w:t>
                            </w:r>
                            <w:r w:rsidR="002A53D5" w:rsidRPr="00B11FF4">
                              <w:rPr>
                                <w:rFonts w:ascii="Arial" w:hAnsi="Arial"/>
                                <w:sz w:val="20"/>
                                <w:szCs w:val="20"/>
                              </w:rPr>
                              <w:t>K Visits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DF460" id="_x0000_s1027" type="#_x0000_t202" style="position:absolute;margin-left:67.5pt;margin-top:92.5pt;width:62pt;height: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" filled="f" stroked="f">
                <v:textbox>
                  <w:txbxContent>
                    <w:p w14:paraId="777E9756" w14:textId="7070C20A" w:rsidR="002574FD" w:rsidRPr="00B11FF4" w:rsidRDefault="002574FD">
                      <w:pPr>
                        <w:rPr>
                          <w:rFonts w:ascii="Arial" w:hAnsi="Arial"/>
                          <w:sz w:val="20"/>
                          <w:szCs w:val="20"/>
                        </w:rPr>
                      </w:pPr>
                      <w:r w:rsidRPr="00B11FF4">
                        <w:rPr>
                          <w:rFonts w:ascii="Arial" w:hAnsi="Arial"/>
                          <w:sz w:val="20"/>
                          <w:szCs w:val="20"/>
                        </w:rPr>
                        <w:t>O</w:t>
                      </w:r>
                      <w:r w:rsidR="002A53D5" w:rsidRPr="00B11FF4">
                        <w:rPr>
                          <w:rFonts w:ascii="Arial" w:hAnsi="Arial"/>
                          <w:sz w:val="20"/>
                          <w:szCs w:val="20"/>
                        </w:rPr>
                        <w:t>K Visits</w:t>
                      </w:r>
                    </w:p>
                  </w:txbxContent>
                </v:textbox>
              </v:shape>
            </w:pict>
          </mc:Fallback>
        </mc:AlternateContent>
      </w:r>
      <w:r w:rsidR="00A16E37">
        <w:rPr>
          <w:rFonts w:ascii="Arial" w:hAnsi="Arial" w:cs="Arial"/>
          <w:noProof/>
          <w:sz w:val="20"/>
          <w:szCs w:val="20"/>
          <w14:ligatures w14:val="standardContextual"/>
        </w:rPr>
        <w:drawing>
          <wp:inline distT="0" distB="0" distL="0" distR="0" wp14:anchorId="7C54B11A" wp14:editId="4765A2E7">
            <wp:extent cx="5180870" cy="3522980"/>
            <wp:effectExtent l="0" t="0" r="1270" b="1270"/>
            <wp:docPr id="946619360" name="Picture 5" descr="A graph showing the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619360" name="Picture 5" descr="A graph showing the different types of lin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94785" cy="3532442"/>
                    </a:xfrm>
                    <a:prstGeom prst="rect">
                      <a:avLst/>
                    </a:prstGeom>
                  </pic:spPr>
                </pic:pic>
              </a:graphicData>
            </a:graphic>
          </wp:inline>
        </w:drawing>
      </w:r>
    </w:p>
    <w:p w14:paraId="40F0FFC0" w14:textId="7DEDE777" w:rsidR="001A1243" w:rsidRPr="00A551EC" w:rsidRDefault="007C702B" w:rsidP="00A551EC">
      <w:pPr>
        <w:spacing w:after="0"/>
        <w:rPr>
          <w:rFonts w:ascii="Arial" w:hAnsi="Arial" w:cs="Arial"/>
          <w:sz w:val="20"/>
          <w:szCs w:val="20"/>
        </w:rPr>
      </w:pPr>
      <w:r w:rsidRPr="00A551EC">
        <w:rPr>
          <w:rFonts w:ascii="Arial" w:hAnsi="Arial" w:cs="Arial"/>
          <w:sz w:val="20"/>
          <w:szCs w:val="20"/>
        </w:rPr>
        <w:t xml:space="preserve">Source: Safegraph Inc. mobile phone data. </w:t>
      </w:r>
    </w:p>
    <w:p w14:paraId="2836960A" w14:textId="263DEEA7" w:rsidR="003E2178" w:rsidRPr="00A551EC" w:rsidRDefault="001A1243" w:rsidP="00A551EC">
      <w:pPr>
        <w:spacing w:after="0"/>
        <w:rPr>
          <w:rFonts w:ascii="Arial" w:hAnsi="Arial" w:cs="Arial"/>
          <w:sz w:val="20"/>
          <w:szCs w:val="20"/>
        </w:rPr>
      </w:pPr>
      <w:r w:rsidRPr="00A551EC">
        <w:rPr>
          <w:rFonts w:ascii="Arial" w:hAnsi="Arial" w:cs="Arial"/>
          <w:sz w:val="20"/>
          <w:szCs w:val="20"/>
        </w:rPr>
        <w:t>Note:</w:t>
      </w:r>
      <w:r w:rsidR="002372E7" w:rsidRPr="00A551EC">
        <w:rPr>
          <w:rFonts w:ascii="Arial" w:hAnsi="Arial" w:cs="Arial"/>
          <w:sz w:val="20"/>
          <w:szCs w:val="20"/>
        </w:rPr>
        <w:t xml:space="preserve"> </w:t>
      </w:r>
      <w:r w:rsidR="007C702B" w:rsidRPr="00A551EC">
        <w:rPr>
          <w:rFonts w:ascii="Arial" w:hAnsi="Arial" w:cs="Arial"/>
          <w:sz w:val="20"/>
          <w:szCs w:val="20"/>
        </w:rPr>
        <w:t xml:space="preserve">The left y-axis of the </w:t>
      </w:r>
      <w:r w:rsidR="00B86ED2" w:rsidRPr="00A551EC">
        <w:rPr>
          <w:rFonts w:ascii="Arial" w:hAnsi="Arial" w:cs="Arial"/>
          <w:sz w:val="20"/>
          <w:szCs w:val="20"/>
        </w:rPr>
        <w:t>graph corresponds to Oklahoma</w:t>
      </w:r>
      <w:r w:rsidR="00FB0DC3">
        <w:rPr>
          <w:rFonts w:ascii="Arial" w:hAnsi="Arial" w:cs="Arial"/>
          <w:sz w:val="20"/>
          <w:szCs w:val="20"/>
        </w:rPr>
        <w:t xml:space="preserve"> (OK)</w:t>
      </w:r>
      <w:r w:rsidR="00B86ED2" w:rsidRPr="00A551EC">
        <w:rPr>
          <w:rFonts w:ascii="Arial" w:hAnsi="Arial" w:cs="Arial"/>
          <w:sz w:val="20"/>
          <w:szCs w:val="20"/>
        </w:rPr>
        <w:t xml:space="preserve"> visits and the right y-axis corresponds to Texas</w:t>
      </w:r>
      <w:r w:rsidR="00FB0DC3">
        <w:rPr>
          <w:rFonts w:ascii="Arial" w:hAnsi="Arial" w:cs="Arial"/>
          <w:sz w:val="20"/>
          <w:szCs w:val="20"/>
        </w:rPr>
        <w:t xml:space="preserve"> (TX)</w:t>
      </w:r>
      <w:r w:rsidR="00B86ED2" w:rsidRPr="00A551EC">
        <w:rPr>
          <w:rFonts w:ascii="Arial" w:hAnsi="Arial" w:cs="Arial"/>
          <w:sz w:val="20"/>
          <w:szCs w:val="20"/>
        </w:rPr>
        <w:t xml:space="preserve"> visits.</w:t>
      </w:r>
      <w:r w:rsidR="004F2EB8">
        <w:rPr>
          <w:rFonts w:ascii="Arial" w:hAnsi="Arial" w:cs="Arial"/>
          <w:sz w:val="20"/>
          <w:szCs w:val="20"/>
        </w:rPr>
        <w:t xml:space="preserve"> </w:t>
      </w:r>
      <w:r w:rsidR="00101C42">
        <w:rPr>
          <w:rFonts w:ascii="Arial" w:hAnsi="Arial" w:cs="Arial"/>
          <w:sz w:val="20"/>
          <w:szCs w:val="20"/>
        </w:rPr>
        <w:t xml:space="preserve">Texas and </w:t>
      </w:r>
      <w:r w:rsidR="006C7F5B">
        <w:rPr>
          <w:rFonts w:ascii="Arial" w:hAnsi="Arial" w:cs="Arial"/>
          <w:sz w:val="20"/>
          <w:szCs w:val="20"/>
        </w:rPr>
        <w:t>Oklahoma visits</w:t>
      </w:r>
      <w:r w:rsidR="00DA3A7D">
        <w:rPr>
          <w:rFonts w:ascii="Arial" w:hAnsi="Arial" w:cs="Arial"/>
          <w:sz w:val="20"/>
          <w:szCs w:val="20"/>
        </w:rPr>
        <w:t xml:space="preserve"> </w:t>
      </w:r>
      <w:r w:rsidR="00F40D80">
        <w:rPr>
          <w:rFonts w:ascii="Arial" w:hAnsi="Arial" w:cs="Arial"/>
          <w:sz w:val="20"/>
          <w:szCs w:val="20"/>
        </w:rPr>
        <w:t xml:space="preserve">correspond to </w:t>
      </w:r>
      <w:r w:rsidR="00DA3A7D">
        <w:rPr>
          <w:rFonts w:ascii="Arial" w:hAnsi="Arial" w:cs="Arial"/>
          <w:sz w:val="20"/>
          <w:szCs w:val="20"/>
        </w:rPr>
        <w:t>average aggregated visits</w:t>
      </w:r>
      <w:r w:rsidR="00F15BFA">
        <w:rPr>
          <w:rFonts w:ascii="Arial" w:hAnsi="Arial" w:cs="Arial"/>
          <w:sz w:val="20"/>
          <w:szCs w:val="20"/>
        </w:rPr>
        <w:t xml:space="preserve"> to abortion clinics measured by mobile phone data. Due to the</w:t>
      </w:r>
      <w:r w:rsidR="00841567">
        <w:rPr>
          <w:rFonts w:ascii="Arial" w:hAnsi="Arial" w:cs="Arial"/>
          <w:sz w:val="20"/>
          <w:szCs w:val="20"/>
        </w:rPr>
        <w:t xml:space="preserve"> numerical difference</w:t>
      </w:r>
      <w:r w:rsidR="00F15BFA">
        <w:rPr>
          <w:rFonts w:ascii="Arial" w:hAnsi="Arial" w:cs="Arial"/>
          <w:sz w:val="20"/>
          <w:szCs w:val="20"/>
        </w:rPr>
        <w:t xml:space="preserve"> </w:t>
      </w:r>
      <w:r w:rsidR="00841567">
        <w:rPr>
          <w:rFonts w:ascii="Arial" w:hAnsi="Arial" w:cs="Arial"/>
          <w:sz w:val="20"/>
          <w:szCs w:val="20"/>
        </w:rPr>
        <w:t xml:space="preserve">in average visitation per month, </w:t>
      </w:r>
      <w:r w:rsidR="008B2086">
        <w:rPr>
          <w:rFonts w:ascii="Arial" w:hAnsi="Arial" w:cs="Arial"/>
          <w:sz w:val="20"/>
          <w:szCs w:val="20"/>
        </w:rPr>
        <w:t xml:space="preserve">the trend lines were </w:t>
      </w:r>
      <w:r w:rsidR="00DA3A7D">
        <w:rPr>
          <w:rFonts w:ascii="Arial" w:hAnsi="Arial" w:cs="Arial"/>
          <w:sz w:val="20"/>
          <w:szCs w:val="20"/>
        </w:rPr>
        <w:t xml:space="preserve">overlayed </w:t>
      </w:r>
      <w:r w:rsidR="008B2086">
        <w:rPr>
          <w:rFonts w:ascii="Arial" w:hAnsi="Arial" w:cs="Arial"/>
          <w:sz w:val="20"/>
          <w:szCs w:val="20"/>
        </w:rPr>
        <w:t xml:space="preserve">corresponding to </w:t>
      </w:r>
      <w:r w:rsidR="00A95680">
        <w:rPr>
          <w:rFonts w:ascii="Arial" w:hAnsi="Arial" w:cs="Arial"/>
          <w:sz w:val="20"/>
          <w:szCs w:val="20"/>
        </w:rPr>
        <w:t>different y-axis.</w:t>
      </w:r>
      <w:r w:rsidR="00FB0DC3">
        <w:rPr>
          <w:rFonts w:ascii="Arial" w:hAnsi="Arial" w:cs="Arial"/>
          <w:sz w:val="20"/>
          <w:szCs w:val="20"/>
        </w:rPr>
        <w:t xml:space="preserve"> SB 8 stands for Texas Senate Bill 8.</w:t>
      </w:r>
    </w:p>
    <w:tbl>
      <w:tblPr>
        <w:tblW w:w="8788" w:type="dxa"/>
        <w:tblLook w:val="04A0" w:firstRow="1" w:lastRow="0" w:firstColumn="1" w:lastColumn="0" w:noHBand="0" w:noVBand="1"/>
      </w:tblPr>
      <w:tblGrid>
        <w:gridCol w:w="4316"/>
        <w:gridCol w:w="2337"/>
        <w:gridCol w:w="2135"/>
      </w:tblGrid>
      <w:tr w:rsidR="003E2178" w:rsidRPr="00A551EC" w14:paraId="566219F4" w14:textId="77777777" w:rsidTr="0007753C">
        <w:trPr>
          <w:trHeight w:val="1206"/>
        </w:trPr>
        <w:tc>
          <w:tcPr>
            <w:tcW w:w="8788" w:type="dxa"/>
            <w:gridSpan w:val="3"/>
            <w:tcBorders>
              <w:top w:val="nil"/>
              <w:left w:val="nil"/>
              <w:bottom w:val="nil"/>
              <w:right w:val="nil"/>
            </w:tcBorders>
            <w:shd w:val="clear" w:color="auto" w:fill="auto"/>
            <w:vAlign w:val="bottom"/>
            <w:hideMark/>
          </w:tcPr>
          <w:p w14:paraId="5126BE5F" w14:textId="77777777" w:rsidR="003E2178" w:rsidRPr="00A551EC" w:rsidRDefault="003E2178" w:rsidP="00A551EC">
            <w:pPr>
              <w:spacing w:after="0" w:line="240" w:lineRule="auto"/>
              <w:rPr>
                <w:rFonts w:ascii="Arial" w:eastAsia="Times New Roman" w:hAnsi="Arial" w:cs="Arial"/>
                <w:b/>
                <w:bCs/>
                <w:color w:val="000000"/>
                <w:kern w:val="0"/>
                <w:sz w:val="20"/>
                <w:szCs w:val="20"/>
                <w14:ligatures w14:val="none"/>
              </w:rPr>
            </w:pPr>
            <w:r w:rsidRPr="00A551EC">
              <w:rPr>
                <w:rFonts w:ascii="Arial" w:eastAsia="Times New Roman" w:hAnsi="Arial" w:cs="Arial"/>
                <w:b/>
                <w:bCs/>
                <w:color w:val="000000"/>
                <w:kern w:val="0"/>
                <w:sz w:val="20"/>
                <w:szCs w:val="20"/>
                <w14:ligatures w14:val="none"/>
              </w:rPr>
              <w:t>Table A. Difference in marginal effects of time on abortion clinic visits in Texas and Oklahoma</w:t>
            </w:r>
          </w:p>
        </w:tc>
      </w:tr>
      <w:tr w:rsidR="003E2178" w:rsidRPr="00A551EC" w14:paraId="73FABE5D" w14:textId="77777777" w:rsidTr="0007753C">
        <w:trPr>
          <w:trHeight w:val="376"/>
        </w:trPr>
        <w:tc>
          <w:tcPr>
            <w:tcW w:w="4316" w:type="dxa"/>
            <w:tcBorders>
              <w:top w:val="single" w:sz="4" w:space="0" w:color="auto"/>
              <w:left w:val="nil"/>
              <w:bottom w:val="single" w:sz="4" w:space="0" w:color="auto"/>
              <w:right w:val="nil"/>
            </w:tcBorders>
            <w:shd w:val="clear" w:color="auto" w:fill="auto"/>
            <w:noWrap/>
            <w:vAlign w:val="bottom"/>
            <w:hideMark/>
          </w:tcPr>
          <w:p w14:paraId="0C8A7E82"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 </w:t>
            </w:r>
          </w:p>
        </w:tc>
        <w:tc>
          <w:tcPr>
            <w:tcW w:w="2337" w:type="dxa"/>
            <w:tcBorders>
              <w:top w:val="single" w:sz="4" w:space="0" w:color="auto"/>
              <w:left w:val="nil"/>
              <w:bottom w:val="single" w:sz="4" w:space="0" w:color="auto"/>
              <w:right w:val="nil"/>
            </w:tcBorders>
            <w:shd w:val="clear" w:color="auto" w:fill="auto"/>
            <w:noWrap/>
            <w:vAlign w:val="bottom"/>
            <w:hideMark/>
          </w:tcPr>
          <w:p w14:paraId="3824050A"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Estimate</w:t>
            </w:r>
          </w:p>
        </w:tc>
        <w:tc>
          <w:tcPr>
            <w:tcW w:w="2134" w:type="dxa"/>
            <w:tcBorders>
              <w:top w:val="single" w:sz="4" w:space="0" w:color="auto"/>
              <w:left w:val="nil"/>
              <w:bottom w:val="single" w:sz="4" w:space="0" w:color="auto"/>
              <w:right w:val="nil"/>
            </w:tcBorders>
            <w:shd w:val="clear" w:color="auto" w:fill="auto"/>
            <w:noWrap/>
            <w:vAlign w:val="bottom"/>
            <w:hideMark/>
          </w:tcPr>
          <w:p w14:paraId="58E212DE"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Std. Error</w:t>
            </w:r>
          </w:p>
        </w:tc>
      </w:tr>
      <w:tr w:rsidR="003E2178" w:rsidRPr="00A551EC" w14:paraId="1BE78326" w14:textId="77777777" w:rsidTr="0007753C">
        <w:trPr>
          <w:trHeight w:val="376"/>
        </w:trPr>
        <w:tc>
          <w:tcPr>
            <w:tcW w:w="4316" w:type="dxa"/>
            <w:tcBorders>
              <w:top w:val="nil"/>
              <w:left w:val="nil"/>
              <w:bottom w:val="nil"/>
              <w:right w:val="nil"/>
            </w:tcBorders>
            <w:shd w:val="clear" w:color="auto" w:fill="auto"/>
            <w:noWrap/>
            <w:vAlign w:val="bottom"/>
            <w:hideMark/>
          </w:tcPr>
          <w:p w14:paraId="7565EF51"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Main Variables</w:t>
            </w:r>
          </w:p>
        </w:tc>
        <w:tc>
          <w:tcPr>
            <w:tcW w:w="2337" w:type="dxa"/>
            <w:tcBorders>
              <w:top w:val="nil"/>
              <w:left w:val="nil"/>
              <w:bottom w:val="nil"/>
              <w:right w:val="nil"/>
            </w:tcBorders>
            <w:shd w:val="clear" w:color="auto" w:fill="auto"/>
            <w:noWrap/>
            <w:vAlign w:val="bottom"/>
            <w:hideMark/>
          </w:tcPr>
          <w:p w14:paraId="629AE83D"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p>
        </w:tc>
        <w:tc>
          <w:tcPr>
            <w:tcW w:w="2134" w:type="dxa"/>
            <w:tcBorders>
              <w:top w:val="nil"/>
              <w:left w:val="nil"/>
              <w:bottom w:val="nil"/>
              <w:right w:val="nil"/>
            </w:tcBorders>
            <w:shd w:val="clear" w:color="auto" w:fill="auto"/>
            <w:noWrap/>
            <w:vAlign w:val="bottom"/>
            <w:hideMark/>
          </w:tcPr>
          <w:p w14:paraId="6BCC6910" w14:textId="77777777" w:rsidR="003E2178" w:rsidRPr="00A551EC" w:rsidRDefault="003E2178" w:rsidP="00A551EC">
            <w:pPr>
              <w:spacing w:after="0" w:line="240" w:lineRule="auto"/>
              <w:rPr>
                <w:rFonts w:ascii="Arial" w:eastAsia="Times New Roman" w:hAnsi="Arial" w:cs="Arial"/>
                <w:kern w:val="0"/>
                <w:sz w:val="20"/>
                <w:szCs w:val="20"/>
                <w14:ligatures w14:val="none"/>
              </w:rPr>
            </w:pPr>
          </w:p>
        </w:tc>
      </w:tr>
      <w:tr w:rsidR="003E2178" w:rsidRPr="00A551EC" w14:paraId="226BB3A0" w14:textId="77777777" w:rsidTr="0007753C">
        <w:trPr>
          <w:trHeight w:val="376"/>
        </w:trPr>
        <w:tc>
          <w:tcPr>
            <w:tcW w:w="4316" w:type="dxa"/>
            <w:tcBorders>
              <w:top w:val="nil"/>
              <w:left w:val="nil"/>
              <w:bottom w:val="nil"/>
              <w:right w:val="nil"/>
            </w:tcBorders>
            <w:shd w:val="clear" w:color="auto" w:fill="auto"/>
            <w:noWrap/>
            <w:vAlign w:val="bottom"/>
            <w:hideMark/>
          </w:tcPr>
          <w:p w14:paraId="1B9F17DB" w14:textId="7053620C"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Month</w:t>
            </w:r>
            <w:r w:rsidR="00206914" w:rsidRPr="00A551EC">
              <w:rPr>
                <w:rFonts w:ascii="Arial" w:eastAsia="Times New Roman" w:hAnsi="Arial" w:cs="Arial"/>
                <w:color w:val="000000"/>
                <w:kern w:val="0"/>
                <w:sz w:val="20"/>
                <w:szCs w:val="20"/>
                <w14:ligatures w14:val="none"/>
              </w:rPr>
              <w:t xml:space="preserve"> (</w:t>
            </w:r>
            <w:r w:rsidR="004A2C8D" w:rsidRPr="00A551EC">
              <w:rPr>
                <w:rFonts w:ascii="Arial" w:eastAsia="Times New Roman" w:hAnsi="Arial" w:cs="Arial"/>
                <w:color w:val="000000"/>
                <w:kern w:val="0"/>
                <w:sz w:val="20"/>
                <w:szCs w:val="20"/>
                <w14:ligatures w14:val="none"/>
              </w:rPr>
              <w:t>Jan 21-Aug 21)</w:t>
            </w:r>
          </w:p>
        </w:tc>
        <w:tc>
          <w:tcPr>
            <w:tcW w:w="2337" w:type="dxa"/>
            <w:tcBorders>
              <w:top w:val="nil"/>
              <w:left w:val="nil"/>
              <w:bottom w:val="nil"/>
              <w:right w:val="nil"/>
            </w:tcBorders>
            <w:shd w:val="clear" w:color="auto" w:fill="auto"/>
            <w:noWrap/>
            <w:vAlign w:val="bottom"/>
            <w:hideMark/>
          </w:tcPr>
          <w:p w14:paraId="4162F83D"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6.08***</w:t>
            </w:r>
          </w:p>
        </w:tc>
        <w:tc>
          <w:tcPr>
            <w:tcW w:w="2134" w:type="dxa"/>
            <w:tcBorders>
              <w:top w:val="nil"/>
              <w:left w:val="nil"/>
              <w:bottom w:val="nil"/>
              <w:right w:val="nil"/>
            </w:tcBorders>
            <w:shd w:val="clear" w:color="auto" w:fill="auto"/>
            <w:noWrap/>
            <w:vAlign w:val="bottom"/>
            <w:hideMark/>
          </w:tcPr>
          <w:p w14:paraId="0CDA012C"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0.48</w:t>
            </w:r>
          </w:p>
        </w:tc>
      </w:tr>
      <w:tr w:rsidR="003E2178" w:rsidRPr="00A551EC" w14:paraId="405DAB04" w14:textId="77777777" w:rsidTr="0007753C">
        <w:trPr>
          <w:trHeight w:val="376"/>
        </w:trPr>
        <w:tc>
          <w:tcPr>
            <w:tcW w:w="4316" w:type="dxa"/>
            <w:tcBorders>
              <w:top w:val="nil"/>
              <w:left w:val="nil"/>
              <w:bottom w:val="nil"/>
              <w:right w:val="nil"/>
            </w:tcBorders>
            <w:shd w:val="clear" w:color="auto" w:fill="auto"/>
            <w:noWrap/>
            <w:vAlign w:val="bottom"/>
            <w:hideMark/>
          </w:tcPr>
          <w:p w14:paraId="18D6D546"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State (1= TX, 0=OK)</w:t>
            </w:r>
          </w:p>
        </w:tc>
        <w:tc>
          <w:tcPr>
            <w:tcW w:w="2337" w:type="dxa"/>
            <w:tcBorders>
              <w:top w:val="nil"/>
              <w:left w:val="nil"/>
              <w:bottom w:val="nil"/>
              <w:right w:val="nil"/>
            </w:tcBorders>
            <w:shd w:val="clear" w:color="auto" w:fill="auto"/>
            <w:noWrap/>
            <w:vAlign w:val="bottom"/>
            <w:hideMark/>
          </w:tcPr>
          <w:p w14:paraId="04C0913C"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-41.86***</w:t>
            </w:r>
          </w:p>
        </w:tc>
        <w:tc>
          <w:tcPr>
            <w:tcW w:w="2134" w:type="dxa"/>
            <w:tcBorders>
              <w:top w:val="nil"/>
              <w:left w:val="nil"/>
              <w:bottom w:val="nil"/>
              <w:right w:val="nil"/>
            </w:tcBorders>
            <w:shd w:val="clear" w:color="auto" w:fill="auto"/>
            <w:noWrap/>
            <w:vAlign w:val="bottom"/>
            <w:hideMark/>
          </w:tcPr>
          <w:p w14:paraId="6A90641D"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3.32</w:t>
            </w:r>
          </w:p>
        </w:tc>
      </w:tr>
      <w:tr w:rsidR="003E2178" w:rsidRPr="00A551EC" w14:paraId="72FB0682" w14:textId="77777777" w:rsidTr="0007753C">
        <w:trPr>
          <w:trHeight w:val="376"/>
        </w:trPr>
        <w:tc>
          <w:tcPr>
            <w:tcW w:w="4316" w:type="dxa"/>
            <w:tcBorders>
              <w:top w:val="nil"/>
              <w:left w:val="nil"/>
              <w:bottom w:val="nil"/>
              <w:right w:val="nil"/>
            </w:tcBorders>
            <w:shd w:val="clear" w:color="auto" w:fill="auto"/>
            <w:noWrap/>
            <w:vAlign w:val="bottom"/>
            <w:hideMark/>
          </w:tcPr>
          <w:p w14:paraId="6476834E" w14:textId="48324778"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Month:</w:t>
            </w:r>
            <w:r w:rsidR="00041917" w:rsidRPr="00A551EC">
              <w:rPr>
                <w:rFonts w:ascii="Arial" w:eastAsia="Times New Roman" w:hAnsi="Arial" w:cs="Arial"/>
                <w:color w:val="000000"/>
                <w:kern w:val="0"/>
                <w:sz w:val="20"/>
                <w:szCs w:val="20"/>
                <w14:ligatures w14:val="none"/>
              </w:rPr>
              <w:t xml:space="preserve"> </w:t>
            </w:r>
            <w:r w:rsidRPr="00A551EC">
              <w:rPr>
                <w:rFonts w:ascii="Arial" w:eastAsia="Times New Roman" w:hAnsi="Arial" w:cs="Arial"/>
                <w:color w:val="000000"/>
                <w:kern w:val="0"/>
                <w:sz w:val="20"/>
                <w:szCs w:val="20"/>
                <w14:ligatures w14:val="none"/>
              </w:rPr>
              <w:t>Region</w:t>
            </w:r>
          </w:p>
        </w:tc>
        <w:tc>
          <w:tcPr>
            <w:tcW w:w="2337" w:type="dxa"/>
            <w:tcBorders>
              <w:top w:val="nil"/>
              <w:left w:val="nil"/>
              <w:bottom w:val="nil"/>
              <w:right w:val="nil"/>
            </w:tcBorders>
            <w:shd w:val="clear" w:color="auto" w:fill="auto"/>
            <w:noWrap/>
            <w:vAlign w:val="bottom"/>
            <w:hideMark/>
          </w:tcPr>
          <w:p w14:paraId="319832C9"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-6.02***</w:t>
            </w:r>
          </w:p>
        </w:tc>
        <w:tc>
          <w:tcPr>
            <w:tcW w:w="2134" w:type="dxa"/>
            <w:tcBorders>
              <w:top w:val="nil"/>
              <w:left w:val="nil"/>
              <w:bottom w:val="nil"/>
              <w:right w:val="nil"/>
            </w:tcBorders>
            <w:shd w:val="clear" w:color="auto" w:fill="auto"/>
            <w:noWrap/>
            <w:vAlign w:val="bottom"/>
            <w:hideMark/>
          </w:tcPr>
          <w:p w14:paraId="36E10EA1"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0.79</w:t>
            </w:r>
          </w:p>
        </w:tc>
      </w:tr>
      <w:tr w:rsidR="003E2178" w:rsidRPr="00A551EC" w14:paraId="2156A3D5" w14:textId="77777777" w:rsidTr="0007753C">
        <w:trPr>
          <w:trHeight w:val="376"/>
        </w:trPr>
        <w:tc>
          <w:tcPr>
            <w:tcW w:w="4316" w:type="dxa"/>
            <w:tcBorders>
              <w:top w:val="single" w:sz="4" w:space="0" w:color="auto"/>
              <w:left w:val="nil"/>
              <w:bottom w:val="nil"/>
              <w:right w:val="nil"/>
            </w:tcBorders>
            <w:shd w:val="clear" w:color="auto" w:fill="auto"/>
            <w:noWrap/>
            <w:vAlign w:val="bottom"/>
            <w:hideMark/>
          </w:tcPr>
          <w:p w14:paraId="2335A922"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N=37,390</w:t>
            </w:r>
          </w:p>
        </w:tc>
        <w:tc>
          <w:tcPr>
            <w:tcW w:w="2337" w:type="dxa"/>
            <w:tcBorders>
              <w:top w:val="single" w:sz="4" w:space="0" w:color="auto"/>
              <w:left w:val="nil"/>
              <w:bottom w:val="nil"/>
              <w:right w:val="nil"/>
            </w:tcBorders>
            <w:shd w:val="clear" w:color="auto" w:fill="auto"/>
            <w:noWrap/>
            <w:vAlign w:val="bottom"/>
            <w:hideMark/>
          </w:tcPr>
          <w:p w14:paraId="5CA63339"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 </w:t>
            </w:r>
          </w:p>
        </w:tc>
        <w:tc>
          <w:tcPr>
            <w:tcW w:w="2134" w:type="dxa"/>
            <w:tcBorders>
              <w:top w:val="single" w:sz="4" w:space="0" w:color="auto"/>
              <w:left w:val="nil"/>
              <w:bottom w:val="nil"/>
              <w:right w:val="nil"/>
            </w:tcBorders>
            <w:shd w:val="clear" w:color="auto" w:fill="auto"/>
            <w:noWrap/>
            <w:vAlign w:val="bottom"/>
            <w:hideMark/>
          </w:tcPr>
          <w:p w14:paraId="6F08028C"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 </w:t>
            </w:r>
          </w:p>
        </w:tc>
      </w:tr>
      <w:tr w:rsidR="003E2178" w:rsidRPr="00A551EC" w14:paraId="2E39A02B" w14:textId="77777777" w:rsidTr="0007753C">
        <w:trPr>
          <w:trHeight w:val="376"/>
        </w:trPr>
        <w:tc>
          <w:tcPr>
            <w:tcW w:w="6653" w:type="dxa"/>
            <w:gridSpan w:val="2"/>
            <w:tcBorders>
              <w:top w:val="nil"/>
              <w:left w:val="nil"/>
              <w:bottom w:val="single" w:sz="4" w:space="0" w:color="auto"/>
              <w:right w:val="nil"/>
            </w:tcBorders>
            <w:shd w:val="clear" w:color="auto" w:fill="auto"/>
            <w:noWrap/>
            <w:vAlign w:val="bottom"/>
            <w:hideMark/>
          </w:tcPr>
          <w:p w14:paraId="13D7D64F"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R-squared= 0.03***</w:t>
            </w:r>
          </w:p>
        </w:tc>
        <w:tc>
          <w:tcPr>
            <w:tcW w:w="2134" w:type="dxa"/>
            <w:tcBorders>
              <w:top w:val="nil"/>
              <w:left w:val="nil"/>
              <w:bottom w:val="single" w:sz="4" w:space="0" w:color="auto"/>
              <w:right w:val="nil"/>
            </w:tcBorders>
            <w:shd w:val="clear" w:color="auto" w:fill="auto"/>
            <w:noWrap/>
            <w:vAlign w:val="bottom"/>
            <w:hideMark/>
          </w:tcPr>
          <w:p w14:paraId="5A454374" w14:textId="77777777" w:rsidR="003E2178" w:rsidRPr="00A551EC" w:rsidRDefault="003E2178" w:rsidP="00A551EC">
            <w:pPr>
              <w:spacing w:after="0" w:line="240" w:lineRule="auto"/>
              <w:rPr>
                <w:rFonts w:ascii="Arial" w:eastAsia="Times New Roman" w:hAnsi="Arial" w:cs="Arial"/>
                <w:color w:val="000000"/>
                <w:kern w:val="0"/>
                <w:sz w:val="20"/>
                <w:szCs w:val="20"/>
                <w14:ligatures w14:val="none"/>
              </w:rPr>
            </w:pPr>
            <w:r w:rsidRPr="00A551EC">
              <w:rPr>
                <w:rFonts w:ascii="Arial" w:eastAsia="Times New Roman" w:hAnsi="Arial" w:cs="Arial"/>
                <w:color w:val="000000"/>
                <w:kern w:val="0"/>
                <w:sz w:val="20"/>
                <w:szCs w:val="20"/>
                <w14:ligatures w14:val="none"/>
              </w:rPr>
              <w:t> </w:t>
            </w:r>
          </w:p>
        </w:tc>
      </w:tr>
    </w:tbl>
    <w:p w14:paraId="539DB53F" w14:textId="080CDAE9" w:rsidR="00A4121D" w:rsidRPr="00A551EC" w:rsidRDefault="00B86ED2" w:rsidP="00A551EC">
      <w:pPr>
        <w:rPr>
          <w:rFonts w:ascii="Arial" w:hAnsi="Arial" w:cs="Arial"/>
          <w:sz w:val="20"/>
          <w:szCs w:val="20"/>
        </w:rPr>
      </w:pPr>
      <w:r w:rsidRPr="00A551EC">
        <w:rPr>
          <w:rFonts w:ascii="Arial" w:hAnsi="Arial" w:cs="Arial"/>
          <w:sz w:val="20"/>
          <w:szCs w:val="20"/>
        </w:rPr>
        <w:t>Source</w:t>
      </w:r>
      <w:r w:rsidR="002E1E86" w:rsidRPr="00A551EC">
        <w:rPr>
          <w:rFonts w:ascii="Arial" w:hAnsi="Arial" w:cs="Arial"/>
          <w:sz w:val="20"/>
          <w:szCs w:val="20"/>
        </w:rPr>
        <w:t xml:space="preserve">: </w:t>
      </w:r>
      <w:r w:rsidR="00B948C2" w:rsidRPr="00A551EC">
        <w:rPr>
          <w:rFonts w:ascii="Arial" w:hAnsi="Arial" w:cs="Arial"/>
          <w:sz w:val="20"/>
          <w:szCs w:val="20"/>
        </w:rPr>
        <w:t>Safegraph Inc. mobile phone data.</w:t>
      </w:r>
    </w:p>
    <w:p w14:paraId="4D48A755" w14:textId="77777777" w:rsidR="00B63D5F" w:rsidRPr="00A551EC" w:rsidRDefault="00B63D5F" w:rsidP="00A551EC">
      <w:pPr>
        <w:ind w:left="720"/>
        <w:rPr>
          <w:rFonts w:ascii="Arial" w:eastAsia="Aptos" w:hAnsi="Arial" w:cs="Arial"/>
          <w:color w:val="000000" w:themeColor="text1"/>
          <w:sz w:val="20"/>
          <w:szCs w:val="20"/>
        </w:rPr>
      </w:pPr>
    </w:p>
    <w:p w14:paraId="0BE719A9" w14:textId="6B8AF793" w:rsidR="00A4121D" w:rsidRPr="00A551EC" w:rsidRDefault="00A4121D" w:rsidP="00A551EC">
      <w:pPr>
        <w:rPr>
          <w:rFonts w:ascii="Arial" w:eastAsia="Aptos" w:hAnsi="Arial" w:cs="Arial"/>
          <w:color w:val="000000" w:themeColor="text1"/>
          <w:sz w:val="20"/>
          <w:szCs w:val="20"/>
        </w:rPr>
      </w:pPr>
      <w:r w:rsidRPr="00A551EC">
        <w:rPr>
          <w:rFonts w:ascii="Arial" w:eastAsia="Aptos" w:hAnsi="Arial" w:cs="Arial"/>
          <w:color w:val="000000" w:themeColor="text1"/>
          <w:sz w:val="20"/>
          <w:szCs w:val="20"/>
        </w:rPr>
        <w:t>We tested the parallel trends assumption and found mixed evidence. Specifically, we calculated the monthly aggregated clinic visits in Texas and Oklahoma during the pre-implementation period</w:t>
      </w:r>
      <w:r w:rsidR="00783E1B" w:rsidRPr="00A551EC">
        <w:rPr>
          <w:rFonts w:ascii="Arial" w:eastAsia="Aptos" w:hAnsi="Arial" w:cs="Arial"/>
          <w:color w:val="000000" w:themeColor="text1"/>
          <w:sz w:val="20"/>
          <w:szCs w:val="20"/>
        </w:rPr>
        <w:t xml:space="preserve"> (figure 1)</w:t>
      </w:r>
      <w:r w:rsidRPr="00A551EC">
        <w:rPr>
          <w:rFonts w:ascii="Arial" w:eastAsia="Aptos" w:hAnsi="Arial" w:cs="Arial"/>
          <w:color w:val="000000" w:themeColor="text1"/>
          <w:sz w:val="20"/>
          <w:szCs w:val="20"/>
        </w:rPr>
        <w:t xml:space="preserve">. </w:t>
      </w:r>
      <w:r w:rsidRPr="00A551EC">
        <w:rPr>
          <w:rFonts w:ascii="Arial" w:eastAsia="Aptos" w:hAnsi="Arial" w:cs="Arial"/>
          <w:color w:val="000000" w:themeColor="text1"/>
          <w:sz w:val="20"/>
          <w:szCs w:val="20"/>
        </w:rPr>
        <w:lastRenderedPageBreak/>
        <w:t>While visual inspection indicated that the two states exhibited broadly similar trends in monthly abortion clinic visitation before the implementation of SB8, our statistical tests revealed a significant difference in the marginal effect of time on visitation between Texas and Oklahoma</w:t>
      </w:r>
      <w:r w:rsidR="00783E1B" w:rsidRPr="00A551EC">
        <w:rPr>
          <w:rFonts w:ascii="Arial" w:eastAsia="Aptos" w:hAnsi="Arial" w:cs="Arial"/>
          <w:color w:val="000000" w:themeColor="text1"/>
          <w:sz w:val="20"/>
          <w:szCs w:val="20"/>
        </w:rPr>
        <w:t xml:space="preserve"> (table </w:t>
      </w:r>
      <w:r w:rsidR="001868DB" w:rsidRPr="00A551EC">
        <w:rPr>
          <w:rFonts w:ascii="Arial" w:eastAsia="Aptos" w:hAnsi="Arial" w:cs="Arial"/>
          <w:color w:val="000000" w:themeColor="text1"/>
          <w:sz w:val="20"/>
          <w:szCs w:val="20"/>
        </w:rPr>
        <w:t>A</w:t>
      </w:r>
      <w:r w:rsidR="00783E1B" w:rsidRPr="00A551EC">
        <w:rPr>
          <w:rFonts w:ascii="Arial" w:eastAsia="Aptos" w:hAnsi="Arial" w:cs="Arial"/>
          <w:color w:val="000000" w:themeColor="text1"/>
          <w:sz w:val="20"/>
          <w:szCs w:val="20"/>
        </w:rPr>
        <w:t>)</w:t>
      </w:r>
      <w:r w:rsidRPr="00A551EC">
        <w:rPr>
          <w:rFonts w:ascii="Arial" w:eastAsia="Aptos" w:hAnsi="Arial" w:cs="Arial"/>
          <w:color w:val="000000" w:themeColor="text1"/>
          <w:sz w:val="20"/>
          <w:szCs w:val="20"/>
        </w:rPr>
        <w:t>. This suggests that the two states did not perfectly trend together in the pre-</w:t>
      </w:r>
      <w:r w:rsidR="000467C2" w:rsidRPr="00A551EC">
        <w:rPr>
          <w:rFonts w:ascii="Arial" w:eastAsia="Aptos" w:hAnsi="Arial" w:cs="Arial"/>
          <w:color w:val="000000" w:themeColor="text1"/>
          <w:sz w:val="20"/>
          <w:szCs w:val="20"/>
        </w:rPr>
        <w:t>implementation</w:t>
      </w:r>
      <w:r w:rsidRPr="00A551EC">
        <w:rPr>
          <w:rFonts w:ascii="Arial" w:eastAsia="Aptos" w:hAnsi="Arial" w:cs="Arial"/>
          <w:color w:val="000000" w:themeColor="text1"/>
          <w:sz w:val="20"/>
          <w:szCs w:val="20"/>
        </w:rPr>
        <w:t xml:space="preserve"> period, indicating a potential violation of the parallel trends assumption.</w:t>
      </w:r>
    </w:p>
    <w:p w14:paraId="0A7AC930" w14:textId="191C3278" w:rsidR="00783E1B" w:rsidRPr="00A551EC" w:rsidRDefault="00783E1B" w:rsidP="00A551EC">
      <w:pPr>
        <w:rPr>
          <w:rFonts w:ascii="Arial" w:hAnsi="Arial" w:cs="Arial"/>
          <w:sz w:val="20"/>
          <w:szCs w:val="20"/>
        </w:rPr>
      </w:pPr>
      <w:r w:rsidRPr="00A551EC">
        <w:rPr>
          <w:rFonts w:ascii="Arial" w:hAnsi="Arial" w:cs="Arial"/>
          <w:sz w:val="20"/>
          <w:szCs w:val="20"/>
        </w:rPr>
        <w:t>In figure 1 and table A we test the assumption of parallel trends. This tests whether Texas and Oklahoma observed similar patterns in abortion clinic visitation prior to the implementation of SB8. Figure 1 presents</w:t>
      </w:r>
      <w:r w:rsidRPr="00A551EC">
        <w:rPr>
          <w:rFonts w:ascii="Arial" w:eastAsia="Times New Roman" w:hAnsi="Arial" w:cs="Arial"/>
          <w:kern w:val="0"/>
          <w:sz w:val="20"/>
          <w:szCs w:val="20"/>
          <w14:ligatures w14:val="none"/>
        </w:rPr>
        <w:t xml:space="preserve"> a visual representation of abortion clinic visitation for the two states during the pre-</w:t>
      </w:r>
      <w:r w:rsidR="000467C2" w:rsidRPr="00A551EC">
        <w:rPr>
          <w:rFonts w:ascii="Arial" w:eastAsia="Times New Roman" w:hAnsi="Arial" w:cs="Arial"/>
          <w:kern w:val="0"/>
          <w:sz w:val="20"/>
          <w:szCs w:val="20"/>
          <w14:ligatures w14:val="none"/>
        </w:rPr>
        <w:t>implement</w:t>
      </w:r>
      <w:r w:rsidR="00E31E11" w:rsidRPr="00A551EC">
        <w:rPr>
          <w:rFonts w:ascii="Arial" w:eastAsia="Times New Roman" w:hAnsi="Arial" w:cs="Arial"/>
          <w:kern w:val="0"/>
          <w:sz w:val="20"/>
          <w:szCs w:val="20"/>
          <w14:ligatures w14:val="none"/>
        </w:rPr>
        <w:t>ation</w:t>
      </w:r>
      <w:r w:rsidRPr="00A551EC">
        <w:rPr>
          <w:rFonts w:ascii="Arial" w:eastAsia="Times New Roman" w:hAnsi="Arial" w:cs="Arial"/>
          <w:kern w:val="0"/>
          <w:sz w:val="20"/>
          <w:szCs w:val="20"/>
          <w14:ligatures w14:val="none"/>
        </w:rPr>
        <w:t xml:space="preserve"> and post-</w:t>
      </w:r>
      <w:r w:rsidR="00E31E11" w:rsidRPr="00A551EC">
        <w:rPr>
          <w:rFonts w:ascii="Arial" w:eastAsia="Times New Roman" w:hAnsi="Arial" w:cs="Arial"/>
          <w:kern w:val="0"/>
          <w:sz w:val="20"/>
          <w:szCs w:val="20"/>
          <w14:ligatures w14:val="none"/>
        </w:rPr>
        <w:t>implementation</w:t>
      </w:r>
      <w:r w:rsidRPr="00A551EC">
        <w:rPr>
          <w:rFonts w:ascii="Arial" w:eastAsia="Times New Roman" w:hAnsi="Arial" w:cs="Arial"/>
          <w:kern w:val="0"/>
          <w:sz w:val="20"/>
          <w:szCs w:val="20"/>
          <w14:ligatures w14:val="none"/>
        </w:rPr>
        <w:t xml:space="preserve"> period. It shows a similar trend between TX and OK before SB8 implementation. After SB8 went into effect, visitation to abortion clinic</w:t>
      </w:r>
      <w:r w:rsidR="009271C3" w:rsidRPr="00A551EC">
        <w:rPr>
          <w:rFonts w:ascii="Arial" w:eastAsia="Times New Roman" w:hAnsi="Arial" w:cs="Arial"/>
          <w:kern w:val="0"/>
          <w:sz w:val="20"/>
          <w:szCs w:val="20"/>
          <w14:ligatures w14:val="none"/>
        </w:rPr>
        <w:t>s</w:t>
      </w:r>
      <w:r w:rsidRPr="00A551EC">
        <w:rPr>
          <w:rFonts w:ascii="Arial" w:eastAsia="Times New Roman" w:hAnsi="Arial" w:cs="Arial"/>
          <w:kern w:val="0"/>
          <w:sz w:val="20"/>
          <w:szCs w:val="20"/>
          <w14:ligatures w14:val="none"/>
        </w:rPr>
        <w:t xml:space="preserve"> display a divergent trend.</w:t>
      </w:r>
    </w:p>
    <w:p w14:paraId="3EFBE668" w14:textId="2151FFCC" w:rsidR="00783E1B" w:rsidRPr="00A551EC" w:rsidRDefault="00783E1B" w:rsidP="00A551EC">
      <w:pPr>
        <w:rPr>
          <w:rFonts w:ascii="Arial" w:hAnsi="Arial" w:cs="Arial"/>
          <w:sz w:val="20"/>
          <w:szCs w:val="20"/>
        </w:rPr>
      </w:pPr>
      <w:r w:rsidRPr="00A551EC">
        <w:rPr>
          <w:rFonts w:ascii="Arial" w:eastAsia="Times New Roman" w:hAnsi="Arial" w:cs="Arial"/>
          <w:kern w:val="0"/>
          <w:sz w:val="20"/>
          <w:szCs w:val="20"/>
          <w14:ligatures w14:val="none"/>
        </w:rPr>
        <w:t>However, table A in the document presents the difference in marginal effects of time on abortion clinic visitation between Texas and Oklahoma. There was a negative and statistically significant estimate (-6.02, p &lt; 0.001) between the Month × State Interaction (Divergence in Trends), indicating that the time trend in Texas differed from that in Oklahoma in the pre-treatment period.</w:t>
      </w:r>
      <w:r w:rsidRPr="00A551EC">
        <w:rPr>
          <w:rFonts w:ascii="Arial" w:hAnsi="Arial" w:cs="Arial"/>
          <w:sz w:val="20"/>
          <w:szCs w:val="20"/>
        </w:rPr>
        <w:t xml:space="preserve"> This is a </w:t>
      </w:r>
      <w:r w:rsidRPr="00A551EC">
        <w:rPr>
          <w:rFonts w:ascii="Arial" w:eastAsia="Times New Roman" w:hAnsi="Arial" w:cs="Arial"/>
          <w:kern w:val="0"/>
          <w:sz w:val="20"/>
          <w:szCs w:val="20"/>
          <w14:ligatures w14:val="none"/>
        </w:rPr>
        <w:t>potential violation of the parallel trends assumption.</w:t>
      </w:r>
    </w:p>
    <w:p w14:paraId="3BD0320D" w14:textId="77777777" w:rsidR="00A4121D" w:rsidRPr="00A551EC" w:rsidRDefault="00A4121D" w:rsidP="00A551EC">
      <w:pPr>
        <w:rPr>
          <w:rFonts w:ascii="Arial" w:eastAsia="Aptos" w:hAnsi="Arial" w:cs="Arial"/>
          <w:color w:val="000000" w:themeColor="text1"/>
          <w:sz w:val="20"/>
          <w:szCs w:val="20"/>
        </w:rPr>
      </w:pPr>
      <w:r w:rsidRPr="00A551EC">
        <w:rPr>
          <w:rFonts w:ascii="Arial" w:eastAsia="Aptos" w:hAnsi="Arial" w:cs="Arial"/>
          <w:color w:val="000000" w:themeColor="text1"/>
          <w:sz w:val="20"/>
          <w:szCs w:val="20"/>
        </w:rPr>
        <w:t>If the parallel trends assumption was violated, it implies that external factors may have influenced visitation to abortion clinics differently in each state during the pre-treatment period. One key factor likely driving these differences is the COVID-19 pandemic, which had a significant and uneven impact on in-person healthcare across states during this time (Baum et al., 2020; Burke et al., 2022). The pandemic introduced variability in healthcare access and patient behavior, complicating the establishment of a clear and consistent baseline month for analysis.</w:t>
      </w:r>
    </w:p>
    <w:p w14:paraId="3D1CE567" w14:textId="77777777" w:rsidR="00A4121D" w:rsidRPr="00A551EC" w:rsidRDefault="00A4121D" w:rsidP="00A551EC">
      <w:pPr>
        <w:rPr>
          <w:rFonts w:ascii="Arial" w:eastAsia="Aptos" w:hAnsi="Arial" w:cs="Arial"/>
          <w:color w:val="000000" w:themeColor="text1"/>
          <w:sz w:val="20"/>
          <w:szCs w:val="20"/>
        </w:rPr>
      </w:pPr>
      <w:r w:rsidRPr="00A551EC">
        <w:rPr>
          <w:rFonts w:ascii="Arial" w:eastAsia="Aptos" w:hAnsi="Arial" w:cs="Arial"/>
          <w:color w:val="000000" w:themeColor="text1"/>
          <w:sz w:val="20"/>
          <w:szCs w:val="20"/>
        </w:rPr>
        <w:t>Despite these challenges, we believe the results presented in this study remain valuable. The observed divergence in visitation trends following the implementation of SB8 aligns with theoretical expectations and provides important insights into how abortion restrictions affect clinic access and mobility patterns. Additionally, this analysis demonstrates the utility of novel data sources for examining complex and dynamic policy impacts. Future research may benefit from further refining approaches to account for external factors such as the COVID-19 pandemic when analyzing the effects of restrictive healthcare policies.</w:t>
      </w:r>
    </w:p>
    <w:p w14:paraId="6501AA17" w14:textId="77777777" w:rsidR="00A4121D" w:rsidRPr="00A551EC" w:rsidRDefault="00A4121D" w:rsidP="00A551EC">
      <w:pPr>
        <w:rPr>
          <w:rFonts w:ascii="Arial" w:hAnsi="Arial" w:cs="Arial"/>
          <w:b/>
          <w:bCs/>
          <w:sz w:val="20"/>
          <w:szCs w:val="20"/>
        </w:rPr>
      </w:pPr>
    </w:p>
    <w:sectPr w:rsidR="00A4121D" w:rsidRPr="00A551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3D190A"/>
    <w:multiLevelType w:val="multilevel"/>
    <w:tmpl w:val="9F7A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4712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24"/>
    <w:rsid w:val="00041917"/>
    <w:rsid w:val="000467C2"/>
    <w:rsid w:val="0007753C"/>
    <w:rsid w:val="0009328C"/>
    <w:rsid w:val="00101C42"/>
    <w:rsid w:val="00154EFA"/>
    <w:rsid w:val="001868DB"/>
    <w:rsid w:val="001A1243"/>
    <w:rsid w:val="001C5238"/>
    <w:rsid w:val="001E0965"/>
    <w:rsid w:val="00206914"/>
    <w:rsid w:val="002206F2"/>
    <w:rsid w:val="002372E7"/>
    <w:rsid w:val="002574FD"/>
    <w:rsid w:val="002A17D9"/>
    <w:rsid w:val="002A53D5"/>
    <w:rsid w:val="002D4874"/>
    <w:rsid w:val="002E1E86"/>
    <w:rsid w:val="0031133F"/>
    <w:rsid w:val="003634E7"/>
    <w:rsid w:val="003A1051"/>
    <w:rsid w:val="003C604C"/>
    <w:rsid w:val="003E2178"/>
    <w:rsid w:val="00406BD1"/>
    <w:rsid w:val="00472933"/>
    <w:rsid w:val="004A2C8D"/>
    <w:rsid w:val="004E21AE"/>
    <w:rsid w:val="004F2EB8"/>
    <w:rsid w:val="00510CBC"/>
    <w:rsid w:val="00511FA8"/>
    <w:rsid w:val="005215E5"/>
    <w:rsid w:val="005F7DF6"/>
    <w:rsid w:val="006349EF"/>
    <w:rsid w:val="006A18C3"/>
    <w:rsid w:val="006A368E"/>
    <w:rsid w:val="006C0C24"/>
    <w:rsid w:val="006C7F5B"/>
    <w:rsid w:val="00710680"/>
    <w:rsid w:val="00743DC9"/>
    <w:rsid w:val="00783E1B"/>
    <w:rsid w:val="007C676C"/>
    <w:rsid w:val="007C702B"/>
    <w:rsid w:val="00805D57"/>
    <w:rsid w:val="00841567"/>
    <w:rsid w:val="008B2086"/>
    <w:rsid w:val="008C5A82"/>
    <w:rsid w:val="00922084"/>
    <w:rsid w:val="009271C3"/>
    <w:rsid w:val="009720C9"/>
    <w:rsid w:val="009B2690"/>
    <w:rsid w:val="009C7F3F"/>
    <w:rsid w:val="00A03BD8"/>
    <w:rsid w:val="00A16E37"/>
    <w:rsid w:val="00A303BE"/>
    <w:rsid w:val="00A4121D"/>
    <w:rsid w:val="00A551EC"/>
    <w:rsid w:val="00A95680"/>
    <w:rsid w:val="00AA0230"/>
    <w:rsid w:val="00AC32DE"/>
    <w:rsid w:val="00AF49F6"/>
    <w:rsid w:val="00B11FF4"/>
    <w:rsid w:val="00B325FC"/>
    <w:rsid w:val="00B44605"/>
    <w:rsid w:val="00B63D5F"/>
    <w:rsid w:val="00B86ED2"/>
    <w:rsid w:val="00B948C2"/>
    <w:rsid w:val="00C343CC"/>
    <w:rsid w:val="00C57D46"/>
    <w:rsid w:val="00C77C47"/>
    <w:rsid w:val="00CD434A"/>
    <w:rsid w:val="00D10CBD"/>
    <w:rsid w:val="00D14054"/>
    <w:rsid w:val="00D81532"/>
    <w:rsid w:val="00DA3A7D"/>
    <w:rsid w:val="00DA3D1D"/>
    <w:rsid w:val="00E31E11"/>
    <w:rsid w:val="00E924A2"/>
    <w:rsid w:val="00EB0C1A"/>
    <w:rsid w:val="00F15BFA"/>
    <w:rsid w:val="00F40D80"/>
    <w:rsid w:val="00FB0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C2D0"/>
  <w15:chartTrackingRefBased/>
  <w15:docId w15:val="{E1AF0DE9-D25E-4EF3-A9B8-6B639B31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C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C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C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C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C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C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C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C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C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C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C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C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C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C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C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C24"/>
    <w:rPr>
      <w:rFonts w:eastAsiaTheme="majorEastAsia" w:cstheme="majorBidi"/>
      <w:color w:val="272727" w:themeColor="text1" w:themeTint="D8"/>
    </w:rPr>
  </w:style>
  <w:style w:type="paragraph" w:styleId="Title">
    <w:name w:val="Title"/>
    <w:basedOn w:val="Normal"/>
    <w:next w:val="Normal"/>
    <w:link w:val="TitleChar"/>
    <w:uiPriority w:val="10"/>
    <w:qFormat/>
    <w:rsid w:val="006C0C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C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C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C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C24"/>
    <w:pPr>
      <w:spacing w:before="160"/>
      <w:jc w:val="center"/>
    </w:pPr>
    <w:rPr>
      <w:i/>
      <w:iCs/>
      <w:color w:val="404040" w:themeColor="text1" w:themeTint="BF"/>
    </w:rPr>
  </w:style>
  <w:style w:type="character" w:customStyle="1" w:styleId="QuoteChar">
    <w:name w:val="Quote Char"/>
    <w:basedOn w:val="DefaultParagraphFont"/>
    <w:link w:val="Quote"/>
    <w:uiPriority w:val="29"/>
    <w:rsid w:val="006C0C24"/>
    <w:rPr>
      <w:i/>
      <w:iCs/>
      <w:color w:val="404040" w:themeColor="text1" w:themeTint="BF"/>
    </w:rPr>
  </w:style>
  <w:style w:type="paragraph" w:styleId="ListParagraph">
    <w:name w:val="List Paragraph"/>
    <w:basedOn w:val="Normal"/>
    <w:uiPriority w:val="34"/>
    <w:qFormat/>
    <w:rsid w:val="006C0C24"/>
    <w:pPr>
      <w:ind w:left="720"/>
      <w:contextualSpacing/>
    </w:pPr>
  </w:style>
  <w:style w:type="character" w:styleId="IntenseEmphasis">
    <w:name w:val="Intense Emphasis"/>
    <w:basedOn w:val="DefaultParagraphFont"/>
    <w:uiPriority w:val="21"/>
    <w:qFormat/>
    <w:rsid w:val="006C0C24"/>
    <w:rPr>
      <w:i/>
      <w:iCs/>
      <w:color w:val="0F4761" w:themeColor="accent1" w:themeShade="BF"/>
    </w:rPr>
  </w:style>
  <w:style w:type="paragraph" w:styleId="IntenseQuote">
    <w:name w:val="Intense Quote"/>
    <w:basedOn w:val="Normal"/>
    <w:next w:val="Normal"/>
    <w:link w:val="IntenseQuoteChar"/>
    <w:uiPriority w:val="30"/>
    <w:qFormat/>
    <w:rsid w:val="006C0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C24"/>
    <w:rPr>
      <w:i/>
      <w:iCs/>
      <w:color w:val="0F4761" w:themeColor="accent1" w:themeShade="BF"/>
    </w:rPr>
  </w:style>
  <w:style w:type="character" w:styleId="IntenseReference">
    <w:name w:val="Intense Reference"/>
    <w:basedOn w:val="DefaultParagraphFont"/>
    <w:uiPriority w:val="32"/>
    <w:qFormat/>
    <w:rsid w:val="006C0C24"/>
    <w:rPr>
      <w:b/>
      <w:bCs/>
      <w:smallCaps/>
      <w:color w:val="0F4761" w:themeColor="accent1" w:themeShade="BF"/>
      <w:spacing w:val="5"/>
    </w:rPr>
  </w:style>
  <w:style w:type="paragraph" w:styleId="Caption">
    <w:name w:val="caption"/>
    <w:basedOn w:val="Normal"/>
    <w:next w:val="Normal"/>
    <w:uiPriority w:val="35"/>
    <w:unhideWhenUsed/>
    <w:qFormat/>
    <w:rsid w:val="00C77C47"/>
    <w:pPr>
      <w:spacing w:after="200" w:line="240" w:lineRule="auto"/>
    </w:pPr>
    <w:rPr>
      <w:i/>
      <w:iCs/>
      <w:color w:val="0E2841" w:themeColor="text2"/>
      <w:sz w:val="18"/>
      <w:szCs w:val="18"/>
    </w:rPr>
  </w:style>
  <w:style w:type="paragraph" w:styleId="NormalWeb">
    <w:name w:val="Normal (Web)"/>
    <w:basedOn w:val="Normal"/>
    <w:uiPriority w:val="99"/>
    <w:unhideWhenUsed/>
    <w:rsid w:val="002A17D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7232">
      <w:bodyDiv w:val="1"/>
      <w:marLeft w:val="0"/>
      <w:marRight w:val="0"/>
      <w:marTop w:val="0"/>
      <w:marBottom w:val="0"/>
      <w:divBdr>
        <w:top w:val="none" w:sz="0" w:space="0" w:color="auto"/>
        <w:left w:val="none" w:sz="0" w:space="0" w:color="auto"/>
        <w:bottom w:val="none" w:sz="0" w:space="0" w:color="auto"/>
        <w:right w:val="none" w:sz="0" w:space="0" w:color="auto"/>
      </w:divBdr>
    </w:div>
    <w:div w:id="673343502">
      <w:bodyDiv w:val="1"/>
      <w:marLeft w:val="0"/>
      <w:marRight w:val="0"/>
      <w:marTop w:val="0"/>
      <w:marBottom w:val="0"/>
      <w:divBdr>
        <w:top w:val="none" w:sz="0" w:space="0" w:color="auto"/>
        <w:left w:val="none" w:sz="0" w:space="0" w:color="auto"/>
        <w:bottom w:val="none" w:sz="0" w:space="0" w:color="auto"/>
        <w:right w:val="none" w:sz="0" w:space="0" w:color="auto"/>
      </w:divBdr>
    </w:div>
    <w:div w:id="1134373958">
      <w:bodyDiv w:val="1"/>
      <w:marLeft w:val="0"/>
      <w:marRight w:val="0"/>
      <w:marTop w:val="0"/>
      <w:marBottom w:val="0"/>
      <w:divBdr>
        <w:top w:val="none" w:sz="0" w:space="0" w:color="auto"/>
        <w:left w:val="none" w:sz="0" w:space="0" w:color="auto"/>
        <w:bottom w:val="none" w:sz="0" w:space="0" w:color="auto"/>
        <w:right w:val="none" w:sz="0" w:space="0" w:color="auto"/>
      </w:divBdr>
    </w:div>
    <w:div w:id="1715108605">
      <w:bodyDiv w:val="1"/>
      <w:marLeft w:val="0"/>
      <w:marRight w:val="0"/>
      <w:marTop w:val="0"/>
      <w:marBottom w:val="0"/>
      <w:divBdr>
        <w:top w:val="none" w:sz="0" w:space="0" w:color="auto"/>
        <w:left w:val="none" w:sz="0" w:space="0" w:color="auto"/>
        <w:bottom w:val="none" w:sz="0" w:space="0" w:color="auto"/>
        <w:right w:val="none" w:sz="0" w:space="0" w:color="auto"/>
      </w:divBdr>
    </w:div>
    <w:div w:id="174714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551</Words>
  <Characters>3141</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Miller</dc:creator>
  <cp:keywords/>
  <dc:description/>
  <cp:lastModifiedBy>Jessica Miller</cp:lastModifiedBy>
  <cp:revision>24</cp:revision>
  <dcterms:created xsi:type="dcterms:W3CDTF">2025-02-23T22:09:00Z</dcterms:created>
  <dcterms:modified xsi:type="dcterms:W3CDTF">2025-02-23T22:42:00Z</dcterms:modified>
</cp:coreProperties>
</file>