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67AD2" w14:textId="1D2A10C2" w:rsidR="00FA7395" w:rsidRPr="00822434" w:rsidRDefault="00FA7395" w:rsidP="003C5D34">
      <w:pPr>
        <w:pStyle w:val="L1Head"/>
        <w:jc w:val="center"/>
        <w:rPr>
          <w:rFonts w:asciiTheme="minorHAnsi" w:hAnsiTheme="minorHAnsi" w:cstheme="minorHAnsi"/>
          <w:color w:val="000000" w:themeColor="text1"/>
          <w:sz w:val="40"/>
          <w:szCs w:val="40"/>
        </w:rPr>
      </w:pPr>
      <w:r w:rsidRPr="00822434">
        <w:rPr>
          <w:rFonts w:asciiTheme="minorHAnsi" w:hAnsiTheme="minorHAnsi" w:cstheme="minorHAnsi"/>
          <w:color w:val="000000" w:themeColor="text1"/>
          <w:sz w:val="28"/>
          <w:szCs w:val="48"/>
        </w:rPr>
        <w:t>Online Supplement</w:t>
      </w:r>
      <w:r w:rsidR="00110390" w:rsidRPr="00822434">
        <w:rPr>
          <w:rStyle w:val="FootnoteReference"/>
          <w:rFonts w:asciiTheme="minorHAnsi" w:hAnsiTheme="minorHAnsi" w:cstheme="minorHAnsi"/>
          <w:color w:val="000000" w:themeColor="text1"/>
          <w:sz w:val="28"/>
          <w:szCs w:val="48"/>
        </w:rPr>
        <w:footnoteReference w:id="2"/>
      </w:r>
    </w:p>
    <w:p w14:paraId="7FB105E5" w14:textId="77777777" w:rsidR="003C5D34" w:rsidRPr="00822434" w:rsidRDefault="003C5D34" w:rsidP="00822434">
      <w:pPr>
        <w:pStyle w:val="L0HeadTitle"/>
        <w:rPr>
          <w:rFonts w:asciiTheme="minorHAnsi" w:hAnsiTheme="minorHAnsi" w:cstheme="minorHAnsi"/>
          <w:b w:val="0"/>
          <w:bCs w:val="0"/>
          <w:color w:val="000000" w:themeColor="text1"/>
          <w:sz w:val="22"/>
          <w:szCs w:val="20"/>
        </w:rPr>
      </w:pPr>
    </w:p>
    <w:p w14:paraId="11D8B8B9" w14:textId="0C0039AB" w:rsidR="007F5696" w:rsidRPr="00822434" w:rsidRDefault="007F5696" w:rsidP="00822434">
      <w:pPr>
        <w:pStyle w:val="L0HeadTitle"/>
        <w:rPr>
          <w:rFonts w:asciiTheme="minorHAnsi" w:hAnsiTheme="minorHAnsi" w:cstheme="minorHAnsi"/>
          <w:color w:val="000000" w:themeColor="text1"/>
        </w:rPr>
      </w:pPr>
      <w:r w:rsidRPr="00822434">
        <w:rPr>
          <w:rFonts w:asciiTheme="minorHAnsi" w:hAnsiTheme="minorHAnsi" w:cstheme="minorHAnsi"/>
          <w:color w:val="000000" w:themeColor="text1"/>
        </w:rPr>
        <w:t>The Demographic Race between India and China</w:t>
      </w:r>
    </w:p>
    <w:p w14:paraId="37504431" w14:textId="77777777" w:rsidR="003C5D34" w:rsidRPr="00822434" w:rsidRDefault="003C5D34" w:rsidP="00822434">
      <w:pPr>
        <w:pStyle w:val="L0HeadTitle"/>
        <w:rPr>
          <w:rFonts w:asciiTheme="minorHAnsi" w:hAnsiTheme="minorHAnsi" w:cstheme="minorHAnsi"/>
          <w:color w:val="000000" w:themeColor="text1"/>
          <w:sz w:val="22"/>
          <w:szCs w:val="22"/>
        </w:rPr>
      </w:pPr>
    </w:p>
    <w:p w14:paraId="13382AAB" w14:textId="78E7F7DC" w:rsidR="00B3651E" w:rsidRPr="00822434" w:rsidRDefault="00FD6CD7" w:rsidP="003C5D34">
      <w:pPr>
        <w:pStyle w:val="L1Head"/>
        <w:rPr>
          <w:rFonts w:asciiTheme="minorHAnsi" w:hAnsiTheme="minorHAnsi" w:cstheme="minorHAnsi"/>
          <w:color w:val="000000" w:themeColor="text1"/>
        </w:rPr>
      </w:pPr>
      <w:r w:rsidRPr="00822434">
        <w:rPr>
          <w:rFonts w:asciiTheme="minorHAnsi" w:hAnsiTheme="minorHAnsi" w:cstheme="minorHAnsi"/>
          <w:color w:val="000000" w:themeColor="text1"/>
          <w:lang w:val="en-CA"/>
        </w:rPr>
        <w:t xml:space="preserve">A. </w:t>
      </w:r>
      <w:r w:rsidR="003C5D34" w:rsidRPr="00822434">
        <w:rPr>
          <w:rFonts w:asciiTheme="minorHAnsi" w:hAnsiTheme="minorHAnsi" w:cstheme="minorHAnsi"/>
          <w:color w:val="000000" w:themeColor="text1"/>
          <w:lang w:val="en-CA"/>
        </w:rPr>
        <w:t>background</w:t>
      </w:r>
      <w:r w:rsidR="00B3651E" w:rsidRPr="00822434">
        <w:rPr>
          <w:rFonts w:asciiTheme="minorHAnsi" w:hAnsiTheme="minorHAnsi" w:cstheme="minorHAnsi"/>
          <w:color w:val="000000" w:themeColor="text1"/>
        </w:rPr>
        <w:t xml:space="preserve"> </w:t>
      </w:r>
    </w:p>
    <w:p w14:paraId="58A37B35" w14:textId="639CE6E7" w:rsidR="00B3651E" w:rsidRPr="00822434" w:rsidRDefault="00B3651E" w:rsidP="003C5D34">
      <w:pPr>
        <w:pStyle w:val="PRPRManIndent"/>
        <w:rPr>
          <w:rFonts w:asciiTheme="minorHAnsi" w:hAnsiTheme="minorHAnsi" w:cstheme="minorHAnsi"/>
          <w:color w:val="000000" w:themeColor="text1"/>
          <w:lang w:val="en-CA"/>
        </w:rPr>
      </w:pPr>
      <w:r w:rsidRPr="00822434">
        <w:rPr>
          <w:rFonts w:asciiTheme="minorHAnsi" w:hAnsiTheme="minorHAnsi" w:cstheme="minorHAnsi"/>
          <w:color w:val="000000" w:themeColor="text1"/>
          <w:lang w:val="en-CA"/>
        </w:rPr>
        <w:t xml:space="preserve">This </w:t>
      </w:r>
      <w:r w:rsidR="003C5D34" w:rsidRPr="00822434">
        <w:rPr>
          <w:rFonts w:asciiTheme="minorHAnsi" w:hAnsiTheme="minorHAnsi" w:cstheme="minorHAnsi"/>
          <w:color w:val="000000" w:themeColor="text1"/>
          <w:lang w:val="en-CA"/>
        </w:rPr>
        <w:t xml:space="preserve">Online </w:t>
      </w:r>
      <w:r w:rsidRPr="00822434">
        <w:rPr>
          <w:rFonts w:asciiTheme="minorHAnsi" w:hAnsiTheme="minorHAnsi" w:cstheme="minorHAnsi"/>
          <w:color w:val="000000" w:themeColor="text1"/>
          <w:lang w:val="en-CA"/>
        </w:rPr>
        <w:t xml:space="preserve">Supplement provides a comprehensive overview of the methodology used to </w:t>
      </w:r>
      <w:r w:rsidR="00200A02" w:rsidRPr="00822434">
        <w:rPr>
          <w:rFonts w:asciiTheme="minorHAnsi" w:hAnsiTheme="minorHAnsi" w:cstheme="minorHAnsi"/>
          <w:color w:val="000000" w:themeColor="text1"/>
          <w:lang w:val="en-CA"/>
        </w:rPr>
        <w:t xml:space="preserve">forecast the labor force in India and China and to </w:t>
      </w:r>
      <w:r w:rsidRPr="00822434">
        <w:rPr>
          <w:rFonts w:asciiTheme="minorHAnsi" w:hAnsiTheme="minorHAnsi" w:cstheme="minorHAnsi"/>
          <w:color w:val="000000" w:themeColor="text1"/>
          <w:lang w:val="en-CA"/>
        </w:rPr>
        <w:t xml:space="preserve">calculate a standardized and internationally comparable productivity-weighted labor force (PWLF) measure that </w:t>
      </w:r>
      <w:proofErr w:type="gramStart"/>
      <w:r w:rsidRPr="00822434">
        <w:rPr>
          <w:rFonts w:asciiTheme="minorHAnsi" w:hAnsiTheme="minorHAnsi" w:cstheme="minorHAnsi"/>
          <w:color w:val="000000" w:themeColor="text1"/>
          <w:lang w:val="en-CA"/>
        </w:rPr>
        <w:t>takes into account</w:t>
      </w:r>
      <w:proofErr w:type="gramEnd"/>
      <w:r w:rsidRPr="00822434">
        <w:rPr>
          <w:rFonts w:asciiTheme="minorHAnsi" w:hAnsiTheme="minorHAnsi" w:cstheme="minorHAnsi"/>
          <w:color w:val="000000" w:themeColor="text1"/>
          <w:lang w:val="en-CA"/>
        </w:rPr>
        <w:t xml:space="preserve"> both the education structure of the population and the quality of the educational system. </w:t>
      </w:r>
      <w:proofErr w:type="gramStart"/>
      <w:r w:rsidRPr="00822434">
        <w:rPr>
          <w:rFonts w:asciiTheme="minorHAnsi" w:hAnsiTheme="minorHAnsi" w:cstheme="minorHAnsi"/>
          <w:color w:val="000000" w:themeColor="text1"/>
        </w:rPr>
        <w:t>A number of</w:t>
      </w:r>
      <w:proofErr w:type="gramEnd"/>
      <w:r w:rsidRPr="00822434">
        <w:rPr>
          <w:rFonts w:asciiTheme="minorHAnsi" w:hAnsiTheme="minorHAnsi" w:cstheme="minorHAnsi"/>
          <w:color w:val="000000" w:themeColor="text1"/>
        </w:rPr>
        <w:t xml:space="preserve"> recent papers have already analyzed the demographic challenges using a "productivity-weighted labor force", which multiplies the number of workers by a productivity factor based on their educational attainment (Marois, Bélanger, and Lutz 2020; Marois, Gietel-Basten, and Lutz 2021). However, the productivity-weights calculated in these studies are not suitable for international comparisons or time series for three main reasons. First, </w:t>
      </w:r>
      <w:proofErr w:type="gramStart"/>
      <w:r w:rsidRPr="00822434">
        <w:rPr>
          <w:rFonts w:asciiTheme="minorHAnsi" w:hAnsiTheme="minorHAnsi" w:cstheme="minorHAnsi"/>
          <w:color w:val="000000" w:themeColor="text1"/>
          <w:lang w:val="en-CA"/>
        </w:rPr>
        <w:t>weights</w:t>
      </w:r>
      <w:proofErr w:type="gramEnd"/>
      <w:r w:rsidRPr="00822434">
        <w:rPr>
          <w:rFonts w:asciiTheme="minorHAnsi" w:hAnsiTheme="minorHAnsi" w:cstheme="minorHAnsi"/>
          <w:color w:val="000000" w:themeColor="text1"/>
          <w:lang w:val="en-CA"/>
        </w:rPr>
        <w:t xml:space="preserve"> from a country- or region- specific data source (survey or census). The weights are thus relative to a reference category, which consists of a specific population group of the country surveyed (for example the "workers with X level of education of country Z”</w:t>
      </w:r>
      <w:proofErr w:type="gramStart"/>
      <w:r w:rsidRPr="00822434">
        <w:rPr>
          <w:rFonts w:asciiTheme="minorHAnsi" w:hAnsiTheme="minorHAnsi" w:cstheme="minorHAnsi"/>
          <w:color w:val="000000" w:themeColor="text1"/>
          <w:lang w:val="en-CA"/>
        </w:rPr>
        <w:t>), and</w:t>
      </w:r>
      <w:proofErr w:type="gramEnd"/>
      <w:r w:rsidRPr="00822434">
        <w:rPr>
          <w:rFonts w:asciiTheme="minorHAnsi" w:hAnsiTheme="minorHAnsi" w:cstheme="minorHAnsi"/>
          <w:color w:val="000000" w:themeColor="text1"/>
          <w:lang w:val="en-CA"/>
        </w:rPr>
        <w:t xml:space="preserve"> therefore cannot be generalized to broader international comparisons between countries with very different range of salaries.</w:t>
      </w:r>
    </w:p>
    <w:p w14:paraId="16C27E34" w14:textId="4C436580" w:rsidR="00B3651E" w:rsidRPr="00822434" w:rsidRDefault="00B3651E" w:rsidP="003C5D34">
      <w:pPr>
        <w:pStyle w:val="PRPRManIndent"/>
        <w:rPr>
          <w:rFonts w:asciiTheme="minorHAnsi" w:hAnsiTheme="minorHAnsi" w:cstheme="minorHAnsi"/>
          <w:color w:val="000000" w:themeColor="text1"/>
          <w:lang w:val="en-CA"/>
        </w:rPr>
      </w:pPr>
      <w:r w:rsidRPr="00822434">
        <w:rPr>
          <w:rFonts w:asciiTheme="minorHAnsi" w:hAnsiTheme="minorHAnsi" w:cstheme="minorHAnsi"/>
          <w:color w:val="000000" w:themeColor="text1"/>
          <w:lang w:val="en-CA"/>
        </w:rPr>
        <w:t xml:space="preserve">Second, the approach assumes that the relative productivity gap between educational levels is constant over time. This is unlikely to be the case, since in a competitive </w:t>
      </w:r>
      <w:r w:rsidRPr="00822434">
        <w:rPr>
          <w:rFonts w:asciiTheme="minorHAnsi" w:hAnsiTheme="minorHAnsi" w:cstheme="minorHAnsi"/>
          <w:color w:val="000000" w:themeColor="text1"/>
          <w:lang w:val="en-CA"/>
        </w:rPr>
        <w:lastRenderedPageBreak/>
        <w:t xml:space="preserve">market the relative advantage of a given level of education depends on many factors that change over time, such as the educational attainment of other workers and the availability of jobs requiring those skills </w:t>
      </w:r>
      <w:r w:rsidRPr="00822434">
        <w:rPr>
          <w:rFonts w:asciiTheme="minorHAnsi" w:hAnsiTheme="minorHAnsi" w:cstheme="minorHAnsi"/>
          <w:color w:val="000000" w:themeColor="text1"/>
        </w:rPr>
        <w:t>(</w:t>
      </w:r>
      <w:proofErr w:type="spellStart"/>
      <w:r w:rsidRPr="00822434">
        <w:rPr>
          <w:rFonts w:asciiTheme="minorHAnsi" w:hAnsiTheme="minorHAnsi" w:cstheme="minorHAnsi"/>
          <w:color w:val="000000" w:themeColor="text1"/>
        </w:rPr>
        <w:t>Psacharopoulos</w:t>
      </w:r>
      <w:proofErr w:type="spellEnd"/>
      <w:r w:rsidRPr="00822434">
        <w:rPr>
          <w:rFonts w:asciiTheme="minorHAnsi" w:hAnsiTheme="minorHAnsi" w:cstheme="minorHAnsi"/>
          <w:color w:val="000000" w:themeColor="text1"/>
        </w:rPr>
        <w:t xml:space="preserve"> and Patrinos 2018)</w:t>
      </w:r>
      <w:r w:rsidRPr="00822434">
        <w:rPr>
          <w:rFonts w:asciiTheme="minorHAnsi" w:hAnsiTheme="minorHAnsi" w:cstheme="minorHAnsi"/>
          <w:color w:val="000000" w:themeColor="text1"/>
          <w:lang w:val="en-CA"/>
        </w:rPr>
        <w:t>.</w:t>
      </w:r>
    </w:p>
    <w:p w14:paraId="76CFFB3A" w14:textId="66E284D9" w:rsidR="00B3651E" w:rsidRPr="00822434" w:rsidRDefault="00B3651E" w:rsidP="003C5D34">
      <w:pPr>
        <w:pStyle w:val="PRPRManIndent"/>
        <w:rPr>
          <w:rFonts w:asciiTheme="minorHAnsi" w:hAnsiTheme="minorHAnsi" w:cstheme="minorHAnsi"/>
          <w:color w:val="000000" w:themeColor="text1"/>
          <w:lang w:val="en-CA"/>
        </w:rPr>
      </w:pPr>
      <w:r w:rsidRPr="00822434">
        <w:rPr>
          <w:rFonts w:asciiTheme="minorHAnsi" w:hAnsiTheme="minorHAnsi" w:cstheme="minorHAnsi"/>
          <w:color w:val="000000" w:themeColor="text1"/>
          <w:lang w:val="en-CA"/>
        </w:rPr>
        <w:t xml:space="preserve">Third, the role played by education as a catalyst of socioeconomic change is not only a matter of quantity but also modulated by education quality. There is ample evidence of differences in the quality of education systems among countries in the world </w:t>
      </w:r>
      <w:bookmarkStart w:id="0" w:name="_Hlk158209632"/>
      <w:r w:rsidRPr="00822434">
        <w:rPr>
          <w:rFonts w:asciiTheme="minorHAnsi" w:hAnsiTheme="minorHAnsi" w:cstheme="minorHAnsi"/>
          <w:color w:val="000000" w:themeColor="text1"/>
        </w:rPr>
        <w:t>(Lutz et al. 2021)</w:t>
      </w:r>
      <w:r w:rsidRPr="00822434">
        <w:rPr>
          <w:rFonts w:asciiTheme="minorHAnsi" w:hAnsiTheme="minorHAnsi" w:cstheme="minorHAnsi"/>
          <w:color w:val="000000" w:themeColor="text1"/>
          <w:lang w:val="en-CA"/>
        </w:rPr>
        <w:t xml:space="preserve">. </w:t>
      </w:r>
      <w:bookmarkEnd w:id="0"/>
      <w:r w:rsidRPr="00822434">
        <w:rPr>
          <w:rFonts w:asciiTheme="minorHAnsi" w:hAnsiTheme="minorHAnsi" w:cstheme="minorHAnsi"/>
          <w:color w:val="000000" w:themeColor="text1"/>
          <w:lang w:val="en-CA"/>
        </w:rPr>
        <w:t xml:space="preserve">A high school diploma does not, on average, provide the same human capital, and its effect on productivity may depend on whether it was obtained in a country that spends a lot on education or in a country where schools are underfunded </w:t>
      </w:r>
      <w:r w:rsidRPr="00822434">
        <w:rPr>
          <w:rFonts w:asciiTheme="minorHAnsi" w:hAnsiTheme="minorHAnsi" w:cstheme="minorHAnsi"/>
          <w:color w:val="000000" w:themeColor="text1"/>
        </w:rPr>
        <w:t>(Heyneman 2004)</w:t>
      </w:r>
      <w:r w:rsidRPr="00822434">
        <w:rPr>
          <w:rFonts w:asciiTheme="minorHAnsi" w:hAnsiTheme="minorHAnsi" w:cstheme="minorHAnsi"/>
          <w:color w:val="000000" w:themeColor="text1"/>
          <w:lang w:val="en-CA"/>
        </w:rPr>
        <w:t>.</w:t>
      </w:r>
    </w:p>
    <w:p w14:paraId="3694D600" w14:textId="759D5169" w:rsidR="001911B5" w:rsidRPr="00822434" w:rsidRDefault="00B3651E" w:rsidP="003C5D34">
      <w:pPr>
        <w:pStyle w:val="PRPRManIndent"/>
        <w:rPr>
          <w:rFonts w:asciiTheme="minorHAnsi" w:hAnsiTheme="minorHAnsi" w:cstheme="minorHAnsi"/>
          <w:color w:val="000000" w:themeColor="text1"/>
        </w:rPr>
      </w:pPr>
      <w:r w:rsidRPr="00822434">
        <w:rPr>
          <w:rFonts w:asciiTheme="minorHAnsi" w:hAnsiTheme="minorHAnsi" w:cstheme="minorHAnsi"/>
          <w:color w:val="000000" w:themeColor="text1"/>
          <w:lang w:val="en-CA"/>
        </w:rPr>
        <w:t xml:space="preserve">Here, we improve on the approach developed in previous studies to calculate productivity. </w:t>
      </w:r>
      <w:r w:rsidR="001911B5" w:rsidRPr="00822434">
        <w:rPr>
          <w:rFonts w:asciiTheme="minorHAnsi" w:hAnsiTheme="minorHAnsi" w:cstheme="minorHAnsi"/>
          <w:color w:val="000000" w:themeColor="text1"/>
        </w:rPr>
        <w:t>To overcome these limitations, our methodology introduces several key innovations.</w:t>
      </w:r>
      <w:r w:rsidR="009D0E55" w:rsidRPr="00822434">
        <w:rPr>
          <w:rFonts w:asciiTheme="minorHAnsi" w:hAnsiTheme="minorHAnsi" w:cstheme="minorHAnsi"/>
          <w:color w:val="000000" w:themeColor="text1"/>
        </w:rPr>
        <w:t xml:space="preserve"> </w:t>
      </w:r>
      <w:r w:rsidR="001911B5" w:rsidRPr="00822434">
        <w:rPr>
          <w:rFonts w:asciiTheme="minorHAnsi" w:hAnsiTheme="minorHAnsi" w:cstheme="minorHAnsi"/>
          <w:color w:val="000000" w:themeColor="text1"/>
        </w:rPr>
        <w:t xml:space="preserve">First, to address the lack of international comparability, we derive productivity weights from a </w:t>
      </w:r>
      <w:proofErr w:type="spellStart"/>
      <w:r w:rsidR="001911B5" w:rsidRPr="00822434">
        <w:rPr>
          <w:rFonts w:asciiTheme="minorHAnsi" w:hAnsiTheme="minorHAnsi" w:cstheme="minorHAnsi"/>
          <w:color w:val="000000" w:themeColor="text1"/>
        </w:rPr>
        <w:t>Mincerian</w:t>
      </w:r>
      <w:proofErr w:type="spellEnd"/>
      <w:r w:rsidR="001911B5" w:rsidRPr="00822434">
        <w:rPr>
          <w:rFonts w:asciiTheme="minorHAnsi" w:hAnsiTheme="minorHAnsi" w:cstheme="minorHAnsi"/>
          <w:color w:val="000000" w:themeColor="text1"/>
        </w:rPr>
        <w:t xml:space="preserve"> earnings function using pooled data from IPUMS-I censuses across multiple countries, normalizing income by national averages to ensure consistency and generalizability beyond country-specific reference groups. This allows for robust comparisons between nations with diverse economic structures. Second, rather than assuming static productivity gaps, we incorporate a dynamic element by interacting individual years of schooling with country-specific average educational attainment. This interaction captures how the relative productivity advantage of education evolves as the supply of educated workers changes over time </w:t>
      </w:r>
      <w:r w:rsidR="001911B5" w:rsidRPr="00822434">
        <w:rPr>
          <w:rFonts w:asciiTheme="minorHAnsi" w:hAnsiTheme="minorHAnsi" w:cstheme="minorHAnsi"/>
          <w:color w:val="000000" w:themeColor="text1"/>
          <w:szCs w:val="20"/>
        </w:rPr>
        <w:t>(Lutz et al. 2021)</w:t>
      </w:r>
      <w:r w:rsidR="001911B5" w:rsidRPr="00822434">
        <w:rPr>
          <w:rFonts w:asciiTheme="minorHAnsi" w:hAnsiTheme="minorHAnsi" w:cstheme="minorHAnsi"/>
          <w:color w:val="000000" w:themeColor="text1"/>
        </w:rPr>
        <w:t>. Third, to account for variations in education quality, we adjust our weights with country- and time-specific skill-adjustment factors (SAFs) derived from international literacy assessments. This adjustment ensures that our productivity-weighted labor force (PWLF) measure reflects not just the quantity of education but also its effectiveness in enhancing human capital.</w:t>
      </w:r>
    </w:p>
    <w:p w14:paraId="2A1A5CD8" w14:textId="4E932FE6" w:rsidR="00B3651E" w:rsidRPr="00822434" w:rsidRDefault="00554C3E" w:rsidP="003C5D34">
      <w:pPr>
        <w:pStyle w:val="L1Head"/>
        <w:rPr>
          <w:rFonts w:asciiTheme="minorHAnsi" w:hAnsiTheme="minorHAnsi" w:cstheme="minorHAnsi"/>
          <w:color w:val="000000" w:themeColor="text1"/>
          <w:lang w:val="en-CA"/>
        </w:rPr>
      </w:pPr>
      <w:bookmarkStart w:id="1" w:name="_Toc160711490"/>
      <w:r w:rsidRPr="00822434">
        <w:rPr>
          <w:rFonts w:asciiTheme="minorHAnsi" w:hAnsiTheme="minorHAnsi" w:cstheme="minorHAnsi"/>
          <w:color w:val="000000" w:themeColor="text1"/>
          <w:lang w:val="en-CA"/>
        </w:rPr>
        <w:lastRenderedPageBreak/>
        <w:t xml:space="preserve">B. </w:t>
      </w:r>
      <w:r w:rsidR="00B3651E" w:rsidRPr="00822434">
        <w:rPr>
          <w:rFonts w:asciiTheme="minorHAnsi" w:hAnsiTheme="minorHAnsi" w:cstheme="minorHAnsi"/>
          <w:color w:val="000000" w:themeColor="text1"/>
          <w:lang w:val="en-CA"/>
        </w:rPr>
        <w:t>Methodology</w:t>
      </w:r>
      <w:bookmarkEnd w:id="1"/>
    </w:p>
    <w:p w14:paraId="50688B5B" w14:textId="3471DC69" w:rsidR="00B3651E" w:rsidRPr="00822434" w:rsidRDefault="00554C3E" w:rsidP="003C5D34">
      <w:pPr>
        <w:pStyle w:val="L2Head"/>
        <w:rPr>
          <w:rFonts w:asciiTheme="minorHAnsi" w:hAnsiTheme="minorHAnsi" w:cstheme="minorHAnsi"/>
          <w:color w:val="000000" w:themeColor="text1"/>
        </w:rPr>
      </w:pPr>
      <w:bookmarkStart w:id="2" w:name="_Toc160711491"/>
      <w:r w:rsidRPr="00822434">
        <w:rPr>
          <w:rFonts w:asciiTheme="minorHAnsi" w:hAnsiTheme="minorHAnsi" w:cstheme="minorHAnsi"/>
          <w:color w:val="000000" w:themeColor="text1"/>
        </w:rPr>
        <w:t xml:space="preserve">B.1 </w:t>
      </w:r>
      <w:r w:rsidR="00B3651E" w:rsidRPr="00822434">
        <w:rPr>
          <w:rFonts w:asciiTheme="minorHAnsi" w:hAnsiTheme="minorHAnsi" w:cstheme="minorHAnsi"/>
          <w:color w:val="000000" w:themeColor="text1"/>
        </w:rPr>
        <w:t xml:space="preserve">Estimates of </w:t>
      </w:r>
      <w:r w:rsidR="00822434" w:rsidRPr="00822434">
        <w:rPr>
          <w:rFonts w:asciiTheme="minorHAnsi" w:hAnsiTheme="minorHAnsi" w:cstheme="minorHAnsi"/>
          <w:color w:val="000000" w:themeColor="text1"/>
        </w:rPr>
        <w:t>Education-Specific Productivity-Weight</w:t>
      </w:r>
      <w:bookmarkEnd w:id="2"/>
    </w:p>
    <w:p w14:paraId="69A5244F" w14:textId="475CEF87" w:rsidR="00B3651E" w:rsidRPr="00822434" w:rsidRDefault="00B3651E" w:rsidP="003C5D34">
      <w:pPr>
        <w:pStyle w:val="PRPRManIndent"/>
        <w:rPr>
          <w:rFonts w:asciiTheme="minorHAnsi" w:hAnsiTheme="minorHAnsi" w:cstheme="minorHAnsi"/>
          <w:color w:val="000000" w:themeColor="text1"/>
          <w:lang w:val="en-CA"/>
        </w:rPr>
      </w:pPr>
      <w:bookmarkStart w:id="3" w:name="_Toc160711492"/>
      <w:r w:rsidRPr="00822434">
        <w:rPr>
          <w:rFonts w:asciiTheme="minorHAnsi" w:hAnsiTheme="minorHAnsi" w:cstheme="minorHAnsi"/>
          <w:b/>
          <w:bCs/>
          <w:color w:val="000000" w:themeColor="text1"/>
        </w:rPr>
        <w:t>Data source and selection of the sample</w:t>
      </w:r>
      <w:bookmarkEnd w:id="3"/>
      <w:r w:rsidR="003C5D34" w:rsidRPr="00822434">
        <w:rPr>
          <w:rFonts w:asciiTheme="minorHAnsi" w:hAnsiTheme="minorHAnsi" w:cstheme="minorHAnsi"/>
          <w:color w:val="000000" w:themeColor="text1"/>
        </w:rPr>
        <w:t xml:space="preserve">. </w:t>
      </w:r>
      <w:r w:rsidRPr="00822434">
        <w:rPr>
          <w:rFonts w:asciiTheme="minorHAnsi" w:hAnsiTheme="minorHAnsi" w:cstheme="minorHAnsi"/>
          <w:color w:val="000000" w:themeColor="text1"/>
          <w:lang w:val="en-CA"/>
        </w:rPr>
        <w:t xml:space="preserve">Our estimates of productivity-weights by educational attainment are based on an approach developed in other country-specific studies, using the wage as a proxy for productivity </w:t>
      </w:r>
      <w:r w:rsidRPr="00822434">
        <w:rPr>
          <w:rFonts w:asciiTheme="minorHAnsi" w:hAnsiTheme="minorHAnsi" w:cstheme="minorHAnsi"/>
          <w:color w:val="000000" w:themeColor="text1"/>
        </w:rPr>
        <w:t>(Marois, Bélanger, and Lutz 2020; Marois, Gietel-Basten, and Lutz 2021)</w:t>
      </w:r>
      <w:r w:rsidRPr="00822434">
        <w:rPr>
          <w:rFonts w:asciiTheme="minorHAnsi" w:hAnsiTheme="minorHAnsi" w:cstheme="minorHAnsi"/>
          <w:color w:val="000000" w:themeColor="text1"/>
          <w:lang w:val="en-CA"/>
        </w:rPr>
        <w:t xml:space="preserve">. </w:t>
      </w:r>
      <w:proofErr w:type="gramStart"/>
      <w:r w:rsidRPr="00822434">
        <w:rPr>
          <w:rFonts w:asciiTheme="minorHAnsi" w:hAnsiTheme="minorHAnsi" w:cstheme="minorHAnsi"/>
          <w:color w:val="000000" w:themeColor="text1"/>
          <w:lang w:val="en-CA"/>
        </w:rPr>
        <w:t>In order to</w:t>
      </w:r>
      <w:proofErr w:type="gramEnd"/>
      <w:r w:rsidRPr="00822434">
        <w:rPr>
          <w:rFonts w:asciiTheme="minorHAnsi" w:hAnsiTheme="minorHAnsi" w:cstheme="minorHAnsi"/>
          <w:color w:val="000000" w:themeColor="text1"/>
          <w:lang w:val="en-CA"/>
        </w:rPr>
        <w:t xml:space="preserve"> derive generalizable weights linked to educational levels, </w:t>
      </w:r>
      <w:bookmarkStart w:id="4" w:name="_Hlk193980446"/>
      <w:r w:rsidRPr="00822434">
        <w:rPr>
          <w:rFonts w:asciiTheme="minorHAnsi" w:hAnsiTheme="minorHAnsi" w:cstheme="minorHAnsi"/>
          <w:color w:val="000000" w:themeColor="text1"/>
          <w:lang w:val="en-CA"/>
        </w:rPr>
        <w:t>we compiled all available censuses from the IPUMS-International database that included total personal income, labor force status and education variables</w:t>
      </w:r>
      <w:bookmarkEnd w:id="4"/>
      <w:r w:rsidRPr="00822434">
        <w:rPr>
          <w:rFonts w:asciiTheme="minorHAnsi" w:hAnsiTheme="minorHAnsi" w:cstheme="minorHAnsi"/>
          <w:color w:val="000000" w:themeColor="text1"/>
          <w:lang w:val="en-CA"/>
        </w:rPr>
        <w:t xml:space="preserve">. We opted to utilize total income rather than wage income alone due to the lack of wage data across many of the surveys. Given that for </w:t>
      </w:r>
      <w:proofErr w:type="gramStart"/>
      <w:r w:rsidRPr="00822434">
        <w:rPr>
          <w:rFonts w:asciiTheme="minorHAnsi" w:hAnsiTheme="minorHAnsi" w:cstheme="minorHAnsi"/>
          <w:color w:val="000000" w:themeColor="text1"/>
          <w:lang w:val="en-CA"/>
        </w:rPr>
        <w:t>the majority of</w:t>
      </w:r>
      <w:proofErr w:type="gramEnd"/>
      <w:r w:rsidRPr="00822434">
        <w:rPr>
          <w:rFonts w:asciiTheme="minorHAnsi" w:hAnsiTheme="minorHAnsi" w:cstheme="minorHAnsi"/>
          <w:color w:val="000000" w:themeColor="text1"/>
          <w:lang w:val="en-CA"/>
        </w:rPr>
        <w:t xml:space="preserve"> individuals, wages typically constitute the primary component of overall income, and the two measures are therefore highly correlated, we </w:t>
      </w:r>
      <w:proofErr w:type="gramStart"/>
      <w:r w:rsidRPr="00822434">
        <w:rPr>
          <w:rFonts w:asciiTheme="minorHAnsi" w:hAnsiTheme="minorHAnsi" w:cstheme="minorHAnsi"/>
          <w:color w:val="000000" w:themeColor="text1"/>
          <w:lang w:val="en-CA"/>
        </w:rPr>
        <w:t>make the assumption</w:t>
      </w:r>
      <w:proofErr w:type="gramEnd"/>
      <w:r w:rsidRPr="00822434">
        <w:rPr>
          <w:rFonts w:asciiTheme="minorHAnsi" w:hAnsiTheme="minorHAnsi" w:cstheme="minorHAnsi"/>
          <w:color w:val="000000" w:themeColor="text1"/>
          <w:lang w:val="en-CA"/>
        </w:rPr>
        <w:t xml:space="preserve"> that total income can serve as a reasonable proxy for wages in our analysis.</w:t>
      </w:r>
    </w:p>
    <w:p w14:paraId="7F6ED59E" w14:textId="77777777" w:rsidR="00B3651E" w:rsidRPr="00822434" w:rsidRDefault="00B3651E" w:rsidP="003C5D34">
      <w:pPr>
        <w:pStyle w:val="PRPRManIndent"/>
        <w:rPr>
          <w:rFonts w:asciiTheme="minorHAnsi" w:hAnsiTheme="minorHAnsi" w:cstheme="minorHAnsi"/>
          <w:color w:val="000000" w:themeColor="text1"/>
          <w:lang w:val="en-CA"/>
        </w:rPr>
      </w:pPr>
      <w:r w:rsidRPr="00822434">
        <w:rPr>
          <w:rFonts w:asciiTheme="minorHAnsi" w:hAnsiTheme="minorHAnsi" w:cstheme="minorHAnsi"/>
          <w:color w:val="000000" w:themeColor="text1"/>
          <w:lang w:val="en-CA"/>
        </w:rPr>
        <w:t xml:space="preserve">Since </w:t>
      </w:r>
      <w:proofErr w:type="spellStart"/>
      <w:r w:rsidRPr="00822434">
        <w:rPr>
          <w:rFonts w:asciiTheme="minorHAnsi" w:hAnsiTheme="minorHAnsi" w:cstheme="minorHAnsi"/>
          <w:color w:val="000000" w:themeColor="text1"/>
          <w:lang w:val="en-CA"/>
        </w:rPr>
        <w:t>Mincerian</w:t>
      </w:r>
      <w:proofErr w:type="spellEnd"/>
      <w:r w:rsidRPr="00822434">
        <w:rPr>
          <w:rFonts w:asciiTheme="minorHAnsi" w:hAnsiTheme="minorHAnsi" w:cstheme="minorHAnsi"/>
          <w:color w:val="000000" w:themeColor="text1"/>
          <w:lang w:val="en-CA"/>
        </w:rPr>
        <w:t xml:space="preserve"> wage regression models assume a log-linear relationship between wages and years of schooling, respondents in the labor force with an income lower or equal to 0 were given a value of 1 for modeling purposes. Employed individuals with missing income data were omitted from the sample altogether. The IPUMS-International census data leveraged offers the benefit of standardized definitions and categorical binning of key variables. However, the income figures are expressed in national currency units corresponding to the specific period of each survey. As such, we additionally normalized respondents' income by dividing it by the national average income level </w:t>
      </w:r>
      <w:proofErr w:type="gramStart"/>
      <w:r w:rsidRPr="00822434">
        <w:rPr>
          <w:rFonts w:asciiTheme="minorHAnsi" w:hAnsiTheme="minorHAnsi" w:cstheme="minorHAnsi"/>
          <w:color w:val="000000" w:themeColor="text1"/>
          <w:lang w:val="en-CA"/>
        </w:rPr>
        <w:t>in order to</w:t>
      </w:r>
      <w:proofErr w:type="gramEnd"/>
      <w:r w:rsidRPr="00822434">
        <w:rPr>
          <w:rFonts w:asciiTheme="minorHAnsi" w:hAnsiTheme="minorHAnsi" w:cstheme="minorHAnsi"/>
          <w:color w:val="000000" w:themeColor="text1"/>
          <w:lang w:val="en-CA"/>
        </w:rPr>
        <w:t xml:space="preserve"> render the values more readily comparable across countries and time.</w:t>
      </w:r>
    </w:p>
    <w:p w14:paraId="7353E968" w14:textId="77777777" w:rsidR="00325CDF" w:rsidRPr="00822434" w:rsidRDefault="00B3651E" w:rsidP="00325CDF">
      <w:pPr>
        <w:pStyle w:val="PRPRManIndent"/>
        <w:rPr>
          <w:rFonts w:asciiTheme="minorHAnsi" w:hAnsiTheme="minorHAnsi" w:cstheme="minorHAnsi"/>
          <w:color w:val="000000" w:themeColor="text1"/>
          <w:lang w:val="en-CA"/>
        </w:rPr>
      </w:pPr>
      <w:r w:rsidRPr="00822434">
        <w:rPr>
          <w:rFonts w:asciiTheme="minorHAnsi" w:hAnsiTheme="minorHAnsi" w:cstheme="minorHAnsi"/>
          <w:color w:val="000000" w:themeColor="text1"/>
          <w:lang w:val="en-CA"/>
        </w:rPr>
        <w:t xml:space="preserve">The education variable is provided in two different ways, either the number of years of education or/and the educational attainment (with a varying number of categories). We </w:t>
      </w:r>
      <w:r w:rsidRPr="00822434">
        <w:rPr>
          <w:rFonts w:asciiTheme="minorHAnsi" w:hAnsiTheme="minorHAnsi" w:cstheme="minorHAnsi"/>
          <w:color w:val="000000" w:themeColor="text1"/>
          <w:lang w:val="en-CA"/>
        </w:rPr>
        <w:lastRenderedPageBreak/>
        <w:t xml:space="preserve">chose to use the number of years of education as interest variable in the models, because broader categories can indeed hide a large heterogeneity. For instance, in a country where education is universal and mandatory until a certain age the lowest category would include all those who did not finish high school, while in developing countries, censuses usually distinguish those who did not attend any school from those who went to primary school and </w:t>
      </w:r>
    </w:p>
    <w:tbl>
      <w:tblPr>
        <w:tblpPr w:leftFromText="432" w:topFromText="72" w:horzAnchor="margin" w:tblpXSpec="right" w:tblpYSpec="bottom"/>
        <w:tblOverlap w:val="never"/>
        <w:tblW w:w="4347" w:type="dxa"/>
        <w:tblLook w:val="04A0" w:firstRow="1" w:lastRow="0" w:firstColumn="1" w:lastColumn="0" w:noHBand="0" w:noVBand="1"/>
      </w:tblPr>
      <w:tblGrid>
        <w:gridCol w:w="2340"/>
        <w:gridCol w:w="900"/>
        <w:gridCol w:w="1107"/>
      </w:tblGrid>
      <w:tr w:rsidR="00325CDF" w:rsidRPr="00822434" w14:paraId="074F41AE" w14:textId="77777777" w:rsidTr="00822434">
        <w:trPr>
          <w:trHeight w:val="300"/>
        </w:trPr>
        <w:tc>
          <w:tcPr>
            <w:tcW w:w="4347" w:type="dxa"/>
            <w:gridSpan w:val="3"/>
            <w:tcBorders>
              <w:top w:val="nil"/>
              <w:left w:val="nil"/>
              <w:bottom w:val="single" w:sz="8" w:space="0" w:color="auto"/>
              <w:right w:val="nil"/>
            </w:tcBorders>
            <w:shd w:val="clear" w:color="auto" w:fill="auto"/>
            <w:noWrap/>
            <w:vAlign w:val="bottom"/>
          </w:tcPr>
          <w:p w14:paraId="752E2BB2" w14:textId="77777777" w:rsidR="00325CDF" w:rsidRPr="00822434" w:rsidRDefault="00325CDF" w:rsidP="00325CDF">
            <w:pPr>
              <w:spacing w:line="240" w:lineRule="auto"/>
              <w:ind w:firstLine="0"/>
              <w:rPr>
                <w:rFonts w:cstheme="minorHAnsi"/>
                <w:b/>
                <w:bCs/>
                <w:color w:val="000000" w:themeColor="text1"/>
              </w:rPr>
            </w:pPr>
            <w:r w:rsidRPr="00822434">
              <w:rPr>
                <w:rFonts w:cstheme="minorHAnsi"/>
                <w:b/>
                <w:bCs/>
                <w:color w:val="000000" w:themeColor="text1"/>
                <w:sz w:val="24"/>
                <w:szCs w:val="24"/>
                <w:lang w:val="en-CA"/>
              </w:rPr>
              <w:t xml:space="preserve">Table S1. </w:t>
            </w:r>
            <w:r w:rsidRPr="00822434">
              <w:rPr>
                <w:rFonts w:cstheme="minorHAnsi"/>
                <w:i/>
                <w:iCs/>
                <w:color w:val="000000" w:themeColor="text1"/>
                <w:sz w:val="24"/>
                <w:szCs w:val="24"/>
                <w:lang w:val="en-CA"/>
              </w:rPr>
              <w:t>Selected Census and their Sample Size</w:t>
            </w:r>
          </w:p>
        </w:tc>
      </w:tr>
      <w:tr w:rsidR="00325CDF" w:rsidRPr="00822434" w14:paraId="38317709" w14:textId="77777777" w:rsidTr="00822434">
        <w:trPr>
          <w:trHeight w:val="300"/>
        </w:trPr>
        <w:tc>
          <w:tcPr>
            <w:tcW w:w="2340" w:type="dxa"/>
            <w:tcBorders>
              <w:top w:val="single" w:sz="8" w:space="0" w:color="auto"/>
              <w:left w:val="nil"/>
              <w:bottom w:val="single" w:sz="4" w:space="0" w:color="auto"/>
            </w:tcBorders>
            <w:shd w:val="clear" w:color="auto" w:fill="auto"/>
            <w:noWrap/>
            <w:vAlign w:val="bottom"/>
            <w:hideMark/>
          </w:tcPr>
          <w:p w14:paraId="069766FD" w14:textId="77777777" w:rsidR="00325CDF" w:rsidRPr="00822434" w:rsidRDefault="00325CDF" w:rsidP="00325CDF">
            <w:pPr>
              <w:spacing w:after="0" w:line="240" w:lineRule="auto"/>
              <w:ind w:firstLine="0"/>
              <w:rPr>
                <w:rFonts w:cstheme="minorHAnsi"/>
                <w:color w:val="000000" w:themeColor="text1"/>
              </w:rPr>
            </w:pPr>
            <w:r w:rsidRPr="00822434">
              <w:rPr>
                <w:rFonts w:cstheme="minorHAnsi"/>
                <w:color w:val="000000" w:themeColor="text1"/>
              </w:rPr>
              <w:t>Country</w:t>
            </w:r>
          </w:p>
        </w:tc>
        <w:tc>
          <w:tcPr>
            <w:tcW w:w="900" w:type="dxa"/>
            <w:tcBorders>
              <w:top w:val="single" w:sz="8" w:space="0" w:color="auto"/>
              <w:bottom w:val="single" w:sz="4" w:space="0" w:color="auto"/>
            </w:tcBorders>
            <w:shd w:val="clear" w:color="auto" w:fill="auto"/>
            <w:noWrap/>
            <w:vAlign w:val="bottom"/>
            <w:hideMark/>
          </w:tcPr>
          <w:p w14:paraId="7956A2EA"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Year</w:t>
            </w:r>
          </w:p>
        </w:tc>
        <w:tc>
          <w:tcPr>
            <w:tcW w:w="1107" w:type="dxa"/>
            <w:tcBorders>
              <w:top w:val="single" w:sz="8" w:space="0" w:color="auto"/>
              <w:bottom w:val="single" w:sz="4" w:space="0" w:color="auto"/>
              <w:right w:val="nil"/>
            </w:tcBorders>
            <w:shd w:val="clear" w:color="auto" w:fill="auto"/>
            <w:noWrap/>
            <w:vAlign w:val="bottom"/>
            <w:hideMark/>
          </w:tcPr>
          <w:p w14:paraId="0BB4F541"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Total</w:t>
            </w:r>
          </w:p>
        </w:tc>
      </w:tr>
      <w:tr w:rsidR="00325CDF" w:rsidRPr="00822434" w14:paraId="11713AFB" w14:textId="77777777" w:rsidTr="00822434">
        <w:trPr>
          <w:trHeight w:val="288"/>
        </w:trPr>
        <w:tc>
          <w:tcPr>
            <w:tcW w:w="2340" w:type="dxa"/>
            <w:tcBorders>
              <w:top w:val="single" w:sz="4" w:space="0" w:color="auto"/>
              <w:left w:val="nil"/>
              <w:bottom w:val="nil"/>
            </w:tcBorders>
            <w:shd w:val="clear" w:color="auto" w:fill="auto"/>
            <w:noWrap/>
            <w:vAlign w:val="bottom"/>
            <w:hideMark/>
          </w:tcPr>
          <w:p w14:paraId="5CB0657E"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Canada</w:t>
            </w:r>
          </w:p>
        </w:tc>
        <w:tc>
          <w:tcPr>
            <w:tcW w:w="900" w:type="dxa"/>
            <w:tcBorders>
              <w:top w:val="single" w:sz="4" w:space="0" w:color="auto"/>
              <w:bottom w:val="nil"/>
            </w:tcBorders>
            <w:shd w:val="clear" w:color="auto" w:fill="auto"/>
            <w:noWrap/>
            <w:vAlign w:val="bottom"/>
            <w:hideMark/>
          </w:tcPr>
          <w:p w14:paraId="763268B7"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1971</w:t>
            </w:r>
          </w:p>
        </w:tc>
        <w:tc>
          <w:tcPr>
            <w:tcW w:w="1107" w:type="dxa"/>
            <w:tcBorders>
              <w:top w:val="single" w:sz="4" w:space="0" w:color="auto"/>
              <w:bottom w:val="nil"/>
              <w:right w:val="nil"/>
            </w:tcBorders>
            <w:shd w:val="clear" w:color="auto" w:fill="auto"/>
            <w:noWrap/>
            <w:vAlign w:val="bottom"/>
            <w:hideMark/>
          </w:tcPr>
          <w:p w14:paraId="06E81B70"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8,470</w:t>
            </w:r>
          </w:p>
        </w:tc>
      </w:tr>
      <w:tr w:rsidR="00325CDF" w:rsidRPr="00822434" w14:paraId="459ADA49" w14:textId="77777777" w:rsidTr="00822434">
        <w:trPr>
          <w:trHeight w:val="288"/>
        </w:trPr>
        <w:tc>
          <w:tcPr>
            <w:tcW w:w="2340" w:type="dxa"/>
            <w:tcBorders>
              <w:top w:val="nil"/>
              <w:left w:val="nil"/>
              <w:bottom w:val="nil"/>
            </w:tcBorders>
            <w:shd w:val="clear" w:color="auto" w:fill="auto"/>
            <w:noWrap/>
            <w:vAlign w:val="bottom"/>
            <w:hideMark/>
          </w:tcPr>
          <w:p w14:paraId="3FF077DD"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Canada</w:t>
            </w:r>
          </w:p>
        </w:tc>
        <w:tc>
          <w:tcPr>
            <w:tcW w:w="900" w:type="dxa"/>
            <w:tcBorders>
              <w:top w:val="nil"/>
              <w:bottom w:val="nil"/>
            </w:tcBorders>
            <w:shd w:val="clear" w:color="auto" w:fill="auto"/>
            <w:noWrap/>
            <w:vAlign w:val="bottom"/>
            <w:hideMark/>
          </w:tcPr>
          <w:p w14:paraId="07333A79"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1981</w:t>
            </w:r>
          </w:p>
        </w:tc>
        <w:tc>
          <w:tcPr>
            <w:tcW w:w="1107" w:type="dxa"/>
            <w:tcBorders>
              <w:top w:val="nil"/>
              <w:bottom w:val="nil"/>
              <w:right w:val="nil"/>
            </w:tcBorders>
            <w:shd w:val="clear" w:color="auto" w:fill="auto"/>
            <w:noWrap/>
            <w:vAlign w:val="bottom"/>
            <w:hideMark/>
          </w:tcPr>
          <w:p w14:paraId="5356D79F"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24,620</w:t>
            </w:r>
          </w:p>
        </w:tc>
      </w:tr>
      <w:tr w:rsidR="00325CDF" w:rsidRPr="00822434" w14:paraId="26EE9582" w14:textId="77777777" w:rsidTr="00822434">
        <w:trPr>
          <w:trHeight w:val="288"/>
        </w:trPr>
        <w:tc>
          <w:tcPr>
            <w:tcW w:w="2340" w:type="dxa"/>
            <w:tcBorders>
              <w:top w:val="nil"/>
              <w:left w:val="nil"/>
              <w:bottom w:val="nil"/>
            </w:tcBorders>
            <w:shd w:val="clear" w:color="auto" w:fill="auto"/>
            <w:noWrap/>
            <w:vAlign w:val="bottom"/>
            <w:hideMark/>
          </w:tcPr>
          <w:p w14:paraId="60B4EF18"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Canada</w:t>
            </w:r>
          </w:p>
        </w:tc>
        <w:tc>
          <w:tcPr>
            <w:tcW w:w="900" w:type="dxa"/>
            <w:tcBorders>
              <w:top w:val="nil"/>
              <w:bottom w:val="nil"/>
            </w:tcBorders>
            <w:shd w:val="clear" w:color="auto" w:fill="auto"/>
            <w:noWrap/>
            <w:vAlign w:val="bottom"/>
            <w:hideMark/>
          </w:tcPr>
          <w:p w14:paraId="18455DFD"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1991</w:t>
            </w:r>
          </w:p>
        </w:tc>
        <w:tc>
          <w:tcPr>
            <w:tcW w:w="1107" w:type="dxa"/>
            <w:tcBorders>
              <w:top w:val="nil"/>
              <w:bottom w:val="nil"/>
              <w:right w:val="nil"/>
            </w:tcBorders>
            <w:shd w:val="clear" w:color="auto" w:fill="auto"/>
            <w:noWrap/>
            <w:vAlign w:val="bottom"/>
            <w:hideMark/>
          </w:tcPr>
          <w:p w14:paraId="38336676"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43,022</w:t>
            </w:r>
          </w:p>
        </w:tc>
      </w:tr>
      <w:tr w:rsidR="00325CDF" w:rsidRPr="00822434" w14:paraId="26D2B591" w14:textId="77777777" w:rsidTr="00822434">
        <w:trPr>
          <w:trHeight w:val="288"/>
        </w:trPr>
        <w:tc>
          <w:tcPr>
            <w:tcW w:w="2340" w:type="dxa"/>
            <w:tcBorders>
              <w:top w:val="nil"/>
              <w:left w:val="nil"/>
              <w:bottom w:val="nil"/>
            </w:tcBorders>
            <w:shd w:val="clear" w:color="auto" w:fill="auto"/>
            <w:noWrap/>
            <w:vAlign w:val="bottom"/>
            <w:hideMark/>
          </w:tcPr>
          <w:p w14:paraId="29EA717F"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Canada</w:t>
            </w:r>
          </w:p>
        </w:tc>
        <w:tc>
          <w:tcPr>
            <w:tcW w:w="900" w:type="dxa"/>
            <w:tcBorders>
              <w:top w:val="nil"/>
              <w:bottom w:val="nil"/>
            </w:tcBorders>
            <w:shd w:val="clear" w:color="auto" w:fill="auto"/>
            <w:noWrap/>
            <w:vAlign w:val="bottom"/>
            <w:hideMark/>
          </w:tcPr>
          <w:p w14:paraId="2210E3BD"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2001</w:t>
            </w:r>
          </w:p>
        </w:tc>
        <w:tc>
          <w:tcPr>
            <w:tcW w:w="1107" w:type="dxa"/>
            <w:tcBorders>
              <w:top w:val="nil"/>
              <w:bottom w:val="nil"/>
              <w:right w:val="nil"/>
            </w:tcBorders>
            <w:shd w:val="clear" w:color="auto" w:fill="auto"/>
            <w:noWrap/>
            <w:vAlign w:val="bottom"/>
            <w:hideMark/>
          </w:tcPr>
          <w:p w14:paraId="7CFD91E3"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47,594</w:t>
            </w:r>
          </w:p>
        </w:tc>
      </w:tr>
      <w:tr w:rsidR="00325CDF" w:rsidRPr="00822434" w14:paraId="06B0F770" w14:textId="77777777" w:rsidTr="00822434">
        <w:trPr>
          <w:trHeight w:val="288"/>
        </w:trPr>
        <w:tc>
          <w:tcPr>
            <w:tcW w:w="2340" w:type="dxa"/>
            <w:tcBorders>
              <w:top w:val="nil"/>
              <w:left w:val="nil"/>
              <w:bottom w:val="nil"/>
            </w:tcBorders>
            <w:shd w:val="clear" w:color="auto" w:fill="auto"/>
            <w:noWrap/>
            <w:vAlign w:val="bottom"/>
            <w:hideMark/>
          </w:tcPr>
          <w:p w14:paraId="7C8C3824"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Canada</w:t>
            </w:r>
          </w:p>
        </w:tc>
        <w:tc>
          <w:tcPr>
            <w:tcW w:w="900" w:type="dxa"/>
            <w:tcBorders>
              <w:top w:val="nil"/>
              <w:bottom w:val="nil"/>
            </w:tcBorders>
            <w:shd w:val="clear" w:color="auto" w:fill="auto"/>
            <w:noWrap/>
            <w:vAlign w:val="bottom"/>
            <w:hideMark/>
          </w:tcPr>
          <w:p w14:paraId="2A52AD53"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2011</w:t>
            </w:r>
          </w:p>
        </w:tc>
        <w:tc>
          <w:tcPr>
            <w:tcW w:w="1107" w:type="dxa"/>
            <w:tcBorders>
              <w:top w:val="nil"/>
              <w:bottom w:val="nil"/>
              <w:right w:val="nil"/>
            </w:tcBorders>
            <w:shd w:val="clear" w:color="auto" w:fill="auto"/>
            <w:noWrap/>
            <w:vAlign w:val="bottom"/>
            <w:hideMark/>
          </w:tcPr>
          <w:p w14:paraId="40D00086"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55,973</w:t>
            </w:r>
          </w:p>
        </w:tc>
      </w:tr>
      <w:tr w:rsidR="00325CDF" w:rsidRPr="00822434" w14:paraId="66A2A930" w14:textId="77777777" w:rsidTr="00822434">
        <w:trPr>
          <w:trHeight w:val="288"/>
        </w:trPr>
        <w:tc>
          <w:tcPr>
            <w:tcW w:w="2340" w:type="dxa"/>
            <w:tcBorders>
              <w:top w:val="nil"/>
              <w:left w:val="nil"/>
              <w:bottom w:val="nil"/>
            </w:tcBorders>
            <w:shd w:val="clear" w:color="auto" w:fill="auto"/>
            <w:noWrap/>
            <w:vAlign w:val="bottom"/>
            <w:hideMark/>
          </w:tcPr>
          <w:p w14:paraId="4E114699"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Colombia</w:t>
            </w:r>
          </w:p>
        </w:tc>
        <w:tc>
          <w:tcPr>
            <w:tcW w:w="900" w:type="dxa"/>
            <w:tcBorders>
              <w:top w:val="nil"/>
              <w:bottom w:val="nil"/>
            </w:tcBorders>
            <w:shd w:val="clear" w:color="auto" w:fill="auto"/>
            <w:noWrap/>
            <w:vAlign w:val="bottom"/>
            <w:hideMark/>
          </w:tcPr>
          <w:p w14:paraId="07CE3D4B"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1973</w:t>
            </w:r>
          </w:p>
        </w:tc>
        <w:tc>
          <w:tcPr>
            <w:tcW w:w="1107" w:type="dxa"/>
            <w:tcBorders>
              <w:top w:val="nil"/>
              <w:bottom w:val="nil"/>
              <w:right w:val="nil"/>
            </w:tcBorders>
            <w:shd w:val="clear" w:color="auto" w:fill="auto"/>
            <w:noWrap/>
            <w:vAlign w:val="bottom"/>
            <w:hideMark/>
          </w:tcPr>
          <w:p w14:paraId="0E121455"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27,917</w:t>
            </w:r>
          </w:p>
        </w:tc>
      </w:tr>
      <w:tr w:rsidR="00325CDF" w:rsidRPr="00822434" w14:paraId="46FCD003" w14:textId="77777777" w:rsidTr="00822434">
        <w:trPr>
          <w:trHeight w:val="288"/>
        </w:trPr>
        <w:tc>
          <w:tcPr>
            <w:tcW w:w="2340" w:type="dxa"/>
            <w:tcBorders>
              <w:top w:val="nil"/>
              <w:left w:val="nil"/>
              <w:bottom w:val="nil"/>
            </w:tcBorders>
            <w:shd w:val="clear" w:color="auto" w:fill="auto"/>
            <w:noWrap/>
            <w:vAlign w:val="bottom"/>
            <w:hideMark/>
          </w:tcPr>
          <w:p w14:paraId="09418C01"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Dominican Republic</w:t>
            </w:r>
          </w:p>
        </w:tc>
        <w:tc>
          <w:tcPr>
            <w:tcW w:w="900" w:type="dxa"/>
            <w:tcBorders>
              <w:top w:val="nil"/>
              <w:bottom w:val="nil"/>
            </w:tcBorders>
            <w:shd w:val="clear" w:color="auto" w:fill="auto"/>
            <w:noWrap/>
            <w:vAlign w:val="bottom"/>
            <w:hideMark/>
          </w:tcPr>
          <w:p w14:paraId="32A4B59E"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1981</w:t>
            </w:r>
          </w:p>
        </w:tc>
        <w:tc>
          <w:tcPr>
            <w:tcW w:w="1107" w:type="dxa"/>
            <w:tcBorders>
              <w:top w:val="nil"/>
              <w:bottom w:val="nil"/>
              <w:right w:val="nil"/>
            </w:tcBorders>
            <w:shd w:val="clear" w:color="auto" w:fill="auto"/>
            <w:noWrap/>
            <w:vAlign w:val="bottom"/>
            <w:hideMark/>
          </w:tcPr>
          <w:p w14:paraId="73D82B2A"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7,746</w:t>
            </w:r>
          </w:p>
        </w:tc>
      </w:tr>
      <w:tr w:rsidR="00325CDF" w:rsidRPr="00822434" w14:paraId="53BA9A00" w14:textId="77777777" w:rsidTr="00822434">
        <w:trPr>
          <w:trHeight w:val="288"/>
        </w:trPr>
        <w:tc>
          <w:tcPr>
            <w:tcW w:w="2340" w:type="dxa"/>
            <w:tcBorders>
              <w:top w:val="nil"/>
              <w:left w:val="nil"/>
              <w:bottom w:val="nil"/>
            </w:tcBorders>
            <w:shd w:val="clear" w:color="auto" w:fill="auto"/>
            <w:noWrap/>
            <w:vAlign w:val="bottom"/>
            <w:hideMark/>
          </w:tcPr>
          <w:p w14:paraId="6BC4D057"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Dominican Republic</w:t>
            </w:r>
          </w:p>
        </w:tc>
        <w:tc>
          <w:tcPr>
            <w:tcW w:w="900" w:type="dxa"/>
            <w:tcBorders>
              <w:top w:val="nil"/>
              <w:bottom w:val="nil"/>
            </w:tcBorders>
            <w:shd w:val="clear" w:color="auto" w:fill="auto"/>
            <w:noWrap/>
            <w:vAlign w:val="bottom"/>
            <w:hideMark/>
          </w:tcPr>
          <w:p w14:paraId="78797DDB"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2002</w:t>
            </w:r>
          </w:p>
        </w:tc>
        <w:tc>
          <w:tcPr>
            <w:tcW w:w="1107" w:type="dxa"/>
            <w:tcBorders>
              <w:top w:val="nil"/>
              <w:bottom w:val="nil"/>
              <w:right w:val="nil"/>
            </w:tcBorders>
            <w:shd w:val="clear" w:color="auto" w:fill="auto"/>
            <w:noWrap/>
            <w:vAlign w:val="bottom"/>
            <w:hideMark/>
          </w:tcPr>
          <w:p w14:paraId="67DE3C42"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20,958</w:t>
            </w:r>
          </w:p>
        </w:tc>
      </w:tr>
      <w:tr w:rsidR="00325CDF" w:rsidRPr="00822434" w14:paraId="5B67A107" w14:textId="77777777" w:rsidTr="00822434">
        <w:trPr>
          <w:trHeight w:val="288"/>
        </w:trPr>
        <w:tc>
          <w:tcPr>
            <w:tcW w:w="2340" w:type="dxa"/>
            <w:tcBorders>
              <w:top w:val="nil"/>
              <w:left w:val="nil"/>
              <w:bottom w:val="nil"/>
            </w:tcBorders>
            <w:shd w:val="clear" w:color="auto" w:fill="auto"/>
            <w:noWrap/>
            <w:vAlign w:val="bottom"/>
            <w:hideMark/>
          </w:tcPr>
          <w:p w14:paraId="38B2CCAA"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Mauritius</w:t>
            </w:r>
          </w:p>
        </w:tc>
        <w:tc>
          <w:tcPr>
            <w:tcW w:w="900" w:type="dxa"/>
            <w:tcBorders>
              <w:top w:val="nil"/>
              <w:bottom w:val="nil"/>
            </w:tcBorders>
            <w:shd w:val="clear" w:color="auto" w:fill="auto"/>
            <w:noWrap/>
            <w:vAlign w:val="bottom"/>
            <w:hideMark/>
          </w:tcPr>
          <w:p w14:paraId="3E62675B"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2000</w:t>
            </w:r>
          </w:p>
        </w:tc>
        <w:tc>
          <w:tcPr>
            <w:tcW w:w="1107" w:type="dxa"/>
            <w:tcBorders>
              <w:top w:val="nil"/>
              <w:bottom w:val="nil"/>
              <w:right w:val="nil"/>
            </w:tcBorders>
            <w:shd w:val="clear" w:color="auto" w:fill="auto"/>
            <w:noWrap/>
            <w:vAlign w:val="bottom"/>
            <w:hideMark/>
          </w:tcPr>
          <w:p w14:paraId="6023E07A"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25,538</w:t>
            </w:r>
          </w:p>
        </w:tc>
      </w:tr>
      <w:tr w:rsidR="00325CDF" w:rsidRPr="00822434" w14:paraId="41AEAD32" w14:textId="77777777" w:rsidTr="00822434">
        <w:trPr>
          <w:trHeight w:val="288"/>
        </w:trPr>
        <w:tc>
          <w:tcPr>
            <w:tcW w:w="2340" w:type="dxa"/>
            <w:tcBorders>
              <w:top w:val="nil"/>
              <w:left w:val="nil"/>
              <w:bottom w:val="nil"/>
            </w:tcBorders>
            <w:shd w:val="clear" w:color="auto" w:fill="auto"/>
            <w:noWrap/>
            <w:vAlign w:val="bottom"/>
            <w:hideMark/>
          </w:tcPr>
          <w:p w14:paraId="31997B49"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Mexico</w:t>
            </w:r>
          </w:p>
        </w:tc>
        <w:tc>
          <w:tcPr>
            <w:tcW w:w="900" w:type="dxa"/>
            <w:tcBorders>
              <w:top w:val="nil"/>
              <w:bottom w:val="nil"/>
            </w:tcBorders>
            <w:shd w:val="clear" w:color="auto" w:fill="auto"/>
            <w:noWrap/>
            <w:vAlign w:val="bottom"/>
            <w:hideMark/>
          </w:tcPr>
          <w:p w14:paraId="681B6F04"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1995</w:t>
            </w:r>
          </w:p>
        </w:tc>
        <w:tc>
          <w:tcPr>
            <w:tcW w:w="1107" w:type="dxa"/>
            <w:tcBorders>
              <w:top w:val="nil"/>
              <w:bottom w:val="nil"/>
              <w:right w:val="nil"/>
            </w:tcBorders>
            <w:shd w:val="clear" w:color="auto" w:fill="auto"/>
            <w:noWrap/>
            <w:vAlign w:val="bottom"/>
            <w:hideMark/>
          </w:tcPr>
          <w:p w14:paraId="7F7EE1F0"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27,841</w:t>
            </w:r>
          </w:p>
        </w:tc>
      </w:tr>
      <w:tr w:rsidR="00325CDF" w:rsidRPr="00822434" w14:paraId="30055D1E" w14:textId="77777777" w:rsidTr="00822434">
        <w:trPr>
          <w:trHeight w:val="288"/>
        </w:trPr>
        <w:tc>
          <w:tcPr>
            <w:tcW w:w="2340" w:type="dxa"/>
            <w:tcBorders>
              <w:top w:val="nil"/>
              <w:left w:val="nil"/>
              <w:bottom w:val="nil"/>
            </w:tcBorders>
            <w:shd w:val="clear" w:color="auto" w:fill="auto"/>
            <w:noWrap/>
            <w:vAlign w:val="bottom"/>
            <w:hideMark/>
          </w:tcPr>
          <w:p w14:paraId="65373E7D"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Panama</w:t>
            </w:r>
          </w:p>
        </w:tc>
        <w:tc>
          <w:tcPr>
            <w:tcW w:w="900" w:type="dxa"/>
            <w:tcBorders>
              <w:top w:val="nil"/>
              <w:bottom w:val="nil"/>
            </w:tcBorders>
            <w:shd w:val="clear" w:color="auto" w:fill="auto"/>
            <w:noWrap/>
            <w:vAlign w:val="bottom"/>
            <w:hideMark/>
          </w:tcPr>
          <w:p w14:paraId="13652DC2"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1980</w:t>
            </w:r>
          </w:p>
        </w:tc>
        <w:tc>
          <w:tcPr>
            <w:tcW w:w="1107" w:type="dxa"/>
            <w:tcBorders>
              <w:top w:val="nil"/>
              <w:bottom w:val="nil"/>
              <w:right w:val="nil"/>
            </w:tcBorders>
            <w:shd w:val="clear" w:color="auto" w:fill="auto"/>
            <w:noWrap/>
            <w:vAlign w:val="bottom"/>
            <w:hideMark/>
          </w:tcPr>
          <w:p w14:paraId="2B9937FB"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10,746</w:t>
            </w:r>
          </w:p>
        </w:tc>
      </w:tr>
      <w:tr w:rsidR="00325CDF" w:rsidRPr="00822434" w14:paraId="201C17A6" w14:textId="77777777" w:rsidTr="00822434">
        <w:trPr>
          <w:trHeight w:val="288"/>
        </w:trPr>
        <w:tc>
          <w:tcPr>
            <w:tcW w:w="2340" w:type="dxa"/>
            <w:tcBorders>
              <w:top w:val="nil"/>
              <w:left w:val="nil"/>
              <w:bottom w:val="nil"/>
            </w:tcBorders>
            <w:shd w:val="clear" w:color="auto" w:fill="auto"/>
            <w:noWrap/>
            <w:vAlign w:val="bottom"/>
            <w:hideMark/>
          </w:tcPr>
          <w:p w14:paraId="58D225EF"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Panama</w:t>
            </w:r>
          </w:p>
        </w:tc>
        <w:tc>
          <w:tcPr>
            <w:tcW w:w="900" w:type="dxa"/>
            <w:tcBorders>
              <w:top w:val="nil"/>
              <w:bottom w:val="nil"/>
            </w:tcBorders>
            <w:shd w:val="clear" w:color="auto" w:fill="auto"/>
            <w:noWrap/>
            <w:vAlign w:val="bottom"/>
            <w:hideMark/>
          </w:tcPr>
          <w:p w14:paraId="11061A18"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1990</w:t>
            </w:r>
          </w:p>
        </w:tc>
        <w:tc>
          <w:tcPr>
            <w:tcW w:w="1107" w:type="dxa"/>
            <w:tcBorders>
              <w:top w:val="nil"/>
              <w:bottom w:val="nil"/>
              <w:right w:val="nil"/>
            </w:tcBorders>
            <w:shd w:val="clear" w:color="auto" w:fill="auto"/>
            <w:noWrap/>
            <w:vAlign w:val="bottom"/>
            <w:hideMark/>
          </w:tcPr>
          <w:p w14:paraId="3223BD26"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11,967</w:t>
            </w:r>
          </w:p>
        </w:tc>
      </w:tr>
      <w:tr w:rsidR="00325CDF" w:rsidRPr="00822434" w14:paraId="0A89D859" w14:textId="77777777" w:rsidTr="00822434">
        <w:trPr>
          <w:trHeight w:val="288"/>
        </w:trPr>
        <w:tc>
          <w:tcPr>
            <w:tcW w:w="2340" w:type="dxa"/>
            <w:tcBorders>
              <w:top w:val="nil"/>
              <w:left w:val="nil"/>
              <w:bottom w:val="nil"/>
            </w:tcBorders>
            <w:shd w:val="clear" w:color="auto" w:fill="auto"/>
            <w:noWrap/>
            <w:vAlign w:val="bottom"/>
            <w:hideMark/>
          </w:tcPr>
          <w:p w14:paraId="70C401A9"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Panama</w:t>
            </w:r>
          </w:p>
        </w:tc>
        <w:tc>
          <w:tcPr>
            <w:tcW w:w="900" w:type="dxa"/>
            <w:tcBorders>
              <w:top w:val="nil"/>
              <w:bottom w:val="nil"/>
            </w:tcBorders>
            <w:shd w:val="clear" w:color="auto" w:fill="auto"/>
            <w:noWrap/>
            <w:vAlign w:val="bottom"/>
            <w:hideMark/>
          </w:tcPr>
          <w:p w14:paraId="2A809FBD"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2010</w:t>
            </w:r>
          </w:p>
        </w:tc>
        <w:tc>
          <w:tcPr>
            <w:tcW w:w="1107" w:type="dxa"/>
            <w:tcBorders>
              <w:top w:val="nil"/>
              <w:bottom w:val="nil"/>
              <w:right w:val="nil"/>
            </w:tcBorders>
            <w:shd w:val="clear" w:color="auto" w:fill="auto"/>
            <w:noWrap/>
            <w:vAlign w:val="bottom"/>
            <w:hideMark/>
          </w:tcPr>
          <w:p w14:paraId="237CEC81"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14,557</w:t>
            </w:r>
          </w:p>
        </w:tc>
      </w:tr>
      <w:tr w:rsidR="00325CDF" w:rsidRPr="00822434" w14:paraId="70ED3A3F" w14:textId="77777777" w:rsidTr="00822434">
        <w:trPr>
          <w:trHeight w:val="288"/>
        </w:trPr>
        <w:tc>
          <w:tcPr>
            <w:tcW w:w="2340" w:type="dxa"/>
            <w:tcBorders>
              <w:top w:val="nil"/>
              <w:left w:val="nil"/>
              <w:bottom w:val="nil"/>
            </w:tcBorders>
            <w:shd w:val="clear" w:color="auto" w:fill="auto"/>
            <w:noWrap/>
            <w:vAlign w:val="bottom"/>
            <w:hideMark/>
          </w:tcPr>
          <w:p w14:paraId="653D8CBF"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Puerto Rico</w:t>
            </w:r>
          </w:p>
        </w:tc>
        <w:tc>
          <w:tcPr>
            <w:tcW w:w="900" w:type="dxa"/>
            <w:tcBorders>
              <w:top w:val="nil"/>
              <w:bottom w:val="nil"/>
            </w:tcBorders>
            <w:shd w:val="clear" w:color="auto" w:fill="auto"/>
            <w:noWrap/>
            <w:vAlign w:val="bottom"/>
            <w:hideMark/>
          </w:tcPr>
          <w:p w14:paraId="054D60FE"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1990</w:t>
            </w:r>
          </w:p>
        </w:tc>
        <w:tc>
          <w:tcPr>
            <w:tcW w:w="1107" w:type="dxa"/>
            <w:tcBorders>
              <w:top w:val="nil"/>
              <w:bottom w:val="nil"/>
              <w:right w:val="nil"/>
            </w:tcBorders>
            <w:shd w:val="clear" w:color="auto" w:fill="auto"/>
            <w:noWrap/>
            <w:vAlign w:val="bottom"/>
            <w:hideMark/>
          </w:tcPr>
          <w:p w14:paraId="048EAF71"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23,558</w:t>
            </w:r>
          </w:p>
        </w:tc>
      </w:tr>
      <w:tr w:rsidR="00325CDF" w:rsidRPr="00822434" w14:paraId="6EC1BD0C" w14:textId="77777777" w:rsidTr="00822434">
        <w:trPr>
          <w:trHeight w:val="288"/>
        </w:trPr>
        <w:tc>
          <w:tcPr>
            <w:tcW w:w="2340" w:type="dxa"/>
            <w:tcBorders>
              <w:top w:val="nil"/>
              <w:left w:val="nil"/>
              <w:bottom w:val="nil"/>
            </w:tcBorders>
            <w:shd w:val="clear" w:color="auto" w:fill="auto"/>
            <w:noWrap/>
            <w:vAlign w:val="bottom"/>
            <w:hideMark/>
          </w:tcPr>
          <w:p w14:paraId="57E06591"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Puerto Rico</w:t>
            </w:r>
          </w:p>
        </w:tc>
        <w:tc>
          <w:tcPr>
            <w:tcW w:w="900" w:type="dxa"/>
            <w:tcBorders>
              <w:top w:val="nil"/>
              <w:bottom w:val="nil"/>
            </w:tcBorders>
            <w:shd w:val="clear" w:color="auto" w:fill="auto"/>
            <w:noWrap/>
            <w:vAlign w:val="bottom"/>
            <w:hideMark/>
          </w:tcPr>
          <w:p w14:paraId="56A54E0E"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2000</w:t>
            </w:r>
          </w:p>
        </w:tc>
        <w:tc>
          <w:tcPr>
            <w:tcW w:w="1107" w:type="dxa"/>
            <w:tcBorders>
              <w:top w:val="nil"/>
              <w:bottom w:val="nil"/>
              <w:right w:val="nil"/>
            </w:tcBorders>
            <w:shd w:val="clear" w:color="auto" w:fill="auto"/>
            <w:noWrap/>
            <w:vAlign w:val="bottom"/>
            <w:hideMark/>
          </w:tcPr>
          <w:p w14:paraId="1EB05BE2"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22,708</w:t>
            </w:r>
          </w:p>
        </w:tc>
      </w:tr>
      <w:tr w:rsidR="00325CDF" w:rsidRPr="00822434" w14:paraId="63D07786" w14:textId="77777777" w:rsidTr="00822434">
        <w:trPr>
          <w:trHeight w:val="288"/>
        </w:trPr>
        <w:tc>
          <w:tcPr>
            <w:tcW w:w="2340" w:type="dxa"/>
            <w:tcBorders>
              <w:top w:val="nil"/>
              <w:left w:val="nil"/>
              <w:bottom w:val="nil"/>
            </w:tcBorders>
            <w:shd w:val="clear" w:color="auto" w:fill="auto"/>
            <w:noWrap/>
            <w:vAlign w:val="bottom"/>
            <w:hideMark/>
          </w:tcPr>
          <w:p w14:paraId="197E6E4C"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Puerto Rico</w:t>
            </w:r>
          </w:p>
        </w:tc>
        <w:tc>
          <w:tcPr>
            <w:tcW w:w="900" w:type="dxa"/>
            <w:tcBorders>
              <w:top w:val="nil"/>
              <w:bottom w:val="nil"/>
            </w:tcBorders>
            <w:shd w:val="clear" w:color="auto" w:fill="auto"/>
            <w:noWrap/>
            <w:vAlign w:val="bottom"/>
            <w:hideMark/>
          </w:tcPr>
          <w:p w14:paraId="225A13AE"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2005</w:t>
            </w:r>
          </w:p>
        </w:tc>
        <w:tc>
          <w:tcPr>
            <w:tcW w:w="1107" w:type="dxa"/>
            <w:tcBorders>
              <w:top w:val="nil"/>
              <w:bottom w:val="nil"/>
              <w:right w:val="nil"/>
            </w:tcBorders>
            <w:shd w:val="clear" w:color="auto" w:fill="auto"/>
            <w:noWrap/>
            <w:vAlign w:val="bottom"/>
            <w:hideMark/>
          </w:tcPr>
          <w:p w14:paraId="74B1CB48"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12,338</w:t>
            </w:r>
          </w:p>
        </w:tc>
      </w:tr>
      <w:tr w:rsidR="00325CDF" w:rsidRPr="00822434" w14:paraId="581C8D43" w14:textId="77777777" w:rsidTr="00822434">
        <w:trPr>
          <w:trHeight w:val="288"/>
        </w:trPr>
        <w:tc>
          <w:tcPr>
            <w:tcW w:w="2340" w:type="dxa"/>
            <w:tcBorders>
              <w:top w:val="nil"/>
              <w:left w:val="nil"/>
              <w:bottom w:val="nil"/>
            </w:tcBorders>
            <w:shd w:val="clear" w:color="auto" w:fill="auto"/>
            <w:noWrap/>
            <w:vAlign w:val="bottom"/>
            <w:hideMark/>
          </w:tcPr>
          <w:p w14:paraId="4F863EF3"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Puerto Rico</w:t>
            </w:r>
          </w:p>
        </w:tc>
        <w:tc>
          <w:tcPr>
            <w:tcW w:w="900" w:type="dxa"/>
            <w:tcBorders>
              <w:top w:val="nil"/>
              <w:bottom w:val="nil"/>
            </w:tcBorders>
            <w:shd w:val="clear" w:color="auto" w:fill="auto"/>
            <w:noWrap/>
            <w:vAlign w:val="bottom"/>
            <w:hideMark/>
          </w:tcPr>
          <w:p w14:paraId="6C29C000"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2010</w:t>
            </w:r>
          </w:p>
        </w:tc>
        <w:tc>
          <w:tcPr>
            <w:tcW w:w="1107" w:type="dxa"/>
            <w:tcBorders>
              <w:top w:val="nil"/>
              <w:bottom w:val="nil"/>
              <w:right w:val="nil"/>
            </w:tcBorders>
            <w:shd w:val="clear" w:color="auto" w:fill="auto"/>
            <w:noWrap/>
            <w:vAlign w:val="bottom"/>
            <w:hideMark/>
          </w:tcPr>
          <w:p w14:paraId="18B7A408"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12,939</w:t>
            </w:r>
          </w:p>
        </w:tc>
      </w:tr>
      <w:tr w:rsidR="00325CDF" w:rsidRPr="00822434" w14:paraId="3865A7B1" w14:textId="77777777" w:rsidTr="00822434">
        <w:trPr>
          <w:trHeight w:val="288"/>
        </w:trPr>
        <w:tc>
          <w:tcPr>
            <w:tcW w:w="2340" w:type="dxa"/>
            <w:tcBorders>
              <w:top w:val="nil"/>
              <w:left w:val="nil"/>
              <w:bottom w:val="nil"/>
            </w:tcBorders>
            <w:shd w:val="clear" w:color="auto" w:fill="auto"/>
            <w:noWrap/>
            <w:vAlign w:val="bottom"/>
            <w:hideMark/>
          </w:tcPr>
          <w:p w14:paraId="5A6432AF"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South Africa</w:t>
            </w:r>
          </w:p>
        </w:tc>
        <w:tc>
          <w:tcPr>
            <w:tcW w:w="900" w:type="dxa"/>
            <w:tcBorders>
              <w:top w:val="nil"/>
              <w:bottom w:val="nil"/>
            </w:tcBorders>
            <w:shd w:val="clear" w:color="auto" w:fill="auto"/>
            <w:noWrap/>
            <w:vAlign w:val="bottom"/>
            <w:hideMark/>
          </w:tcPr>
          <w:p w14:paraId="50F93A44"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1996</w:t>
            </w:r>
          </w:p>
        </w:tc>
        <w:tc>
          <w:tcPr>
            <w:tcW w:w="1107" w:type="dxa"/>
            <w:tcBorders>
              <w:top w:val="nil"/>
              <w:bottom w:val="nil"/>
              <w:right w:val="nil"/>
            </w:tcBorders>
            <w:shd w:val="clear" w:color="auto" w:fill="auto"/>
            <w:noWrap/>
            <w:vAlign w:val="bottom"/>
            <w:hideMark/>
          </w:tcPr>
          <w:p w14:paraId="043D229E"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11,614</w:t>
            </w:r>
          </w:p>
        </w:tc>
      </w:tr>
      <w:tr w:rsidR="00325CDF" w:rsidRPr="00822434" w14:paraId="44BAA11C" w14:textId="77777777" w:rsidTr="00822434">
        <w:trPr>
          <w:trHeight w:val="288"/>
        </w:trPr>
        <w:tc>
          <w:tcPr>
            <w:tcW w:w="2340" w:type="dxa"/>
            <w:tcBorders>
              <w:top w:val="nil"/>
              <w:left w:val="nil"/>
              <w:bottom w:val="nil"/>
            </w:tcBorders>
            <w:shd w:val="clear" w:color="auto" w:fill="auto"/>
            <w:noWrap/>
            <w:vAlign w:val="bottom"/>
            <w:hideMark/>
          </w:tcPr>
          <w:p w14:paraId="2EDF1628"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South Africa</w:t>
            </w:r>
          </w:p>
        </w:tc>
        <w:tc>
          <w:tcPr>
            <w:tcW w:w="900" w:type="dxa"/>
            <w:tcBorders>
              <w:top w:val="nil"/>
              <w:bottom w:val="nil"/>
            </w:tcBorders>
            <w:shd w:val="clear" w:color="auto" w:fill="auto"/>
            <w:noWrap/>
            <w:vAlign w:val="bottom"/>
            <w:hideMark/>
          </w:tcPr>
          <w:p w14:paraId="3F61C2BD"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2001</w:t>
            </w:r>
          </w:p>
        </w:tc>
        <w:tc>
          <w:tcPr>
            <w:tcW w:w="1107" w:type="dxa"/>
            <w:tcBorders>
              <w:top w:val="nil"/>
              <w:bottom w:val="nil"/>
              <w:right w:val="nil"/>
            </w:tcBorders>
            <w:shd w:val="clear" w:color="auto" w:fill="auto"/>
            <w:noWrap/>
            <w:vAlign w:val="bottom"/>
            <w:hideMark/>
          </w:tcPr>
          <w:p w14:paraId="2478AE12"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14,742</w:t>
            </w:r>
          </w:p>
        </w:tc>
      </w:tr>
      <w:tr w:rsidR="00325CDF" w:rsidRPr="00822434" w14:paraId="76AC7F0D" w14:textId="77777777" w:rsidTr="00822434">
        <w:trPr>
          <w:trHeight w:val="288"/>
        </w:trPr>
        <w:tc>
          <w:tcPr>
            <w:tcW w:w="2340" w:type="dxa"/>
            <w:tcBorders>
              <w:top w:val="nil"/>
              <w:left w:val="nil"/>
              <w:bottom w:val="nil"/>
            </w:tcBorders>
            <w:shd w:val="clear" w:color="auto" w:fill="auto"/>
            <w:noWrap/>
            <w:vAlign w:val="bottom"/>
            <w:hideMark/>
          </w:tcPr>
          <w:p w14:paraId="46C38E55"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South Africa</w:t>
            </w:r>
          </w:p>
        </w:tc>
        <w:tc>
          <w:tcPr>
            <w:tcW w:w="900" w:type="dxa"/>
            <w:tcBorders>
              <w:top w:val="nil"/>
              <w:bottom w:val="nil"/>
            </w:tcBorders>
            <w:shd w:val="clear" w:color="auto" w:fill="auto"/>
            <w:noWrap/>
            <w:vAlign w:val="bottom"/>
            <w:hideMark/>
          </w:tcPr>
          <w:p w14:paraId="57382094"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2007</w:t>
            </w:r>
          </w:p>
        </w:tc>
        <w:tc>
          <w:tcPr>
            <w:tcW w:w="1107" w:type="dxa"/>
            <w:tcBorders>
              <w:top w:val="nil"/>
              <w:bottom w:val="nil"/>
              <w:right w:val="nil"/>
            </w:tcBorders>
            <w:shd w:val="clear" w:color="auto" w:fill="auto"/>
            <w:noWrap/>
            <w:vAlign w:val="bottom"/>
            <w:hideMark/>
          </w:tcPr>
          <w:p w14:paraId="1F46B578"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18,073</w:t>
            </w:r>
          </w:p>
        </w:tc>
      </w:tr>
      <w:tr w:rsidR="00325CDF" w:rsidRPr="00822434" w14:paraId="29A82120" w14:textId="77777777" w:rsidTr="00822434">
        <w:trPr>
          <w:trHeight w:val="288"/>
        </w:trPr>
        <w:tc>
          <w:tcPr>
            <w:tcW w:w="2340" w:type="dxa"/>
            <w:tcBorders>
              <w:top w:val="nil"/>
              <w:left w:val="nil"/>
              <w:bottom w:val="nil"/>
            </w:tcBorders>
            <w:shd w:val="clear" w:color="auto" w:fill="auto"/>
            <w:noWrap/>
            <w:vAlign w:val="bottom"/>
            <w:hideMark/>
          </w:tcPr>
          <w:p w14:paraId="52931A58"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South Africa</w:t>
            </w:r>
          </w:p>
        </w:tc>
        <w:tc>
          <w:tcPr>
            <w:tcW w:w="900" w:type="dxa"/>
            <w:tcBorders>
              <w:top w:val="nil"/>
              <w:bottom w:val="nil"/>
            </w:tcBorders>
            <w:shd w:val="clear" w:color="auto" w:fill="auto"/>
            <w:noWrap/>
            <w:vAlign w:val="bottom"/>
            <w:hideMark/>
          </w:tcPr>
          <w:p w14:paraId="70668F49"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2011</w:t>
            </w:r>
          </w:p>
        </w:tc>
        <w:tc>
          <w:tcPr>
            <w:tcW w:w="1107" w:type="dxa"/>
            <w:tcBorders>
              <w:top w:val="nil"/>
              <w:bottom w:val="nil"/>
              <w:right w:val="nil"/>
            </w:tcBorders>
            <w:shd w:val="clear" w:color="auto" w:fill="auto"/>
            <w:noWrap/>
            <w:vAlign w:val="bottom"/>
            <w:hideMark/>
          </w:tcPr>
          <w:p w14:paraId="2993E43F"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19,575</w:t>
            </w:r>
          </w:p>
        </w:tc>
      </w:tr>
      <w:tr w:rsidR="00325CDF" w:rsidRPr="00822434" w14:paraId="3F4D265C" w14:textId="77777777" w:rsidTr="00822434">
        <w:trPr>
          <w:trHeight w:val="288"/>
        </w:trPr>
        <w:tc>
          <w:tcPr>
            <w:tcW w:w="2340" w:type="dxa"/>
            <w:tcBorders>
              <w:top w:val="nil"/>
              <w:left w:val="nil"/>
              <w:bottom w:val="nil"/>
            </w:tcBorders>
            <w:shd w:val="clear" w:color="auto" w:fill="auto"/>
            <w:noWrap/>
            <w:vAlign w:val="bottom"/>
            <w:hideMark/>
          </w:tcPr>
          <w:p w14:paraId="320B931B"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Trinidad and Tobago</w:t>
            </w:r>
          </w:p>
        </w:tc>
        <w:tc>
          <w:tcPr>
            <w:tcW w:w="900" w:type="dxa"/>
            <w:tcBorders>
              <w:top w:val="nil"/>
              <w:bottom w:val="nil"/>
            </w:tcBorders>
            <w:shd w:val="clear" w:color="auto" w:fill="auto"/>
            <w:noWrap/>
            <w:vAlign w:val="bottom"/>
            <w:hideMark/>
          </w:tcPr>
          <w:p w14:paraId="01173B6B"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1970</w:t>
            </w:r>
          </w:p>
        </w:tc>
        <w:tc>
          <w:tcPr>
            <w:tcW w:w="1107" w:type="dxa"/>
            <w:tcBorders>
              <w:top w:val="nil"/>
              <w:bottom w:val="nil"/>
              <w:right w:val="nil"/>
            </w:tcBorders>
            <w:shd w:val="clear" w:color="auto" w:fill="auto"/>
            <w:noWrap/>
            <w:vAlign w:val="bottom"/>
            <w:hideMark/>
          </w:tcPr>
          <w:p w14:paraId="734F2BB8"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14,214</w:t>
            </w:r>
          </w:p>
        </w:tc>
      </w:tr>
      <w:tr w:rsidR="00325CDF" w:rsidRPr="00822434" w14:paraId="3A2E505C" w14:textId="77777777" w:rsidTr="00822434">
        <w:trPr>
          <w:trHeight w:val="288"/>
        </w:trPr>
        <w:tc>
          <w:tcPr>
            <w:tcW w:w="2340" w:type="dxa"/>
            <w:tcBorders>
              <w:top w:val="nil"/>
              <w:left w:val="nil"/>
              <w:bottom w:val="nil"/>
            </w:tcBorders>
            <w:shd w:val="clear" w:color="auto" w:fill="auto"/>
            <w:noWrap/>
            <w:vAlign w:val="bottom"/>
            <w:hideMark/>
          </w:tcPr>
          <w:p w14:paraId="0DC567D3"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Trinidad and Tobago</w:t>
            </w:r>
          </w:p>
        </w:tc>
        <w:tc>
          <w:tcPr>
            <w:tcW w:w="900" w:type="dxa"/>
            <w:tcBorders>
              <w:top w:val="nil"/>
              <w:bottom w:val="nil"/>
            </w:tcBorders>
            <w:shd w:val="clear" w:color="auto" w:fill="auto"/>
            <w:noWrap/>
            <w:vAlign w:val="bottom"/>
            <w:hideMark/>
          </w:tcPr>
          <w:p w14:paraId="692CB94E"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2000</w:t>
            </w:r>
          </w:p>
        </w:tc>
        <w:tc>
          <w:tcPr>
            <w:tcW w:w="1107" w:type="dxa"/>
            <w:tcBorders>
              <w:top w:val="nil"/>
              <w:bottom w:val="nil"/>
              <w:right w:val="nil"/>
            </w:tcBorders>
            <w:shd w:val="clear" w:color="auto" w:fill="auto"/>
            <w:noWrap/>
            <w:vAlign w:val="bottom"/>
            <w:hideMark/>
          </w:tcPr>
          <w:p w14:paraId="73CDD341"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38,412</w:t>
            </w:r>
          </w:p>
        </w:tc>
      </w:tr>
      <w:tr w:rsidR="00325CDF" w:rsidRPr="00822434" w14:paraId="5A77A912" w14:textId="77777777" w:rsidTr="00822434">
        <w:trPr>
          <w:trHeight w:val="288"/>
        </w:trPr>
        <w:tc>
          <w:tcPr>
            <w:tcW w:w="2340" w:type="dxa"/>
            <w:tcBorders>
              <w:top w:val="nil"/>
              <w:left w:val="nil"/>
              <w:bottom w:val="nil"/>
            </w:tcBorders>
            <w:shd w:val="clear" w:color="auto" w:fill="auto"/>
            <w:noWrap/>
            <w:vAlign w:val="bottom"/>
            <w:hideMark/>
          </w:tcPr>
          <w:p w14:paraId="1DCDBB0E"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United States</w:t>
            </w:r>
          </w:p>
        </w:tc>
        <w:tc>
          <w:tcPr>
            <w:tcW w:w="900" w:type="dxa"/>
            <w:tcBorders>
              <w:top w:val="nil"/>
              <w:bottom w:val="nil"/>
            </w:tcBorders>
            <w:shd w:val="clear" w:color="auto" w:fill="auto"/>
            <w:noWrap/>
            <w:vAlign w:val="bottom"/>
            <w:hideMark/>
          </w:tcPr>
          <w:p w14:paraId="788DD58F"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1960</w:t>
            </w:r>
          </w:p>
        </w:tc>
        <w:tc>
          <w:tcPr>
            <w:tcW w:w="1107" w:type="dxa"/>
            <w:tcBorders>
              <w:top w:val="nil"/>
              <w:bottom w:val="nil"/>
              <w:right w:val="nil"/>
            </w:tcBorders>
            <w:shd w:val="clear" w:color="auto" w:fill="auto"/>
            <w:noWrap/>
            <w:vAlign w:val="bottom"/>
            <w:hideMark/>
          </w:tcPr>
          <w:p w14:paraId="7446C81B"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69,805</w:t>
            </w:r>
          </w:p>
        </w:tc>
      </w:tr>
      <w:tr w:rsidR="00325CDF" w:rsidRPr="00822434" w14:paraId="2AECF67A" w14:textId="77777777" w:rsidTr="00822434">
        <w:trPr>
          <w:trHeight w:val="288"/>
        </w:trPr>
        <w:tc>
          <w:tcPr>
            <w:tcW w:w="2340" w:type="dxa"/>
            <w:tcBorders>
              <w:top w:val="nil"/>
              <w:left w:val="nil"/>
              <w:bottom w:val="nil"/>
            </w:tcBorders>
            <w:shd w:val="clear" w:color="auto" w:fill="auto"/>
            <w:noWrap/>
            <w:vAlign w:val="bottom"/>
            <w:hideMark/>
          </w:tcPr>
          <w:p w14:paraId="3B9DFBB8"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United States</w:t>
            </w:r>
          </w:p>
        </w:tc>
        <w:tc>
          <w:tcPr>
            <w:tcW w:w="900" w:type="dxa"/>
            <w:tcBorders>
              <w:top w:val="nil"/>
              <w:bottom w:val="nil"/>
            </w:tcBorders>
            <w:shd w:val="clear" w:color="auto" w:fill="auto"/>
            <w:noWrap/>
            <w:vAlign w:val="bottom"/>
            <w:hideMark/>
          </w:tcPr>
          <w:p w14:paraId="36CE9610"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1970</w:t>
            </w:r>
          </w:p>
        </w:tc>
        <w:tc>
          <w:tcPr>
            <w:tcW w:w="1107" w:type="dxa"/>
            <w:tcBorders>
              <w:top w:val="nil"/>
              <w:bottom w:val="nil"/>
              <w:right w:val="nil"/>
            </w:tcBorders>
            <w:shd w:val="clear" w:color="auto" w:fill="auto"/>
            <w:noWrap/>
            <w:vAlign w:val="bottom"/>
            <w:hideMark/>
          </w:tcPr>
          <w:p w14:paraId="2E5FC3F2"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81,148</w:t>
            </w:r>
          </w:p>
        </w:tc>
      </w:tr>
      <w:tr w:rsidR="00325CDF" w:rsidRPr="00822434" w14:paraId="2B5520C1" w14:textId="77777777" w:rsidTr="00822434">
        <w:trPr>
          <w:trHeight w:val="288"/>
        </w:trPr>
        <w:tc>
          <w:tcPr>
            <w:tcW w:w="2340" w:type="dxa"/>
            <w:tcBorders>
              <w:top w:val="nil"/>
              <w:left w:val="nil"/>
              <w:bottom w:val="nil"/>
            </w:tcBorders>
            <w:shd w:val="clear" w:color="auto" w:fill="auto"/>
            <w:noWrap/>
            <w:vAlign w:val="bottom"/>
            <w:hideMark/>
          </w:tcPr>
          <w:p w14:paraId="5FB87ECF"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United States</w:t>
            </w:r>
          </w:p>
        </w:tc>
        <w:tc>
          <w:tcPr>
            <w:tcW w:w="900" w:type="dxa"/>
            <w:tcBorders>
              <w:top w:val="nil"/>
              <w:bottom w:val="nil"/>
            </w:tcBorders>
            <w:shd w:val="clear" w:color="auto" w:fill="auto"/>
            <w:noWrap/>
            <w:vAlign w:val="bottom"/>
            <w:hideMark/>
          </w:tcPr>
          <w:p w14:paraId="43E5B8E5"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1980</w:t>
            </w:r>
          </w:p>
        </w:tc>
        <w:tc>
          <w:tcPr>
            <w:tcW w:w="1107" w:type="dxa"/>
            <w:tcBorders>
              <w:top w:val="nil"/>
              <w:bottom w:val="nil"/>
              <w:right w:val="nil"/>
            </w:tcBorders>
            <w:shd w:val="clear" w:color="auto" w:fill="auto"/>
            <w:noWrap/>
            <w:vAlign w:val="bottom"/>
            <w:hideMark/>
          </w:tcPr>
          <w:p w14:paraId="5EF30008"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42,280</w:t>
            </w:r>
          </w:p>
        </w:tc>
      </w:tr>
      <w:tr w:rsidR="00325CDF" w:rsidRPr="00822434" w14:paraId="02052F28" w14:textId="77777777" w:rsidTr="00822434">
        <w:trPr>
          <w:trHeight w:val="288"/>
        </w:trPr>
        <w:tc>
          <w:tcPr>
            <w:tcW w:w="2340" w:type="dxa"/>
            <w:tcBorders>
              <w:top w:val="nil"/>
              <w:left w:val="nil"/>
              <w:bottom w:val="nil"/>
            </w:tcBorders>
            <w:shd w:val="clear" w:color="auto" w:fill="auto"/>
            <w:noWrap/>
            <w:vAlign w:val="bottom"/>
            <w:hideMark/>
          </w:tcPr>
          <w:p w14:paraId="7BD64A86"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United States</w:t>
            </w:r>
          </w:p>
        </w:tc>
        <w:tc>
          <w:tcPr>
            <w:tcW w:w="900" w:type="dxa"/>
            <w:tcBorders>
              <w:top w:val="nil"/>
              <w:bottom w:val="nil"/>
            </w:tcBorders>
            <w:shd w:val="clear" w:color="auto" w:fill="auto"/>
            <w:noWrap/>
            <w:vAlign w:val="bottom"/>
            <w:hideMark/>
          </w:tcPr>
          <w:p w14:paraId="66F602A5"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1990</w:t>
            </w:r>
          </w:p>
        </w:tc>
        <w:tc>
          <w:tcPr>
            <w:tcW w:w="1107" w:type="dxa"/>
            <w:tcBorders>
              <w:top w:val="nil"/>
              <w:bottom w:val="nil"/>
              <w:right w:val="nil"/>
            </w:tcBorders>
            <w:shd w:val="clear" w:color="auto" w:fill="auto"/>
            <w:noWrap/>
            <w:vAlign w:val="bottom"/>
            <w:hideMark/>
          </w:tcPr>
          <w:p w14:paraId="06D05979"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61,149</w:t>
            </w:r>
          </w:p>
        </w:tc>
      </w:tr>
      <w:tr w:rsidR="00325CDF" w:rsidRPr="00822434" w14:paraId="6D0614DC" w14:textId="77777777" w:rsidTr="00822434">
        <w:trPr>
          <w:trHeight w:val="288"/>
        </w:trPr>
        <w:tc>
          <w:tcPr>
            <w:tcW w:w="2340" w:type="dxa"/>
            <w:tcBorders>
              <w:top w:val="nil"/>
              <w:left w:val="nil"/>
              <w:bottom w:val="nil"/>
            </w:tcBorders>
            <w:shd w:val="clear" w:color="auto" w:fill="auto"/>
            <w:noWrap/>
            <w:vAlign w:val="bottom"/>
            <w:hideMark/>
          </w:tcPr>
          <w:p w14:paraId="1BEECDDA"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United States</w:t>
            </w:r>
          </w:p>
        </w:tc>
        <w:tc>
          <w:tcPr>
            <w:tcW w:w="900" w:type="dxa"/>
            <w:tcBorders>
              <w:top w:val="nil"/>
              <w:bottom w:val="nil"/>
            </w:tcBorders>
            <w:shd w:val="clear" w:color="auto" w:fill="auto"/>
            <w:noWrap/>
            <w:vAlign w:val="bottom"/>
            <w:hideMark/>
          </w:tcPr>
          <w:p w14:paraId="335BE024"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2000</w:t>
            </w:r>
          </w:p>
        </w:tc>
        <w:tc>
          <w:tcPr>
            <w:tcW w:w="1107" w:type="dxa"/>
            <w:tcBorders>
              <w:top w:val="nil"/>
              <w:bottom w:val="nil"/>
              <w:right w:val="nil"/>
            </w:tcBorders>
            <w:shd w:val="clear" w:color="auto" w:fill="auto"/>
            <w:noWrap/>
            <w:vAlign w:val="bottom"/>
            <w:hideMark/>
          </w:tcPr>
          <w:p w14:paraId="66B29B8B"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68,131</w:t>
            </w:r>
          </w:p>
        </w:tc>
      </w:tr>
      <w:tr w:rsidR="00325CDF" w:rsidRPr="00822434" w14:paraId="122DE5C7" w14:textId="77777777" w:rsidTr="00822434">
        <w:trPr>
          <w:trHeight w:val="288"/>
        </w:trPr>
        <w:tc>
          <w:tcPr>
            <w:tcW w:w="2340" w:type="dxa"/>
            <w:tcBorders>
              <w:top w:val="nil"/>
              <w:left w:val="nil"/>
              <w:bottom w:val="nil"/>
            </w:tcBorders>
            <w:shd w:val="clear" w:color="auto" w:fill="auto"/>
            <w:noWrap/>
            <w:vAlign w:val="bottom"/>
            <w:hideMark/>
          </w:tcPr>
          <w:p w14:paraId="1D5B354F"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United States</w:t>
            </w:r>
          </w:p>
        </w:tc>
        <w:tc>
          <w:tcPr>
            <w:tcW w:w="900" w:type="dxa"/>
            <w:tcBorders>
              <w:top w:val="nil"/>
              <w:bottom w:val="nil"/>
            </w:tcBorders>
            <w:shd w:val="clear" w:color="auto" w:fill="auto"/>
            <w:noWrap/>
            <w:vAlign w:val="bottom"/>
            <w:hideMark/>
          </w:tcPr>
          <w:p w14:paraId="4F18D511"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2005</w:t>
            </w:r>
          </w:p>
        </w:tc>
        <w:tc>
          <w:tcPr>
            <w:tcW w:w="1107" w:type="dxa"/>
            <w:tcBorders>
              <w:top w:val="nil"/>
              <w:bottom w:val="nil"/>
              <w:right w:val="nil"/>
            </w:tcBorders>
            <w:shd w:val="clear" w:color="auto" w:fill="auto"/>
            <w:noWrap/>
            <w:vAlign w:val="bottom"/>
            <w:hideMark/>
          </w:tcPr>
          <w:p w14:paraId="06B2BDF4"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70,725</w:t>
            </w:r>
          </w:p>
        </w:tc>
      </w:tr>
      <w:tr w:rsidR="00325CDF" w:rsidRPr="00822434" w14:paraId="6B678407" w14:textId="77777777" w:rsidTr="00822434">
        <w:trPr>
          <w:trHeight w:val="288"/>
        </w:trPr>
        <w:tc>
          <w:tcPr>
            <w:tcW w:w="2340" w:type="dxa"/>
            <w:tcBorders>
              <w:top w:val="nil"/>
              <w:left w:val="nil"/>
            </w:tcBorders>
            <w:shd w:val="clear" w:color="auto" w:fill="auto"/>
            <w:noWrap/>
            <w:vAlign w:val="bottom"/>
            <w:hideMark/>
          </w:tcPr>
          <w:p w14:paraId="05D4B640"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United States</w:t>
            </w:r>
          </w:p>
        </w:tc>
        <w:tc>
          <w:tcPr>
            <w:tcW w:w="900" w:type="dxa"/>
            <w:tcBorders>
              <w:top w:val="nil"/>
            </w:tcBorders>
            <w:shd w:val="clear" w:color="auto" w:fill="auto"/>
            <w:noWrap/>
            <w:vAlign w:val="bottom"/>
            <w:hideMark/>
          </w:tcPr>
          <w:p w14:paraId="4C605625"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2010</w:t>
            </w:r>
          </w:p>
        </w:tc>
        <w:tc>
          <w:tcPr>
            <w:tcW w:w="1107" w:type="dxa"/>
            <w:tcBorders>
              <w:top w:val="nil"/>
              <w:right w:val="nil"/>
            </w:tcBorders>
            <w:shd w:val="clear" w:color="auto" w:fill="auto"/>
            <w:noWrap/>
            <w:vAlign w:val="bottom"/>
            <w:hideMark/>
          </w:tcPr>
          <w:p w14:paraId="26D59951"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75,869</w:t>
            </w:r>
          </w:p>
        </w:tc>
      </w:tr>
      <w:tr w:rsidR="00325CDF" w:rsidRPr="00822434" w14:paraId="5ADF1BF9" w14:textId="77777777" w:rsidTr="00822434">
        <w:trPr>
          <w:trHeight w:val="288"/>
        </w:trPr>
        <w:tc>
          <w:tcPr>
            <w:tcW w:w="2340" w:type="dxa"/>
            <w:tcBorders>
              <w:top w:val="nil"/>
              <w:left w:val="nil"/>
              <w:bottom w:val="single" w:sz="4" w:space="0" w:color="auto"/>
            </w:tcBorders>
            <w:shd w:val="clear" w:color="auto" w:fill="auto"/>
            <w:noWrap/>
            <w:vAlign w:val="bottom"/>
            <w:hideMark/>
          </w:tcPr>
          <w:p w14:paraId="7D40E4F2" w14:textId="77777777" w:rsidR="00325CDF" w:rsidRPr="00822434" w:rsidRDefault="00325CDF" w:rsidP="00325CDF">
            <w:pPr>
              <w:spacing w:after="0" w:line="240" w:lineRule="auto"/>
              <w:ind w:left="164" w:firstLine="0"/>
              <w:rPr>
                <w:rFonts w:cstheme="minorHAnsi"/>
                <w:color w:val="000000" w:themeColor="text1"/>
              </w:rPr>
            </w:pPr>
            <w:r w:rsidRPr="00822434">
              <w:rPr>
                <w:rFonts w:cstheme="minorHAnsi"/>
                <w:color w:val="000000" w:themeColor="text1"/>
              </w:rPr>
              <w:t xml:space="preserve"> United States</w:t>
            </w:r>
          </w:p>
        </w:tc>
        <w:tc>
          <w:tcPr>
            <w:tcW w:w="900" w:type="dxa"/>
            <w:tcBorders>
              <w:top w:val="nil"/>
              <w:bottom w:val="single" w:sz="4" w:space="0" w:color="auto"/>
            </w:tcBorders>
            <w:shd w:val="clear" w:color="auto" w:fill="auto"/>
            <w:noWrap/>
            <w:vAlign w:val="bottom"/>
            <w:hideMark/>
          </w:tcPr>
          <w:p w14:paraId="3D9C010A" w14:textId="77777777" w:rsidR="00325CDF" w:rsidRPr="00822434" w:rsidRDefault="00325CDF" w:rsidP="00325CDF">
            <w:pPr>
              <w:spacing w:after="0" w:line="240" w:lineRule="auto"/>
              <w:ind w:firstLine="0"/>
              <w:jc w:val="center"/>
              <w:rPr>
                <w:rFonts w:cstheme="minorHAnsi"/>
                <w:color w:val="000000" w:themeColor="text1"/>
              </w:rPr>
            </w:pPr>
            <w:r w:rsidRPr="00822434">
              <w:rPr>
                <w:rFonts w:cstheme="minorHAnsi"/>
                <w:color w:val="000000" w:themeColor="text1"/>
              </w:rPr>
              <w:t>2015</w:t>
            </w:r>
          </w:p>
        </w:tc>
        <w:tc>
          <w:tcPr>
            <w:tcW w:w="1107" w:type="dxa"/>
            <w:tcBorders>
              <w:top w:val="nil"/>
              <w:bottom w:val="single" w:sz="4" w:space="0" w:color="auto"/>
              <w:right w:val="nil"/>
            </w:tcBorders>
            <w:shd w:val="clear" w:color="auto" w:fill="auto"/>
            <w:noWrap/>
            <w:vAlign w:val="bottom"/>
            <w:hideMark/>
          </w:tcPr>
          <w:p w14:paraId="24E0B07B"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75,887</w:t>
            </w:r>
          </w:p>
        </w:tc>
      </w:tr>
      <w:tr w:rsidR="00325CDF" w:rsidRPr="00822434" w14:paraId="26AED683" w14:textId="77777777" w:rsidTr="00822434">
        <w:trPr>
          <w:trHeight w:val="300"/>
        </w:trPr>
        <w:tc>
          <w:tcPr>
            <w:tcW w:w="2340" w:type="dxa"/>
            <w:tcBorders>
              <w:top w:val="single" w:sz="4" w:space="0" w:color="auto"/>
              <w:left w:val="nil"/>
              <w:bottom w:val="single" w:sz="4" w:space="0" w:color="auto"/>
            </w:tcBorders>
            <w:shd w:val="clear" w:color="auto" w:fill="auto"/>
            <w:noWrap/>
            <w:vAlign w:val="bottom"/>
            <w:hideMark/>
          </w:tcPr>
          <w:p w14:paraId="3C410FA0" w14:textId="77777777" w:rsidR="00325CDF" w:rsidRPr="00822434" w:rsidRDefault="00325CDF" w:rsidP="00325CDF">
            <w:pPr>
              <w:spacing w:after="0" w:line="240" w:lineRule="auto"/>
              <w:ind w:firstLine="0"/>
              <w:rPr>
                <w:rFonts w:cstheme="minorHAnsi"/>
                <w:color w:val="000000" w:themeColor="text1"/>
              </w:rPr>
            </w:pPr>
            <w:r w:rsidRPr="00822434">
              <w:rPr>
                <w:rFonts w:cstheme="minorHAnsi"/>
                <w:color w:val="000000" w:themeColor="text1"/>
              </w:rPr>
              <w:t>Total</w:t>
            </w:r>
          </w:p>
        </w:tc>
        <w:tc>
          <w:tcPr>
            <w:tcW w:w="900" w:type="dxa"/>
            <w:tcBorders>
              <w:top w:val="single" w:sz="4" w:space="0" w:color="auto"/>
              <w:bottom w:val="single" w:sz="4" w:space="0" w:color="auto"/>
            </w:tcBorders>
            <w:shd w:val="clear" w:color="auto" w:fill="auto"/>
            <w:noWrap/>
            <w:vAlign w:val="bottom"/>
            <w:hideMark/>
          </w:tcPr>
          <w:p w14:paraId="270143BE" w14:textId="77777777" w:rsidR="00325CDF" w:rsidRPr="00822434" w:rsidRDefault="00325CDF" w:rsidP="00325CDF">
            <w:pPr>
              <w:spacing w:after="0" w:line="240" w:lineRule="auto"/>
              <w:ind w:firstLine="0"/>
              <w:rPr>
                <w:rFonts w:cstheme="minorHAnsi"/>
                <w:color w:val="000000" w:themeColor="text1"/>
              </w:rPr>
            </w:pPr>
          </w:p>
        </w:tc>
        <w:tc>
          <w:tcPr>
            <w:tcW w:w="1107" w:type="dxa"/>
            <w:tcBorders>
              <w:top w:val="single" w:sz="4" w:space="0" w:color="auto"/>
              <w:bottom w:val="single" w:sz="4" w:space="0" w:color="auto"/>
              <w:right w:val="nil"/>
            </w:tcBorders>
            <w:shd w:val="clear" w:color="auto" w:fill="auto"/>
            <w:noWrap/>
            <w:vAlign w:val="bottom"/>
            <w:hideMark/>
          </w:tcPr>
          <w:p w14:paraId="7690A8F6" w14:textId="77777777" w:rsidR="00325CDF" w:rsidRPr="00822434" w:rsidRDefault="00325CDF" w:rsidP="00325CDF">
            <w:pPr>
              <w:tabs>
                <w:tab w:val="decimal" w:pos="879"/>
              </w:tabs>
              <w:spacing w:after="0" w:line="240" w:lineRule="auto"/>
              <w:ind w:firstLine="0"/>
              <w:rPr>
                <w:rFonts w:cstheme="minorHAnsi"/>
                <w:color w:val="000000" w:themeColor="text1"/>
              </w:rPr>
            </w:pPr>
            <w:r w:rsidRPr="00822434">
              <w:rPr>
                <w:rFonts w:cstheme="minorHAnsi"/>
                <w:color w:val="000000" w:themeColor="text1"/>
              </w:rPr>
              <w:t>1,060,116</w:t>
            </w:r>
          </w:p>
        </w:tc>
      </w:tr>
    </w:tbl>
    <w:p w14:paraId="6BF14F4D" w14:textId="49238937" w:rsidR="00325CDF" w:rsidRPr="00822434" w:rsidRDefault="00B3651E" w:rsidP="00325CDF">
      <w:pPr>
        <w:pStyle w:val="PRPRManIndent"/>
        <w:rPr>
          <w:rFonts w:asciiTheme="minorHAnsi" w:hAnsiTheme="minorHAnsi" w:cstheme="minorHAnsi"/>
          <w:color w:val="000000" w:themeColor="text1"/>
          <w:lang w:val="en-CA"/>
        </w:rPr>
      </w:pPr>
      <w:r w:rsidRPr="00822434">
        <w:rPr>
          <w:rFonts w:asciiTheme="minorHAnsi" w:hAnsiTheme="minorHAnsi" w:cstheme="minorHAnsi"/>
          <w:color w:val="000000" w:themeColor="text1"/>
          <w:lang w:val="en-CA"/>
        </w:rPr>
        <w:t>those who attended lower secondary level. For datasets only providing educational attainment in categories, we converted the categories as follows:</w:t>
      </w:r>
      <w:r w:rsidR="00325CDF" w:rsidRPr="00822434">
        <w:rPr>
          <w:rFonts w:asciiTheme="minorHAnsi" w:hAnsiTheme="minorHAnsi" w:cstheme="minorHAnsi"/>
          <w:color w:val="000000" w:themeColor="text1"/>
          <w:lang w:val="en-CA"/>
        </w:rPr>
        <w:t xml:space="preserve"> </w:t>
      </w:r>
      <w:r w:rsidRPr="00822434">
        <w:rPr>
          <w:rFonts w:asciiTheme="minorHAnsi" w:hAnsiTheme="minorHAnsi" w:cstheme="minorHAnsi"/>
          <w:color w:val="000000" w:themeColor="text1"/>
          <w:lang w:val="en-CA"/>
        </w:rPr>
        <w:t xml:space="preserve">Less than primary completed </w:t>
      </w:r>
      <w:r w:rsidR="00325CDF" w:rsidRPr="00822434">
        <w:rPr>
          <w:rFonts w:asciiTheme="minorHAnsi" w:hAnsiTheme="minorHAnsi" w:cstheme="minorHAnsi"/>
          <w:color w:val="000000" w:themeColor="text1"/>
          <w:lang w:val="en-CA"/>
        </w:rPr>
        <w:t>=</w:t>
      </w:r>
      <w:r w:rsidRPr="00822434">
        <w:rPr>
          <w:rFonts w:asciiTheme="minorHAnsi" w:hAnsiTheme="minorHAnsi" w:cstheme="minorHAnsi"/>
          <w:color w:val="000000" w:themeColor="text1"/>
          <w:lang w:val="en-CA"/>
        </w:rPr>
        <w:t xml:space="preserve"> 1 year;</w:t>
      </w:r>
      <w:r w:rsidR="00325CDF" w:rsidRPr="00822434">
        <w:rPr>
          <w:rFonts w:asciiTheme="minorHAnsi" w:hAnsiTheme="minorHAnsi" w:cstheme="minorHAnsi"/>
          <w:color w:val="000000" w:themeColor="text1"/>
          <w:lang w:val="en-CA"/>
        </w:rPr>
        <w:t xml:space="preserve"> </w:t>
      </w:r>
      <w:r w:rsidRPr="00822434">
        <w:rPr>
          <w:rFonts w:asciiTheme="minorHAnsi" w:hAnsiTheme="minorHAnsi" w:cstheme="minorHAnsi"/>
          <w:color w:val="000000" w:themeColor="text1"/>
          <w:lang w:val="en-CA"/>
        </w:rPr>
        <w:t xml:space="preserve">Primary completed </w:t>
      </w:r>
      <w:r w:rsidR="00325CDF" w:rsidRPr="00822434">
        <w:rPr>
          <w:rFonts w:asciiTheme="minorHAnsi" w:hAnsiTheme="minorHAnsi" w:cstheme="minorHAnsi"/>
          <w:color w:val="000000" w:themeColor="text1"/>
          <w:lang w:val="en-CA"/>
        </w:rPr>
        <w:t>=</w:t>
      </w:r>
      <w:r w:rsidRPr="00822434">
        <w:rPr>
          <w:rFonts w:asciiTheme="minorHAnsi" w:hAnsiTheme="minorHAnsi" w:cstheme="minorHAnsi"/>
          <w:color w:val="000000" w:themeColor="text1"/>
          <w:lang w:val="en-CA"/>
        </w:rPr>
        <w:t xml:space="preserve"> 6 years;</w:t>
      </w:r>
      <w:r w:rsidR="00325CDF" w:rsidRPr="00822434">
        <w:rPr>
          <w:rFonts w:asciiTheme="minorHAnsi" w:hAnsiTheme="minorHAnsi" w:cstheme="minorHAnsi"/>
          <w:color w:val="000000" w:themeColor="text1"/>
          <w:lang w:val="en-CA"/>
        </w:rPr>
        <w:t xml:space="preserve"> </w:t>
      </w:r>
      <w:r w:rsidRPr="00822434">
        <w:rPr>
          <w:rFonts w:asciiTheme="minorHAnsi" w:hAnsiTheme="minorHAnsi" w:cstheme="minorHAnsi"/>
          <w:color w:val="000000" w:themeColor="text1"/>
          <w:lang w:val="en-CA"/>
        </w:rPr>
        <w:t xml:space="preserve">Lower secondary complete </w:t>
      </w:r>
      <w:r w:rsidR="00325CDF" w:rsidRPr="00822434">
        <w:rPr>
          <w:rFonts w:asciiTheme="minorHAnsi" w:hAnsiTheme="minorHAnsi" w:cstheme="minorHAnsi"/>
          <w:color w:val="000000" w:themeColor="text1"/>
          <w:lang w:val="en-CA"/>
        </w:rPr>
        <w:t>=</w:t>
      </w:r>
      <w:r w:rsidRPr="00822434">
        <w:rPr>
          <w:rFonts w:asciiTheme="minorHAnsi" w:hAnsiTheme="minorHAnsi" w:cstheme="minorHAnsi"/>
          <w:color w:val="000000" w:themeColor="text1"/>
          <w:lang w:val="en-CA"/>
        </w:rPr>
        <w:t xml:space="preserve"> 9 years;</w:t>
      </w:r>
      <w:r w:rsidR="00325CDF" w:rsidRPr="00822434">
        <w:rPr>
          <w:rFonts w:asciiTheme="minorHAnsi" w:hAnsiTheme="minorHAnsi" w:cstheme="minorHAnsi"/>
          <w:color w:val="000000" w:themeColor="text1"/>
          <w:lang w:val="en-CA"/>
        </w:rPr>
        <w:t xml:space="preserve"> </w:t>
      </w:r>
      <w:r w:rsidRPr="00822434">
        <w:rPr>
          <w:rFonts w:asciiTheme="minorHAnsi" w:hAnsiTheme="minorHAnsi" w:cstheme="minorHAnsi"/>
          <w:color w:val="000000" w:themeColor="text1"/>
          <w:lang w:val="en-CA"/>
        </w:rPr>
        <w:t xml:space="preserve">Secondary completed </w:t>
      </w:r>
      <w:r w:rsidR="00325CDF" w:rsidRPr="00822434">
        <w:rPr>
          <w:rFonts w:asciiTheme="minorHAnsi" w:hAnsiTheme="minorHAnsi" w:cstheme="minorHAnsi"/>
          <w:color w:val="000000" w:themeColor="text1"/>
          <w:lang w:val="en-CA"/>
        </w:rPr>
        <w:t xml:space="preserve">= </w:t>
      </w:r>
      <w:r w:rsidRPr="00822434">
        <w:rPr>
          <w:rFonts w:asciiTheme="minorHAnsi" w:hAnsiTheme="minorHAnsi" w:cstheme="minorHAnsi"/>
          <w:color w:val="000000" w:themeColor="text1"/>
          <w:lang w:val="en-CA"/>
        </w:rPr>
        <w:t>12 years;</w:t>
      </w:r>
      <w:r w:rsidR="00325CDF" w:rsidRPr="00822434">
        <w:rPr>
          <w:rFonts w:asciiTheme="minorHAnsi" w:hAnsiTheme="minorHAnsi" w:cstheme="minorHAnsi"/>
          <w:color w:val="000000" w:themeColor="text1"/>
          <w:lang w:val="en-CA"/>
        </w:rPr>
        <w:t xml:space="preserve"> </w:t>
      </w:r>
      <w:r w:rsidRPr="00822434">
        <w:rPr>
          <w:rFonts w:asciiTheme="minorHAnsi" w:hAnsiTheme="minorHAnsi" w:cstheme="minorHAnsi"/>
          <w:color w:val="000000" w:themeColor="text1"/>
          <w:lang w:val="en-CA"/>
        </w:rPr>
        <w:t xml:space="preserve">University completed </w:t>
      </w:r>
      <w:r w:rsidR="00325CDF" w:rsidRPr="00822434">
        <w:rPr>
          <w:rFonts w:asciiTheme="minorHAnsi" w:hAnsiTheme="minorHAnsi" w:cstheme="minorHAnsi"/>
          <w:color w:val="000000" w:themeColor="text1"/>
          <w:lang w:val="en-CA"/>
        </w:rPr>
        <w:t>=</w:t>
      </w:r>
      <w:r w:rsidRPr="00822434">
        <w:rPr>
          <w:rFonts w:asciiTheme="minorHAnsi" w:hAnsiTheme="minorHAnsi" w:cstheme="minorHAnsi"/>
          <w:color w:val="000000" w:themeColor="text1"/>
          <w:lang w:val="en-CA"/>
        </w:rPr>
        <w:t xml:space="preserve"> 16 years.</w:t>
      </w:r>
    </w:p>
    <w:p w14:paraId="466F6B02" w14:textId="55275EA7" w:rsidR="00B3651E" w:rsidRPr="00822434" w:rsidRDefault="00B3651E" w:rsidP="003C5D34">
      <w:pPr>
        <w:pStyle w:val="PRPRManIndent"/>
        <w:rPr>
          <w:rFonts w:asciiTheme="minorHAnsi" w:hAnsiTheme="minorHAnsi" w:cstheme="minorHAnsi"/>
          <w:color w:val="000000" w:themeColor="text1"/>
          <w:lang w:val="en-CA"/>
        </w:rPr>
      </w:pPr>
      <w:r w:rsidRPr="00822434">
        <w:rPr>
          <w:rFonts w:asciiTheme="minorHAnsi" w:hAnsiTheme="minorHAnsi" w:cstheme="minorHAnsi"/>
          <w:color w:val="000000" w:themeColor="text1"/>
          <w:lang w:val="en-CA"/>
        </w:rPr>
        <w:t xml:space="preserve">We finally excluded from the sample those aged under 15 and over 75 and those outside of the labor force. With the pooled censuses still comprising several million cases even after applying age criteria, </w:t>
      </w:r>
      <w:r w:rsidR="00635FB6" w:rsidRPr="00822434">
        <w:rPr>
          <w:rFonts w:asciiTheme="minorHAnsi" w:hAnsiTheme="minorHAnsi" w:cstheme="minorHAnsi"/>
          <w:color w:val="000000" w:themeColor="text1"/>
          <w:lang w:val="en-CA"/>
        </w:rPr>
        <w:t xml:space="preserve">we utilized the IPUMS-I system's </w:t>
      </w:r>
      <w:r w:rsidR="00881FFB" w:rsidRPr="00822434">
        <w:rPr>
          <w:rFonts w:asciiTheme="minorHAnsi" w:hAnsiTheme="minorHAnsi" w:cstheme="minorHAnsi"/>
          <w:color w:val="000000" w:themeColor="text1"/>
          <w:lang w:val="en-CA"/>
        </w:rPr>
        <w:t>customise</w:t>
      </w:r>
      <w:r w:rsidR="00635FB6" w:rsidRPr="00822434">
        <w:rPr>
          <w:rFonts w:asciiTheme="minorHAnsi" w:hAnsiTheme="minorHAnsi" w:cstheme="minorHAnsi"/>
          <w:color w:val="000000" w:themeColor="text1"/>
          <w:lang w:val="en-CA"/>
        </w:rPr>
        <w:t xml:space="preserve"> sampling feature to reduce the dataset to a manageable size while maintaining statistical representativeness. </w:t>
      </w:r>
      <w:r w:rsidRPr="00822434">
        <w:rPr>
          <w:rFonts w:asciiTheme="minorHAnsi" w:hAnsiTheme="minorHAnsi" w:cstheme="minorHAnsi"/>
          <w:color w:val="000000" w:themeColor="text1"/>
          <w:lang w:val="en-CA"/>
        </w:rPr>
        <w:t>The included surveys and their corresponding sample sizes are listed in Table S1.</w:t>
      </w:r>
    </w:p>
    <w:p w14:paraId="5DA3D44C" w14:textId="27879079" w:rsidR="00B3651E" w:rsidRPr="0091267F" w:rsidRDefault="00B3651E" w:rsidP="003C5D34">
      <w:pPr>
        <w:pStyle w:val="PRPRManIndent"/>
        <w:rPr>
          <w:rFonts w:asciiTheme="minorHAnsi" w:hAnsiTheme="minorHAnsi" w:cstheme="minorHAnsi"/>
          <w:color w:val="000000" w:themeColor="text1"/>
        </w:rPr>
      </w:pPr>
      <w:bookmarkStart w:id="5" w:name="_Toc160711493"/>
      <w:r w:rsidRPr="00822434">
        <w:rPr>
          <w:rFonts w:asciiTheme="minorHAnsi" w:hAnsiTheme="minorHAnsi" w:cstheme="minorHAnsi"/>
          <w:b/>
          <w:bCs/>
          <w:color w:val="000000" w:themeColor="text1"/>
        </w:rPr>
        <w:lastRenderedPageBreak/>
        <w:t>Models</w:t>
      </w:r>
      <w:bookmarkEnd w:id="5"/>
      <w:r w:rsidR="003C5D34" w:rsidRPr="00822434">
        <w:rPr>
          <w:rFonts w:asciiTheme="minorHAnsi" w:hAnsiTheme="minorHAnsi" w:cstheme="minorHAnsi"/>
          <w:color w:val="000000" w:themeColor="text1"/>
        </w:rPr>
        <w:t xml:space="preserve">. </w:t>
      </w:r>
      <w:r w:rsidRPr="00822434">
        <w:rPr>
          <w:rFonts w:asciiTheme="minorHAnsi" w:hAnsiTheme="minorHAnsi" w:cstheme="minorHAnsi"/>
          <w:color w:val="000000" w:themeColor="text1"/>
        </w:rPr>
        <w:t xml:space="preserve">We estimated the productivity weights from </w:t>
      </w:r>
      <w:proofErr w:type="spellStart"/>
      <w:r w:rsidRPr="00822434">
        <w:rPr>
          <w:rFonts w:asciiTheme="minorHAnsi" w:hAnsiTheme="minorHAnsi" w:cstheme="minorHAnsi"/>
          <w:color w:val="000000" w:themeColor="text1"/>
        </w:rPr>
        <w:t>Mincerian</w:t>
      </w:r>
      <w:proofErr w:type="spellEnd"/>
      <w:r w:rsidRPr="00822434">
        <w:rPr>
          <w:rFonts w:asciiTheme="minorHAnsi" w:hAnsiTheme="minorHAnsi" w:cstheme="minorHAnsi"/>
          <w:color w:val="000000" w:themeColor="text1"/>
        </w:rPr>
        <w:t xml:space="preserve"> earnings function (Mincer 1974), which is widely used in the literature to measure the return on investment in education (</w:t>
      </w:r>
      <w:proofErr w:type="spellStart"/>
      <w:r w:rsidRPr="00822434">
        <w:rPr>
          <w:rFonts w:asciiTheme="minorHAnsi" w:hAnsiTheme="minorHAnsi" w:cstheme="minorHAnsi"/>
          <w:color w:val="000000" w:themeColor="text1"/>
        </w:rPr>
        <w:t>Psacharopoulos</w:t>
      </w:r>
      <w:proofErr w:type="spellEnd"/>
      <w:r w:rsidRPr="00822434">
        <w:rPr>
          <w:rFonts w:asciiTheme="minorHAnsi" w:hAnsiTheme="minorHAnsi" w:cstheme="minorHAnsi"/>
          <w:color w:val="000000" w:themeColor="text1"/>
        </w:rPr>
        <w:t xml:space="preserve"> and Patrinos 2018). We start by building a simple log-linear model with gamma distribution predicting the natural logarithm of the normalized income </w:t>
      </w:r>
      <w:r w:rsidRPr="0091267F">
        <w:rPr>
          <w:rFonts w:asciiTheme="minorHAnsi" w:hAnsiTheme="minorHAnsi" w:cstheme="minorHAnsi"/>
          <w:color w:val="000000" w:themeColor="text1"/>
        </w:rPr>
        <w:t>with the number of years of education, controlling for the experience and the sex, but without considering the design of the sample:</w:t>
      </w:r>
    </w:p>
    <w:p w14:paraId="4048B2EB" w14:textId="2E3D64F1" w:rsidR="00B3651E" w:rsidRPr="0091267F" w:rsidRDefault="00000000" w:rsidP="003C5D34">
      <w:pPr>
        <w:pStyle w:val="PRPREquation"/>
        <w:rPr>
          <w:rFonts w:asciiTheme="minorHAnsi" w:hAnsiTheme="minorHAnsi" w:cstheme="minorHAnsi"/>
        </w:rPr>
      </w:pPr>
      <m:oMath>
        <m:func>
          <m:funcPr>
            <m:ctrlPr>
              <w:rPr>
                <w:rFonts w:ascii="Cambria Math" w:hAnsi="Cambria Math" w:cstheme="minorHAnsi"/>
              </w:rPr>
            </m:ctrlPr>
          </m:funcPr>
          <m:fName>
            <m:r>
              <m:rPr>
                <m:sty m:val="p"/>
              </m:rPr>
              <w:rPr>
                <w:rFonts w:ascii="Cambria Math" w:hAnsi="Cambria Math" w:cstheme="minorHAnsi"/>
              </w:rPr>
              <m:t>ln</m:t>
            </m:r>
          </m:fName>
          <m:e>
            <m:d>
              <m:dPr>
                <m:ctrlPr>
                  <w:rPr>
                    <w:rFonts w:ascii="Cambria Math" w:hAnsi="Cambria Math" w:cstheme="minorHAnsi"/>
                  </w:rPr>
                </m:ctrlPr>
              </m:dPr>
              <m:e>
                <m:r>
                  <m:rPr>
                    <m:sty m:val="p"/>
                  </m:rPr>
                  <w:rPr>
                    <w:rFonts w:ascii="Cambria Math" w:hAnsi="Cambria Math" w:cstheme="minorHAnsi"/>
                  </w:rPr>
                  <m:t>NOR_INC</m:t>
                </m:r>
              </m:e>
            </m:d>
          </m:e>
        </m:func>
        <m:r>
          <m:rPr>
            <m:sty m:val="p"/>
          </m:rPr>
          <w:rPr>
            <w:rFonts w:ascii="Cambria Math" w:hAnsi="Cambria Math" w:cstheme="minorHAnsi"/>
          </w:rPr>
          <m:t>=</m:t>
        </m:r>
        <m:sSub>
          <m:sSubPr>
            <m:ctrlPr>
              <w:rPr>
                <w:rFonts w:ascii="Cambria Math" w:hAnsi="Cambria Math" w:cstheme="minorHAnsi"/>
              </w:rPr>
            </m:ctrlPr>
          </m:sSubPr>
          <m:e>
            <m:r>
              <m:rPr>
                <m:sty m:val="p"/>
              </m:rPr>
              <w:rPr>
                <w:rFonts w:ascii="Cambria Math" w:hAnsi="Cambria Math" w:cstheme="minorHAnsi"/>
              </w:rPr>
              <m:t>β</m:t>
            </m:r>
          </m:e>
          <m:sub>
            <m:r>
              <m:rPr>
                <m:sty m:val="p"/>
              </m:rPr>
              <w:rPr>
                <w:rFonts w:ascii="Cambria Math" w:hAnsi="Cambria Math" w:cstheme="minorHAnsi"/>
              </w:rPr>
              <m:t>0</m:t>
            </m:r>
          </m:sub>
        </m:sSub>
        <m:r>
          <m:rPr>
            <m:sty m:val="p"/>
          </m:rPr>
          <w:rPr>
            <w:rFonts w:ascii="Cambria Math" w:hAnsi="Cambria Math" w:cstheme="minorHAnsi"/>
          </w:rPr>
          <m:t>+</m:t>
        </m:r>
        <m:sSub>
          <m:sSubPr>
            <m:ctrlPr>
              <w:rPr>
                <w:rFonts w:ascii="Cambria Math" w:hAnsi="Cambria Math" w:cstheme="minorHAnsi"/>
              </w:rPr>
            </m:ctrlPr>
          </m:sSubPr>
          <m:e>
            <m:r>
              <m:rPr>
                <m:sty m:val="p"/>
              </m:rPr>
              <w:rPr>
                <w:rFonts w:ascii="Cambria Math" w:hAnsi="Cambria Math" w:cstheme="minorHAnsi"/>
              </w:rPr>
              <m:t>β</m:t>
            </m:r>
          </m:e>
          <m:sub>
            <m:r>
              <m:rPr>
                <m:sty m:val="p"/>
              </m:rPr>
              <w:rPr>
                <w:rFonts w:ascii="Cambria Math" w:hAnsi="Cambria Math" w:cstheme="minorHAnsi"/>
              </w:rPr>
              <m:t>1</m:t>
            </m:r>
          </m:sub>
        </m:sSub>
        <m:r>
          <m:rPr>
            <m:sty m:val="p"/>
          </m:rPr>
          <w:rPr>
            <w:rFonts w:ascii="Cambria Math" w:hAnsi="Cambria Math" w:cstheme="minorHAnsi"/>
          </w:rPr>
          <m:t>NBEDU+</m:t>
        </m:r>
        <m:sSub>
          <m:sSubPr>
            <m:ctrlPr>
              <w:rPr>
                <w:rFonts w:ascii="Cambria Math" w:hAnsi="Cambria Math" w:cstheme="minorHAnsi"/>
              </w:rPr>
            </m:ctrlPr>
          </m:sSubPr>
          <m:e>
            <m:r>
              <m:rPr>
                <m:sty m:val="p"/>
              </m:rPr>
              <w:rPr>
                <w:rFonts w:ascii="Cambria Math" w:hAnsi="Cambria Math" w:cstheme="minorHAnsi"/>
              </w:rPr>
              <m:t>β</m:t>
            </m:r>
          </m:e>
          <m:sub>
            <m:r>
              <m:rPr>
                <m:sty m:val="p"/>
              </m:rPr>
              <w:rPr>
                <w:rFonts w:ascii="Cambria Math" w:hAnsi="Cambria Math" w:cstheme="minorHAnsi"/>
              </w:rPr>
              <m:t>2</m:t>
            </m:r>
          </m:sub>
        </m:sSub>
        <m:r>
          <m:rPr>
            <m:sty m:val="p"/>
          </m:rPr>
          <w:rPr>
            <w:rFonts w:ascii="Cambria Math" w:hAnsi="Cambria Math" w:cstheme="minorHAnsi"/>
          </w:rPr>
          <m:t>EXPERIENCE +</m:t>
        </m:r>
        <m:sSub>
          <m:sSubPr>
            <m:ctrlPr>
              <w:rPr>
                <w:rFonts w:ascii="Cambria Math" w:hAnsi="Cambria Math" w:cstheme="minorHAnsi"/>
              </w:rPr>
            </m:ctrlPr>
          </m:sSubPr>
          <m:e>
            <m:r>
              <m:rPr>
                <m:sty m:val="p"/>
              </m:rPr>
              <w:rPr>
                <w:rFonts w:ascii="Cambria Math" w:hAnsi="Cambria Math" w:cstheme="minorHAnsi"/>
              </w:rPr>
              <m:t>β</m:t>
            </m:r>
          </m:e>
          <m:sub>
            <m:r>
              <m:rPr>
                <m:sty m:val="p"/>
              </m:rPr>
              <w:rPr>
                <w:rFonts w:ascii="Cambria Math" w:hAnsi="Cambria Math" w:cstheme="minorHAnsi"/>
              </w:rPr>
              <m:t>3</m:t>
            </m:r>
          </m:sub>
        </m:sSub>
        <m:sSup>
          <m:sSupPr>
            <m:ctrlPr>
              <w:rPr>
                <w:rFonts w:ascii="Cambria Math" w:hAnsi="Cambria Math" w:cstheme="minorHAnsi"/>
              </w:rPr>
            </m:ctrlPr>
          </m:sSupPr>
          <m:e>
            <m:r>
              <m:rPr>
                <m:sty m:val="p"/>
              </m:rPr>
              <w:rPr>
                <w:rFonts w:ascii="Cambria Math" w:hAnsi="Cambria Math" w:cstheme="minorHAnsi"/>
              </w:rPr>
              <m:t>EXPERIENCE</m:t>
            </m:r>
          </m:e>
          <m:sup>
            <m:r>
              <m:rPr>
                <m:sty m:val="p"/>
              </m:rPr>
              <w:rPr>
                <w:rFonts w:ascii="Cambria Math" w:hAnsi="Cambria Math" w:cstheme="minorHAnsi"/>
              </w:rPr>
              <m:t>2</m:t>
            </m:r>
          </m:sup>
        </m:sSup>
        <m:sSub>
          <m:sSubPr>
            <m:ctrlPr>
              <w:rPr>
                <w:rFonts w:ascii="Cambria Math" w:hAnsi="Cambria Math" w:cstheme="minorHAnsi"/>
              </w:rPr>
            </m:ctrlPr>
          </m:sSubPr>
          <m:e>
            <m:r>
              <m:rPr>
                <m:sty m:val="p"/>
              </m:rPr>
              <w:rPr>
                <w:rFonts w:ascii="Cambria Math" w:hAnsi="Cambria Math" w:cstheme="minorHAnsi"/>
              </w:rPr>
              <m:t>+ β</m:t>
            </m:r>
          </m:e>
          <m:sub>
            <m:r>
              <m:rPr>
                <m:sty m:val="p"/>
              </m:rPr>
              <w:rPr>
                <w:rFonts w:ascii="Cambria Math" w:hAnsi="Cambria Math" w:cstheme="minorHAnsi"/>
              </w:rPr>
              <m:t>4</m:t>
            </m:r>
          </m:sub>
        </m:sSub>
        <m:r>
          <m:rPr>
            <m:sty m:val="p"/>
          </m:rPr>
          <w:rPr>
            <w:rFonts w:ascii="Cambria Math" w:hAnsi="Cambria Math" w:cstheme="minorHAnsi"/>
          </w:rPr>
          <m:t>SEX+ε</m:t>
        </m:r>
      </m:oMath>
      <w:r w:rsidR="003C5D34" w:rsidRPr="0091267F">
        <w:rPr>
          <w:rFonts w:asciiTheme="minorHAnsi" w:hAnsiTheme="minorHAnsi" w:cstheme="minorHAnsi"/>
        </w:rPr>
        <w:tab/>
        <w:t>(1)</w:t>
      </w:r>
    </w:p>
    <w:p w14:paraId="12DEFDA7" w14:textId="411A2D6B" w:rsidR="00B3651E" w:rsidRPr="0091267F" w:rsidRDefault="00000000" w:rsidP="003C5D34">
      <w:pPr>
        <w:pStyle w:val="PRPRManIndent"/>
        <w:rPr>
          <w:rFonts w:asciiTheme="minorHAnsi" w:hAnsiTheme="minorHAnsi" w:cstheme="minorHAnsi"/>
          <w:color w:val="000000" w:themeColor="text1"/>
          <w:lang w:val="en-CA"/>
        </w:rPr>
      </w:pPr>
      <m:oMath>
        <m:sSub>
          <m:sSubPr>
            <m:ctrlPr>
              <w:rPr>
                <w:rFonts w:ascii="Cambria Math" w:hAnsi="Cambria Math" w:cstheme="minorHAnsi"/>
                <w:i/>
                <w:color w:val="000000" w:themeColor="text1"/>
                <w:lang w:val="en-CA"/>
              </w:rPr>
            </m:ctrlPr>
          </m:sSubPr>
          <m:e>
            <m:r>
              <w:rPr>
                <w:rFonts w:ascii="Cambria Math" w:hAnsi="Cambria Math" w:cstheme="minorHAnsi"/>
                <w:color w:val="000000" w:themeColor="text1"/>
                <w:lang w:val="en-CA"/>
              </w:rPr>
              <m:t>β</m:t>
            </m:r>
          </m:e>
          <m:sub>
            <m:r>
              <w:rPr>
                <w:rFonts w:ascii="Cambria Math" w:hAnsi="Cambria Math" w:cstheme="minorHAnsi"/>
                <w:color w:val="000000" w:themeColor="text1"/>
                <w:lang w:val="en-CA"/>
              </w:rPr>
              <m:t>1</m:t>
            </m:r>
          </m:sub>
        </m:sSub>
      </m:oMath>
      <w:r w:rsidR="00B3651E" w:rsidRPr="0091267F">
        <w:rPr>
          <w:rFonts w:asciiTheme="minorHAnsi" w:hAnsiTheme="minorHAnsi" w:cstheme="minorHAnsi"/>
          <w:color w:val="000000" w:themeColor="text1"/>
          <w:lang w:val="en-CA"/>
        </w:rPr>
        <w:t xml:space="preserve"> thus provides the semi-elasticity of income to years of education. The variable EXPERIENCE is derived by subtracting from the age the number of years of education and the age of entry at school (set by default to 6 for everyone). Since we aim at estimating generalizable weights, a sample of pooled censuses from different years and different countries is used. Therefore, to account for this sample design, we built a </w:t>
      </w:r>
      <w:bookmarkStart w:id="6" w:name="_Hlk193979581"/>
      <w:r w:rsidR="00B3651E" w:rsidRPr="0091267F">
        <w:rPr>
          <w:rFonts w:asciiTheme="minorHAnsi" w:hAnsiTheme="minorHAnsi" w:cstheme="minorHAnsi"/>
          <w:color w:val="000000" w:themeColor="text1"/>
          <w:lang w:val="en-CA"/>
        </w:rPr>
        <w:t xml:space="preserve">multilevel random-effect model </w:t>
      </w:r>
      <w:bookmarkEnd w:id="6"/>
      <w:r w:rsidR="00B3651E" w:rsidRPr="0091267F">
        <w:rPr>
          <w:rFonts w:asciiTheme="minorHAnsi" w:hAnsiTheme="minorHAnsi" w:cstheme="minorHAnsi"/>
          <w:color w:val="000000" w:themeColor="text1"/>
          <w:lang w:val="en-CA"/>
        </w:rPr>
        <w:t xml:space="preserve">which allows the intercept </w:t>
      </w:r>
      <m:oMath>
        <m:sSub>
          <m:sSubPr>
            <m:ctrlPr>
              <w:rPr>
                <w:rFonts w:ascii="Cambria Math" w:hAnsi="Cambria Math" w:cstheme="minorHAnsi"/>
                <w:i/>
                <w:color w:val="000000" w:themeColor="text1"/>
                <w:lang w:val="en-CA"/>
              </w:rPr>
            </m:ctrlPr>
          </m:sSubPr>
          <m:e>
            <m:r>
              <w:rPr>
                <w:rFonts w:ascii="Cambria Math" w:hAnsi="Cambria Math" w:cstheme="minorHAnsi"/>
                <w:color w:val="000000" w:themeColor="text1"/>
                <w:lang w:val="en-CA"/>
              </w:rPr>
              <m:t>β</m:t>
            </m:r>
          </m:e>
          <m:sub>
            <m:r>
              <w:rPr>
                <w:rFonts w:ascii="Cambria Math" w:hAnsi="Cambria Math" w:cstheme="minorHAnsi"/>
                <w:color w:val="000000" w:themeColor="text1"/>
                <w:lang w:val="en-CA"/>
              </w:rPr>
              <m:t>0</m:t>
            </m:r>
          </m:sub>
        </m:sSub>
      </m:oMath>
      <w:r w:rsidR="00B3651E" w:rsidRPr="0091267F">
        <w:rPr>
          <w:rFonts w:asciiTheme="minorHAnsi" w:hAnsiTheme="minorHAnsi" w:cstheme="minorHAnsi"/>
          <w:color w:val="000000" w:themeColor="text1"/>
          <w:lang w:val="en-CA"/>
        </w:rPr>
        <w:t xml:space="preserve"> to vary across censuses (</w:t>
      </w:r>
      <w:r w:rsidR="00B3651E" w:rsidRPr="0091267F">
        <w:rPr>
          <w:rFonts w:asciiTheme="minorHAnsi" w:hAnsiTheme="minorHAnsi" w:cstheme="minorHAnsi"/>
          <w:i/>
          <w:iCs/>
          <w:color w:val="000000" w:themeColor="text1"/>
          <w:lang w:val="en-CA"/>
        </w:rPr>
        <w:t>j</w:t>
      </w:r>
      <w:r w:rsidR="00B3651E" w:rsidRPr="0091267F">
        <w:rPr>
          <w:rFonts w:asciiTheme="minorHAnsi" w:hAnsiTheme="minorHAnsi" w:cstheme="minorHAnsi"/>
          <w:color w:val="000000" w:themeColor="text1"/>
          <w:lang w:val="en-CA"/>
        </w:rPr>
        <w:t>).</w:t>
      </w:r>
    </w:p>
    <w:p w14:paraId="32B12DCC" w14:textId="153AEFFF" w:rsidR="00B3651E" w:rsidRPr="0091267F" w:rsidRDefault="00000000" w:rsidP="003C5D34">
      <w:pPr>
        <w:pStyle w:val="PRPREquation"/>
        <w:rPr>
          <w:rFonts w:asciiTheme="minorHAnsi" w:hAnsiTheme="minorHAnsi" w:cstheme="minorHAnsi"/>
        </w:rPr>
      </w:pPr>
      <m:oMath>
        <m:func>
          <m:funcPr>
            <m:ctrlPr>
              <w:rPr>
                <w:rFonts w:ascii="Cambria Math" w:hAnsi="Cambria Math" w:cstheme="minorHAnsi"/>
              </w:rPr>
            </m:ctrlPr>
          </m:funcPr>
          <m:fName>
            <m:r>
              <m:rPr>
                <m:sty m:val="p"/>
              </m:rPr>
              <w:rPr>
                <w:rFonts w:ascii="Cambria Math" w:hAnsi="Cambria Math" w:cstheme="minorHAnsi"/>
              </w:rPr>
              <m:t>ln</m:t>
            </m:r>
          </m:fName>
          <m:e>
            <m:d>
              <m:dPr>
                <m:ctrlPr>
                  <w:rPr>
                    <w:rFonts w:ascii="Cambria Math" w:hAnsi="Cambria Math" w:cstheme="minorHAnsi"/>
                  </w:rPr>
                </m:ctrlPr>
              </m:dPr>
              <m:e>
                <m:r>
                  <w:rPr>
                    <w:rFonts w:ascii="Cambria Math" w:hAnsi="Cambria Math" w:cstheme="minorHAnsi"/>
                  </w:rPr>
                  <m:t>NOR</m:t>
                </m:r>
                <m:r>
                  <m:rPr>
                    <m:sty m:val="p"/>
                  </m:rPr>
                  <w:rPr>
                    <w:rFonts w:ascii="Cambria Math" w:hAnsi="Cambria Math" w:cstheme="minorHAnsi"/>
                  </w:rPr>
                  <m:t>_</m:t>
                </m:r>
                <m:r>
                  <w:rPr>
                    <w:rFonts w:ascii="Cambria Math" w:hAnsi="Cambria Math" w:cstheme="minorHAnsi"/>
                  </w:rPr>
                  <m:t>INC</m:t>
                </m:r>
              </m:e>
            </m:d>
          </m:e>
        </m:func>
        <m:r>
          <m:rPr>
            <m:sty m:val="p"/>
          </m:rP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β</m:t>
            </m:r>
          </m:e>
          <m:sub>
            <m:r>
              <m:rPr>
                <m:sty m:val="p"/>
              </m:rPr>
              <w:rPr>
                <w:rFonts w:ascii="Cambria Math" w:hAnsi="Cambria Math" w:cstheme="minorHAnsi"/>
              </w:rPr>
              <m:t>0</m:t>
            </m:r>
            <m:r>
              <w:rPr>
                <w:rFonts w:ascii="Cambria Math" w:hAnsi="Cambria Math" w:cstheme="minorHAnsi"/>
              </w:rPr>
              <m:t>j</m:t>
            </m:r>
          </m:sub>
        </m:sSub>
        <m:r>
          <m:rPr>
            <m:sty m:val="p"/>
          </m:rP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β</m:t>
            </m:r>
          </m:e>
          <m:sub>
            <m:r>
              <m:rPr>
                <m:sty m:val="p"/>
              </m:rPr>
              <w:rPr>
                <w:rFonts w:ascii="Cambria Math" w:hAnsi="Cambria Math" w:cstheme="minorHAnsi"/>
              </w:rPr>
              <m:t>1</m:t>
            </m:r>
          </m:sub>
        </m:sSub>
        <m:r>
          <w:rPr>
            <w:rFonts w:ascii="Cambria Math" w:hAnsi="Cambria Math" w:cstheme="minorHAnsi"/>
          </w:rPr>
          <m:t>NBEDU</m:t>
        </m:r>
        <m:r>
          <m:rPr>
            <m:sty m:val="p"/>
          </m:rP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β</m:t>
            </m:r>
          </m:e>
          <m:sub>
            <m:r>
              <m:rPr>
                <m:sty m:val="p"/>
              </m:rPr>
              <w:rPr>
                <w:rFonts w:ascii="Cambria Math" w:hAnsi="Cambria Math" w:cstheme="minorHAnsi"/>
              </w:rPr>
              <m:t>2</m:t>
            </m:r>
          </m:sub>
        </m:sSub>
        <m:r>
          <w:rPr>
            <w:rFonts w:ascii="Cambria Math" w:hAnsi="Cambria Math" w:cstheme="minorHAnsi"/>
          </w:rPr>
          <m:t>EXPERIENCE</m:t>
        </m:r>
        <m:r>
          <m:rPr>
            <m:sty m:val="p"/>
          </m:rPr>
          <w:rPr>
            <w:rFonts w:ascii="Cambria Math" w:hAnsi="Cambria Math" w:cstheme="minorHAnsi"/>
          </w:rPr>
          <m:t xml:space="preserve"> +</m:t>
        </m:r>
        <m:sSub>
          <m:sSubPr>
            <m:ctrlPr>
              <w:rPr>
                <w:rFonts w:ascii="Cambria Math" w:hAnsi="Cambria Math" w:cstheme="minorHAnsi"/>
              </w:rPr>
            </m:ctrlPr>
          </m:sSubPr>
          <m:e>
            <m:r>
              <w:rPr>
                <w:rFonts w:ascii="Cambria Math" w:hAnsi="Cambria Math" w:cstheme="minorHAnsi"/>
              </w:rPr>
              <m:t>β</m:t>
            </m:r>
          </m:e>
          <m:sub>
            <m:r>
              <m:rPr>
                <m:sty m:val="p"/>
              </m:rPr>
              <w:rPr>
                <w:rFonts w:ascii="Cambria Math" w:hAnsi="Cambria Math" w:cstheme="minorHAnsi"/>
              </w:rPr>
              <m:t>3</m:t>
            </m:r>
          </m:sub>
        </m:sSub>
        <m:sSup>
          <m:sSupPr>
            <m:ctrlPr>
              <w:rPr>
                <w:rFonts w:ascii="Cambria Math" w:hAnsi="Cambria Math" w:cstheme="minorHAnsi"/>
              </w:rPr>
            </m:ctrlPr>
          </m:sSupPr>
          <m:e>
            <m:r>
              <w:rPr>
                <w:rFonts w:ascii="Cambria Math" w:hAnsi="Cambria Math" w:cstheme="minorHAnsi"/>
              </w:rPr>
              <m:t>EXPERIENCE</m:t>
            </m:r>
          </m:e>
          <m:sup>
            <m:r>
              <m:rPr>
                <m:sty m:val="p"/>
              </m:rPr>
              <w:rPr>
                <w:rFonts w:ascii="Cambria Math" w:hAnsi="Cambria Math" w:cstheme="minorHAnsi"/>
              </w:rPr>
              <m:t>2</m:t>
            </m:r>
          </m:sup>
        </m:sSup>
        <m:sSub>
          <m:sSubPr>
            <m:ctrlPr>
              <w:rPr>
                <w:rFonts w:ascii="Cambria Math" w:hAnsi="Cambria Math" w:cstheme="minorHAnsi"/>
              </w:rPr>
            </m:ctrlPr>
          </m:sSubPr>
          <m:e>
            <m:r>
              <m:rPr>
                <m:sty m:val="p"/>
              </m:rPr>
              <w:rPr>
                <w:rFonts w:ascii="Cambria Math" w:hAnsi="Cambria Math" w:cstheme="minorHAnsi"/>
              </w:rPr>
              <m:t xml:space="preserve">+ </m:t>
            </m:r>
            <m:r>
              <w:rPr>
                <w:rFonts w:ascii="Cambria Math" w:hAnsi="Cambria Math" w:cstheme="minorHAnsi"/>
              </w:rPr>
              <m:t>β</m:t>
            </m:r>
          </m:e>
          <m:sub>
            <m:r>
              <m:rPr>
                <m:sty m:val="p"/>
              </m:rPr>
              <w:rPr>
                <w:rFonts w:ascii="Cambria Math" w:hAnsi="Cambria Math" w:cstheme="minorHAnsi"/>
              </w:rPr>
              <m:t>4</m:t>
            </m:r>
          </m:sub>
        </m:sSub>
        <m:r>
          <w:rPr>
            <w:rFonts w:ascii="Cambria Math" w:hAnsi="Cambria Math" w:cstheme="minorHAnsi"/>
          </w:rPr>
          <m:t>SEX</m:t>
        </m:r>
        <m:r>
          <m:rPr>
            <m:sty m:val="p"/>
          </m:rP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ε</m:t>
            </m:r>
          </m:e>
          <m:sub>
            <m:r>
              <w:rPr>
                <w:rFonts w:ascii="Cambria Math" w:hAnsi="Cambria Math" w:cstheme="minorHAnsi"/>
              </w:rPr>
              <m:t>j</m:t>
            </m:r>
          </m:sub>
        </m:sSub>
      </m:oMath>
      <w:r w:rsidR="003C5D34" w:rsidRPr="0091267F">
        <w:rPr>
          <w:rFonts w:asciiTheme="minorHAnsi" w:hAnsiTheme="minorHAnsi" w:cstheme="minorHAnsi"/>
        </w:rPr>
        <w:tab/>
        <w:t>(2)</w:t>
      </w:r>
    </w:p>
    <w:p w14:paraId="1A25D057" w14:textId="79171B59" w:rsidR="00B3651E" w:rsidRPr="0091267F" w:rsidRDefault="00B3651E" w:rsidP="003C5D34">
      <w:pPr>
        <w:pStyle w:val="PRPRManIndent"/>
        <w:rPr>
          <w:rFonts w:asciiTheme="minorHAnsi" w:hAnsiTheme="minorHAnsi" w:cstheme="minorHAnsi"/>
          <w:color w:val="000000" w:themeColor="text1"/>
          <w:lang w:val="en-CA"/>
        </w:rPr>
      </w:pPr>
      <w:r w:rsidRPr="0091267F">
        <w:rPr>
          <w:rFonts w:asciiTheme="minorHAnsi" w:hAnsiTheme="minorHAnsi" w:cstheme="minorHAnsi"/>
          <w:color w:val="000000" w:themeColor="text1"/>
          <w:lang w:val="en-CA"/>
        </w:rPr>
        <w:t xml:space="preserve">Finally, we build a final third model to account for the possible variation in the impact of years of education across countries based on the average level of education of their population </w:t>
      </w:r>
      <w:r w:rsidRPr="0091267F">
        <w:rPr>
          <w:rFonts w:asciiTheme="minorHAnsi" w:hAnsiTheme="minorHAnsi" w:cstheme="minorHAnsi"/>
          <w:color w:val="000000" w:themeColor="text1"/>
        </w:rPr>
        <w:t>(</w:t>
      </w:r>
      <w:proofErr w:type="spellStart"/>
      <w:r w:rsidRPr="0091267F">
        <w:rPr>
          <w:rFonts w:asciiTheme="minorHAnsi" w:hAnsiTheme="minorHAnsi" w:cstheme="minorHAnsi"/>
          <w:color w:val="000000" w:themeColor="text1"/>
        </w:rPr>
        <w:t>Psacharopoulos</w:t>
      </w:r>
      <w:proofErr w:type="spellEnd"/>
      <w:r w:rsidRPr="0091267F">
        <w:rPr>
          <w:rFonts w:asciiTheme="minorHAnsi" w:hAnsiTheme="minorHAnsi" w:cstheme="minorHAnsi"/>
          <w:color w:val="000000" w:themeColor="text1"/>
        </w:rPr>
        <w:t xml:space="preserve"> and Patrinos 2018)</w:t>
      </w:r>
      <w:r w:rsidRPr="0091267F">
        <w:rPr>
          <w:rFonts w:asciiTheme="minorHAnsi" w:hAnsiTheme="minorHAnsi" w:cstheme="minorHAnsi"/>
          <w:color w:val="000000" w:themeColor="text1"/>
          <w:lang w:val="en-CA"/>
        </w:rPr>
        <w:t xml:space="preserve">.  This model adds a parameter </w:t>
      </w:r>
      <m:oMath>
        <m:sSub>
          <m:sSubPr>
            <m:ctrlPr>
              <w:rPr>
                <w:rFonts w:ascii="Cambria Math" w:hAnsi="Cambria Math" w:cstheme="minorHAnsi"/>
                <w:i/>
                <w:color w:val="000000" w:themeColor="text1"/>
                <w:lang w:val="en-CA"/>
              </w:rPr>
            </m:ctrlPr>
          </m:sSubPr>
          <m:e>
            <m:r>
              <w:rPr>
                <w:rFonts w:ascii="Cambria Math" w:hAnsi="Cambria Math" w:cstheme="minorHAnsi"/>
                <w:color w:val="000000" w:themeColor="text1"/>
                <w:lang w:val="en-CA"/>
              </w:rPr>
              <m:t>β</m:t>
            </m:r>
          </m:e>
          <m:sub>
            <m:r>
              <w:rPr>
                <w:rFonts w:ascii="Cambria Math" w:hAnsi="Cambria Math" w:cstheme="minorHAnsi"/>
                <w:color w:val="000000" w:themeColor="text1"/>
                <w:lang w:val="en-CA"/>
              </w:rPr>
              <m:t>5</m:t>
            </m:r>
          </m:sub>
        </m:sSub>
      </m:oMath>
      <w:r w:rsidRPr="0091267F">
        <w:rPr>
          <w:rFonts w:asciiTheme="minorHAnsi" w:hAnsiTheme="minorHAnsi" w:cstheme="minorHAnsi"/>
          <w:color w:val="000000" w:themeColor="text1"/>
          <w:lang w:val="en-CA"/>
        </w:rPr>
        <w:t xml:space="preserve"> for the interaction between the number of years of education at the individual level and a country-level variable that refers to the average years of schooling for the population aged 25 to 54 (NBEDU_MEAN) in a respective census year. </w:t>
      </w:r>
    </w:p>
    <w:p w14:paraId="144657FB" w14:textId="1CD3DE43" w:rsidR="00B3651E" w:rsidRPr="0091267F" w:rsidRDefault="00000000" w:rsidP="003C5D34">
      <w:pPr>
        <w:pStyle w:val="PRPREquation"/>
        <w:tabs>
          <w:tab w:val="clear" w:pos="4680"/>
        </w:tabs>
        <w:ind w:left="1620" w:hanging="1620"/>
        <w:jc w:val="left"/>
        <w:rPr>
          <w:rFonts w:asciiTheme="minorHAnsi" w:hAnsiTheme="minorHAnsi" w:cstheme="minorHAnsi"/>
        </w:rPr>
      </w:pPr>
      <m:oMath>
        <m:func>
          <m:funcPr>
            <m:ctrlPr>
              <w:rPr>
                <w:rFonts w:ascii="Cambria Math" w:hAnsi="Cambria Math" w:cstheme="minorHAnsi"/>
              </w:rPr>
            </m:ctrlPr>
          </m:funcPr>
          <m:fName>
            <m:r>
              <m:rPr>
                <m:sty m:val="p"/>
              </m:rPr>
              <w:rPr>
                <w:rFonts w:ascii="Cambria Math" w:hAnsi="Cambria Math" w:cstheme="minorHAnsi"/>
              </w:rPr>
              <m:t>ln</m:t>
            </m:r>
          </m:fName>
          <m:e>
            <m:d>
              <m:dPr>
                <m:ctrlPr>
                  <w:rPr>
                    <w:rFonts w:ascii="Cambria Math" w:hAnsi="Cambria Math" w:cstheme="minorHAnsi"/>
                  </w:rPr>
                </m:ctrlPr>
              </m:dPr>
              <m:e>
                <m:r>
                  <w:rPr>
                    <w:rFonts w:ascii="Cambria Math" w:hAnsi="Cambria Math" w:cstheme="minorHAnsi"/>
                  </w:rPr>
                  <m:t>NOR</m:t>
                </m:r>
                <m:r>
                  <m:rPr>
                    <m:sty m:val="p"/>
                  </m:rPr>
                  <w:rPr>
                    <w:rFonts w:ascii="Cambria Math" w:hAnsi="Cambria Math" w:cstheme="minorHAnsi"/>
                  </w:rPr>
                  <m:t>_</m:t>
                </m:r>
                <m:r>
                  <w:rPr>
                    <w:rFonts w:ascii="Cambria Math" w:hAnsi="Cambria Math" w:cstheme="minorHAnsi"/>
                  </w:rPr>
                  <m:t>INC</m:t>
                </m:r>
              </m:e>
            </m:d>
          </m:e>
        </m:func>
        <m:r>
          <m:rPr>
            <m:sty m:val="p"/>
          </m:rP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β</m:t>
            </m:r>
          </m:e>
          <m:sub>
            <m:r>
              <m:rPr>
                <m:sty m:val="p"/>
              </m:rPr>
              <w:rPr>
                <w:rFonts w:ascii="Cambria Math" w:hAnsi="Cambria Math" w:cstheme="minorHAnsi"/>
              </w:rPr>
              <m:t>0</m:t>
            </m:r>
            <m:r>
              <w:rPr>
                <w:rFonts w:ascii="Cambria Math" w:hAnsi="Cambria Math" w:cstheme="minorHAnsi"/>
              </w:rPr>
              <m:t>j</m:t>
            </m:r>
          </m:sub>
        </m:sSub>
        <m:r>
          <m:rPr>
            <m:sty m:val="p"/>
          </m:rP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β</m:t>
            </m:r>
          </m:e>
          <m:sub>
            <m:r>
              <m:rPr>
                <m:sty m:val="p"/>
              </m:rPr>
              <w:rPr>
                <w:rFonts w:ascii="Cambria Math" w:hAnsi="Cambria Math" w:cstheme="minorHAnsi"/>
              </w:rPr>
              <m:t>1</m:t>
            </m:r>
          </m:sub>
        </m:sSub>
        <m:r>
          <w:rPr>
            <w:rFonts w:ascii="Cambria Math" w:hAnsi="Cambria Math" w:cstheme="minorHAnsi"/>
          </w:rPr>
          <m:t>NBEDU</m:t>
        </m:r>
        <m:r>
          <m:rPr>
            <m:sty m:val="p"/>
          </m:rP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β</m:t>
            </m:r>
          </m:e>
          <m:sub>
            <m:r>
              <m:rPr>
                <m:sty m:val="p"/>
              </m:rPr>
              <w:rPr>
                <w:rFonts w:ascii="Cambria Math" w:hAnsi="Cambria Math" w:cstheme="minorHAnsi"/>
              </w:rPr>
              <m:t>2</m:t>
            </m:r>
          </m:sub>
        </m:sSub>
        <m:r>
          <w:rPr>
            <w:rFonts w:ascii="Cambria Math" w:hAnsi="Cambria Math" w:cstheme="minorHAnsi"/>
          </w:rPr>
          <m:t>EXPERIENCE</m:t>
        </m:r>
        <m:r>
          <m:rPr>
            <m:sty m:val="p"/>
          </m:rPr>
          <w:rPr>
            <w:rFonts w:ascii="Cambria Math" w:hAnsi="Cambria Math" w:cstheme="minorHAnsi"/>
          </w:rPr>
          <m:t xml:space="preserve"> +</m:t>
        </m:r>
        <m:sSub>
          <m:sSubPr>
            <m:ctrlPr>
              <w:rPr>
                <w:rFonts w:ascii="Cambria Math" w:hAnsi="Cambria Math" w:cstheme="minorHAnsi"/>
              </w:rPr>
            </m:ctrlPr>
          </m:sSubPr>
          <m:e>
            <m:r>
              <w:rPr>
                <w:rFonts w:ascii="Cambria Math" w:hAnsi="Cambria Math" w:cstheme="minorHAnsi"/>
              </w:rPr>
              <m:t>β</m:t>
            </m:r>
          </m:e>
          <m:sub>
            <m:r>
              <m:rPr>
                <m:sty m:val="p"/>
              </m:rPr>
              <w:rPr>
                <w:rFonts w:ascii="Cambria Math" w:hAnsi="Cambria Math" w:cstheme="minorHAnsi"/>
              </w:rPr>
              <m:t>3</m:t>
            </m:r>
          </m:sub>
        </m:sSub>
        <m:sSup>
          <m:sSupPr>
            <m:ctrlPr>
              <w:rPr>
                <w:rFonts w:ascii="Cambria Math" w:hAnsi="Cambria Math" w:cstheme="minorHAnsi"/>
              </w:rPr>
            </m:ctrlPr>
          </m:sSupPr>
          <m:e>
            <m:r>
              <w:rPr>
                <w:rFonts w:ascii="Cambria Math" w:hAnsi="Cambria Math" w:cstheme="minorHAnsi"/>
              </w:rPr>
              <m:t>EXPERIENCE</m:t>
            </m:r>
          </m:e>
          <m:sup>
            <m:r>
              <m:rPr>
                <m:sty m:val="p"/>
              </m:rPr>
              <w:rPr>
                <w:rFonts w:ascii="Cambria Math" w:hAnsi="Cambria Math" w:cstheme="minorHAnsi"/>
              </w:rPr>
              <m:t>2</m:t>
            </m:r>
          </m:sup>
        </m:sSup>
        <m:sSub>
          <m:sSubPr>
            <m:ctrlPr>
              <w:rPr>
                <w:rFonts w:ascii="Cambria Math" w:hAnsi="Cambria Math" w:cstheme="minorHAnsi"/>
              </w:rPr>
            </m:ctrlPr>
          </m:sSubPr>
          <m:e>
            <m:r>
              <m:rPr>
                <m:sty m:val="p"/>
              </m:rPr>
              <w:rPr>
                <w:rFonts w:ascii="Cambria Math" w:hAnsi="Cambria Math" w:cstheme="minorHAnsi"/>
              </w:rPr>
              <m:t xml:space="preserve">+ </m:t>
            </m:r>
            <m:r>
              <w:rPr>
                <w:rFonts w:ascii="Cambria Math" w:hAnsi="Cambria Math" w:cstheme="minorHAnsi"/>
              </w:rPr>
              <m:t>β</m:t>
            </m:r>
          </m:e>
          <m:sub>
            <m:r>
              <m:rPr>
                <m:sty m:val="p"/>
              </m:rPr>
              <w:rPr>
                <w:rFonts w:ascii="Cambria Math" w:hAnsi="Cambria Math" w:cstheme="minorHAnsi"/>
              </w:rPr>
              <m:t>4</m:t>
            </m:r>
          </m:sub>
        </m:sSub>
        <m:r>
          <w:rPr>
            <w:rFonts w:ascii="Cambria Math" w:hAnsi="Cambria Math" w:cstheme="minorHAnsi"/>
          </w:rPr>
          <m:t>SEX</m:t>
        </m:r>
        <m:r>
          <m:rPr>
            <m:sty m:val="p"/>
          </m:rPr>
          <w:rPr>
            <w:rFonts w:ascii="Cambria Math" w:hAnsi="Cambria Math" w:cstheme="minorHAnsi"/>
          </w:rPr>
          <m:t>+</m:t>
        </m:r>
        <m:sSub>
          <m:sSubPr>
            <m:ctrlPr>
              <w:rPr>
                <w:rFonts w:ascii="Cambria Math" w:hAnsi="Cambria Math" w:cstheme="minorHAnsi"/>
              </w:rPr>
            </m:ctrlPr>
          </m:sSubPr>
          <m:e>
            <m:sSub>
              <m:sSubPr>
                <m:ctrlPr>
                  <w:rPr>
                    <w:rFonts w:ascii="Cambria Math" w:hAnsi="Cambria Math" w:cstheme="minorHAnsi"/>
                  </w:rPr>
                </m:ctrlPr>
              </m:sSubPr>
              <m:e>
                <m:r>
                  <w:rPr>
                    <w:rFonts w:ascii="Cambria Math" w:hAnsi="Cambria Math" w:cstheme="minorHAnsi"/>
                  </w:rPr>
                  <m:t>β</m:t>
                </m:r>
              </m:e>
              <m:sub>
                <m:r>
                  <m:rPr>
                    <m:sty m:val="p"/>
                  </m:rPr>
                  <w:rPr>
                    <w:rFonts w:ascii="Cambria Math" w:hAnsi="Cambria Math" w:cstheme="minorHAnsi"/>
                  </w:rPr>
                  <m:t>5</m:t>
                </m:r>
              </m:sub>
            </m:sSub>
            <m:r>
              <w:rPr>
                <w:rFonts w:ascii="Cambria Math" w:hAnsi="Cambria Math" w:cstheme="minorHAnsi"/>
              </w:rPr>
              <m:t>NBEDU</m:t>
            </m:r>
            <m:r>
              <m:rPr>
                <m:sty m:val="p"/>
              </m:rPr>
              <w:rPr>
                <w:rFonts w:ascii="Cambria Math" w:hAnsi="Cambria Math" w:cstheme="minorHAnsi"/>
              </w:rPr>
              <m:t>×</m:t>
            </m:r>
            <m:r>
              <w:rPr>
                <w:rFonts w:ascii="Cambria Math" w:hAnsi="Cambria Math" w:cstheme="minorHAnsi"/>
              </w:rPr>
              <m:t>NBEDU</m:t>
            </m:r>
            <m:r>
              <m:rPr>
                <m:sty m:val="p"/>
              </m:rPr>
              <w:rPr>
                <w:rFonts w:ascii="Cambria Math" w:hAnsi="Cambria Math" w:cstheme="minorHAnsi"/>
              </w:rPr>
              <m:t>_</m:t>
            </m:r>
            <m:r>
              <w:rPr>
                <w:rFonts w:ascii="Cambria Math" w:hAnsi="Cambria Math" w:cstheme="minorHAnsi"/>
              </w:rPr>
              <m:t>MEAN</m:t>
            </m:r>
            <m:r>
              <m:rPr>
                <m:sty m:val="p"/>
              </m:rPr>
              <w:rPr>
                <w:rFonts w:ascii="Cambria Math" w:hAnsi="Cambria Math" w:cstheme="minorHAnsi"/>
              </w:rPr>
              <m:t>+</m:t>
            </m:r>
            <m:r>
              <w:rPr>
                <w:rFonts w:ascii="Cambria Math" w:hAnsi="Cambria Math" w:cstheme="minorHAnsi"/>
              </w:rPr>
              <m:t>ε</m:t>
            </m:r>
          </m:e>
          <m:sub>
            <m:r>
              <w:rPr>
                <w:rFonts w:ascii="Cambria Math" w:hAnsi="Cambria Math" w:cstheme="minorHAnsi"/>
              </w:rPr>
              <m:t>j</m:t>
            </m:r>
          </m:sub>
        </m:sSub>
      </m:oMath>
      <w:r w:rsidR="003C5D34" w:rsidRPr="0091267F">
        <w:rPr>
          <w:rFonts w:asciiTheme="minorHAnsi" w:eastAsiaTheme="minorEastAsia" w:hAnsiTheme="minorHAnsi" w:cstheme="minorHAnsi"/>
        </w:rPr>
        <w:tab/>
      </w:r>
      <w:r w:rsidR="003C5D34" w:rsidRPr="0091267F">
        <w:rPr>
          <w:rFonts w:asciiTheme="minorHAnsi" w:hAnsiTheme="minorHAnsi" w:cstheme="minorHAnsi"/>
        </w:rPr>
        <w:t>(3)</w:t>
      </w:r>
    </w:p>
    <w:p w14:paraId="73635432" w14:textId="3EA6B3B5" w:rsidR="00822434" w:rsidRPr="00822434" w:rsidRDefault="00B3651E" w:rsidP="003C5D34">
      <w:pPr>
        <w:pStyle w:val="PRPRManIndent"/>
        <w:rPr>
          <w:rFonts w:asciiTheme="minorHAnsi" w:hAnsiTheme="minorHAnsi" w:cstheme="minorHAnsi"/>
          <w:color w:val="000000" w:themeColor="text1"/>
          <w:lang w:val="en-CA"/>
        </w:rPr>
      </w:pPr>
      <w:bookmarkStart w:id="7" w:name="_Toc160711494"/>
      <w:r w:rsidRPr="0091267F">
        <w:rPr>
          <w:rFonts w:asciiTheme="minorHAnsi" w:hAnsiTheme="minorHAnsi" w:cstheme="minorHAnsi"/>
          <w:b/>
          <w:bCs/>
          <w:color w:val="000000" w:themeColor="text1"/>
        </w:rPr>
        <w:t>Parameters</w:t>
      </w:r>
      <w:bookmarkEnd w:id="7"/>
      <w:r w:rsidR="003C5D34" w:rsidRPr="0091267F">
        <w:rPr>
          <w:rFonts w:asciiTheme="minorHAnsi" w:hAnsiTheme="minorHAnsi" w:cstheme="minorHAnsi"/>
          <w:color w:val="000000" w:themeColor="text1"/>
        </w:rPr>
        <w:t xml:space="preserve">. </w:t>
      </w:r>
      <w:r w:rsidRPr="0091267F">
        <w:rPr>
          <w:rFonts w:asciiTheme="minorHAnsi" w:hAnsiTheme="minorHAnsi" w:cstheme="minorHAnsi"/>
          <w:color w:val="000000" w:themeColor="text1"/>
          <w:lang w:val="en-CA"/>
        </w:rPr>
        <w:t>Table S2 shows the parameter estimates for the three models. Despite</w:t>
      </w:r>
      <w:r w:rsidRPr="00822434">
        <w:rPr>
          <w:rFonts w:asciiTheme="minorHAnsi" w:hAnsiTheme="minorHAnsi" w:cstheme="minorHAnsi"/>
          <w:color w:val="000000" w:themeColor="text1"/>
          <w:lang w:val="en-CA"/>
        </w:rPr>
        <w:t xml:space="preserve"> </w:t>
      </w:r>
      <w:r w:rsidRPr="00822434">
        <w:rPr>
          <w:rFonts w:asciiTheme="minorHAnsi" w:hAnsiTheme="minorHAnsi" w:cstheme="minorHAnsi"/>
          <w:color w:val="000000" w:themeColor="text1"/>
          <w:lang w:val="en-CA"/>
        </w:rPr>
        <w:lastRenderedPageBreak/>
        <w:t xml:space="preserve">income normalization, the covariance estimates in the model given by </w:t>
      </w:r>
      <w:r w:rsidR="000D25D0" w:rsidRPr="00822434">
        <w:rPr>
          <w:rFonts w:asciiTheme="minorHAnsi" w:hAnsiTheme="minorHAnsi" w:cstheme="minorHAnsi"/>
          <w:color w:val="000000" w:themeColor="text1"/>
          <w:lang w:val="en-CA"/>
        </w:rPr>
        <w:t>E</w:t>
      </w:r>
      <w:r w:rsidRPr="00822434">
        <w:rPr>
          <w:rFonts w:asciiTheme="minorHAnsi" w:hAnsiTheme="minorHAnsi" w:cstheme="minorHAnsi"/>
          <w:color w:val="000000" w:themeColor="text1"/>
          <w:lang w:val="en-CA"/>
        </w:rPr>
        <w:t xml:space="preserve">quation </w:t>
      </w:r>
      <w:r w:rsidR="00677148">
        <w:rPr>
          <w:rFonts w:asciiTheme="minorHAnsi" w:hAnsiTheme="minorHAnsi" w:cstheme="minorHAnsi"/>
          <w:color w:val="000000" w:themeColor="text1"/>
          <w:lang w:val="en-CA"/>
        </w:rPr>
        <w:t>(</w:t>
      </w:r>
      <w:r w:rsidRPr="00822434">
        <w:rPr>
          <w:rFonts w:asciiTheme="minorHAnsi" w:hAnsiTheme="minorHAnsi" w:cstheme="minorHAnsi"/>
          <w:color w:val="000000" w:themeColor="text1"/>
          <w:lang w:val="en-CA"/>
        </w:rPr>
        <w:t>2</w:t>
      </w:r>
      <w:r w:rsidR="00677148">
        <w:rPr>
          <w:rFonts w:asciiTheme="minorHAnsi" w:hAnsiTheme="minorHAnsi" w:cstheme="minorHAnsi"/>
          <w:color w:val="000000" w:themeColor="text1"/>
          <w:lang w:val="en-CA"/>
        </w:rPr>
        <w:t>)</w:t>
      </w:r>
      <w:r w:rsidRPr="00822434">
        <w:rPr>
          <w:rFonts w:asciiTheme="minorHAnsi" w:hAnsiTheme="minorHAnsi" w:cstheme="minorHAnsi"/>
          <w:color w:val="000000" w:themeColor="text1"/>
          <w:lang w:val="en-CA"/>
        </w:rPr>
        <w:t xml:space="preserve"> indicate statistically significant intercept variability across censuses, evidence supporting the mixed model. The introduction of an interaction term between an individual's years of schooling and the country's average years of schooling in the model given by </w:t>
      </w:r>
      <w:r w:rsidR="00677148">
        <w:rPr>
          <w:rFonts w:asciiTheme="minorHAnsi" w:hAnsiTheme="minorHAnsi" w:cstheme="minorHAnsi"/>
          <w:color w:val="000000" w:themeColor="text1"/>
          <w:lang w:val="en-CA"/>
        </w:rPr>
        <w:t>E</w:t>
      </w:r>
      <w:r w:rsidRPr="00822434">
        <w:rPr>
          <w:rFonts w:asciiTheme="minorHAnsi" w:hAnsiTheme="minorHAnsi" w:cstheme="minorHAnsi"/>
          <w:color w:val="000000" w:themeColor="text1"/>
          <w:lang w:val="en-CA"/>
        </w:rPr>
        <w:t xml:space="preserve">quation </w:t>
      </w:r>
      <w:r w:rsidR="00677148">
        <w:rPr>
          <w:rFonts w:asciiTheme="minorHAnsi" w:hAnsiTheme="minorHAnsi" w:cstheme="minorHAnsi"/>
          <w:color w:val="000000" w:themeColor="text1"/>
          <w:lang w:val="en-CA"/>
        </w:rPr>
        <w:t>(</w:t>
      </w:r>
      <w:r w:rsidRPr="00822434">
        <w:rPr>
          <w:rFonts w:asciiTheme="minorHAnsi" w:hAnsiTheme="minorHAnsi" w:cstheme="minorHAnsi"/>
          <w:color w:val="000000" w:themeColor="text1"/>
          <w:lang w:val="en-CA"/>
        </w:rPr>
        <w:t>3</w:t>
      </w:r>
      <w:r w:rsidR="00677148">
        <w:rPr>
          <w:rFonts w:asciiTheme="minorHAnsi" w:hAnsiTheme="minorHAnsi" w:cstheme="minorHAnsi"/>
          <w:color w:val="000000" w:themeColor="text1"/>
          <w:lang w:val="en-CA"/>
        </w:rPr>
        <w:t>)</w:t>
      </w:r>
      <w:r w:rsidRPr="00822434">
        <w:rPr>
          <w:rFonts w:asciiTheme="minorHAnsi" w:hAnsiTheme="minorHAnsi" w:cstheme="minorHAnsi"/>
          <w:color w:val="000000" w:themeColor="text1"/>
          <w:lang w:val="en-CA"/>
        </w:rPr>
        <w:t xml:space="preserve"> reveals that the positive relationship between education and wages diminishes in size as a population's overall education level rises. Specifically, the negative parameter predicts smaller wage gains for marginal increases in an individual's schooling within societies where higher education is more widespread. This is in line with economic principles, as the marginal value of educational attainment decreases when advanced skills become common, and thus the advantages conferred by an extra year of schooling are attenuated when competing against a highly educated population. Thus, the model given by </w:t>
      </w:r>
      <w:r w:rsidR="000D25D0" w:rsidRPr="00822434">
        <w:rPr>
          <w:rFonts w:asciiTheme="minorHAnsi" w:hAnsiTheme="minorHAnsi" w:cstheme="minorHAnsi"/>
          <w:color w:val="000000" w:themeColor="text1"/>
          <w:lang w:val="en-CA"/>
        </w:rPr>
        <w:t>E</w:t>
      </w:r>
      <w:r w:rsidRPr="00822434">
        <w:rPr>
          <w:rFonts w:asciiTheme="minorHAnsi" w:hAnsiTheme="minorHAnsi" w:cstheme="minorHAnsi"/>
          <w:color w:val="000000" w:themeColor="text1"/>
          <w:lang w:val="en-CA"/>
        </w:rPr>
        <w:t xml:space="preserve">quation </w:t>
      </w:r>
      <w:r w:rsidR="00677148">
        <w:rPr>
          <w:rFonts w:asciiTheme="minorHAnsi" w:hAnsiTheme="minorHAnsi" w:cstheme="minorHAnsi"/>
          <w:color w:val="000000" w:themeColor="text1"/>
          <w:lang w:val="en-CA"/>
        </w:rPr>
        <w:t>(</w:t>
      </w:r>
      <w:r w:rsidRPr="00822434">
        <w:rPr>
          <w:rFonts w:asciiTheme="minorHAnsi" w:hAnsiTheme="minorHAnsi" w:cstheme="minorHAnsi"/>
          <w:color w:val="000000" w:themeColor="text1"/>
          <w:lang w:val="en-CA"/>
        </w:rPr>
        <w:t>3</w:t>
      </w:r>
      <w:r w:rsidR="00677148">
        <w:rPr>
          <w:rFonts w:asciiTheme="minorHAnsi" w:hAnsiTheme="minorHAnsi" w:cstheme="minorHAnsi"/>
          <w:color w:val="000000" w:themeColor="text1"/>
          <w:lang w:val="en-CA"/>
        </w:rPr>
        <w:t>)</w:t>
      </w:r>
      <w:r w:rsidRPr="00822434">
        <w:rPr>
          <w:rFonts w:asciiTheme="minorHAnsi" w:hAnsiTheme="minorHAnsi" w:cstheme="minorHAnsi"/>
          <w:color w:val="000000" w:themeColor="text1"/>
          <w:lang w:val="en-CA"/>
        </w:rPr>
        <w:t xml:space="preserve"> provides evidence that the labor market return of education depends on both relative and absolute skills and </w:t>
      </w:r>
    </w:p>
    <w:tbl>
      <w:tblPr>
        <w:tblpPr w:leftFromText="187" w:rightFromText="187" w:topFromText="144" w:horzAnchor="margin" w:tblpXSpec="center" w:tblpYSpec="bottom"/>
        <w:tblOverlap w:val="never"/>
        <w:tblW w:w="8249" w:type="dxa"/>
        <w:tblLayout w:type="fixed"/>
        <w:tblLook w:val="04A0" w:firstRow="1" w:lastRow="0" w:firstColumn="1" w:lastColumn="0" w:noHBand="0" w:noVBand="1"/>
      </w:tblPr>
      <w:tblGrid>
        <w:gridCol w:w="350"/>
        <w:gridCol w:w="2980"/>
        <w:gridCol w:w="1639"/>
        <w:gridCol w:w="1640"/>
        <w:gridCol w:w="1640"/>
      </w:tblGrid>
      <w:tr w:rsidR="00822434" w:rsidRPr="00822434" w14:paraId="1208D286" w14:textId="77777777" w:rsidTr="00822434">
        <w:trPr>
          <w:trHeight w:val="225"/>
        </w:trPr>
        <w:tc>
          <w:tcPr>
            <w:tcW w:w="8249" w:type="dxa"/>
            <w:gridSpan w:val="5"/>
            <w:tcBorders>
              <w:top w:val="nil"/>
              <w:left w:val="nil"/>
              <w:bottom w:val="single" w:sz="8" w:space="0" w:color="auto"/>
              <w:right w:val="nil"/>
            </w:tcBorders>
            <w:shd w:val="clear" w:color="auto" w:fill="auto"/>
            <w:noWrap/>
            <w:vAlign w:val="bottom"/>
          </w:tcPr>
          <w:p w14:paraId="44A1E632" w14:textId="77777777" w:rsidR="00822434" w:rsidRPr="00822434" w:rsidRDefault="00822434" w:rsidP="00822434">
            <w:pPr>
              <w:spacing w:line="240" w:lineRule="auto"/>
              <w:ind w:firstLine="0"/>
              <w:rPr>
                <w:rFonts w:cstheme="minorHAnsi"/>
                <w:b/>
                <w:bCs/>
                <w:color w:val="000000" w:themeColor="text1"/>
                <w:sz w:val="18"/>
                <w:szCs w:val="20"/>
              </w:rPr>
            </w:pPr>
            <w:r w:rsidRPr="00822434">
              <w:rPr>
                <w:rFonts w:cstheme="minorHAnsi"/>
                <w:b/>
                <w:bCs/>
                <w:color w:val="000000" w:themeColor="text1"/>
                <w:sz w:val="24"/>
                <w:szCs w:val="24"/>
                <w:lang w:val="en-CA"/>
              </w:rPr>
              <w:t xml:space="preserve">Table S2. </w:t>
            </w:r>
            <w:r w:rsidRPr="00822434">
              <w:rPr>
                <w:rFonts w:cstheme="minorHAnsi"/>
                <w:i/>
                <w:iCs/>
                <w:color w:val="000000" w:themeColor="text1"/>
                <w:sz w:val="24"/>
                <w:szCs w:val="24"/>
                <w:lang w:val="en-CA"/>
              </w:rPr>
              <w:t>Parameters of Models</w:t>
            </w:r>
            <w:r w:rsidRPr="00822434">
              <w:rPr>
                <w:rFonts w:cstheme="minorHAnsi"/>
                <w:i/>
                <w:iCs/>
                <w:color w:val="000000" w:themeColor="text1"/>
                <w:lang w:val="en-CA"/>
              </w:rPr>
              <w:t xml:space="preserve"> </w:t>
            </w:r>
          </w:p>
        </w:tc>
      </w:tr>
      <w:tr w:rsidR="00822434" w:rsidRPr="00822434" w14:paraId="149A1626" w14:textId="77777777" w:rsidTr="00822434">
        <w:trPr>
          <w:trHeight w:val="259"/>
        </w:trPr>
        <w:tc>
          <w:tcPr>
            <w:tcW w:w="3330" w:type="dxa"/>
            <w:gridSpan w:val="2"/>
            <w:tcBorders>
              <w:top w:val="single" w:sz="8" w:space="0" w:color="auto"/>
              <w:left w:val="nil"/>
              <w:bottom w:val="single" w:sz="4" w:space="0" w:color="auto"/>
            </w:tcBorders>
            <w:shd w:val="clear" w:color="auto" w:fill="auto"/>
            <w:noWrap/>
            <w:vAlign w:val="center"/>
            <w:hideMark/>
          </w:tcPr>
          <w:p w14:paraId="778127A8" w14:textId="77777777" w:rsidR="00822434" w:rsidRPr="00822434" w:rsidRDefault="00822434" w:rsidP="00822434">
            <w:pPr>
              <w:spacing w:after="0" w:line="240" w:lineRule="auto"/>
              <w:ind w:firstLine="0"/>
              <w:jc w:val="center"/>
              <w:rPr>
                <w:rFonts w:cstheme="minorHAnsi"/>
                <w:color w:val="000000" w:themeColor="text1"/>
                <w:sz w:val="18"/>
                <w:szCs w:val="20"/>
              </w:rPr>
            </w:pPr>
          </w:p>
        </w:tc>
        <w:tc>
          <w:tcPr>
            <w:tcW w:w="1639" w:type="dxa"/>
            <w:tcBorders>
              <w:top w:val="single" w:sz="8" w:space="0" w:color="auto"/>
              <w:bottom w:val="nil"/>
            </w:tcBorders>
            <w:shd w:val="clear" w:color="auto" w:fill="auto"/>
            <w:vAlign w:val="center"/>
            <w:hideMark/>
          </w:tcPr>
          <w:p w14:paraId="30DB5516" w14:textId="77777777" w:rsidR="00822434" w:rsidRPr="00822434" w:rsidRDefault="00822434" w:rsidP="00822434">
            <w:pPr>
              <w:spacing w:after="0" w:line="240" w:lineRule="auto"/>
              <w:ind w:firstLine="0"/>
              <w:jc w:val="center"/>
              <w:rPr>
                <w:rFonts w:cstheme="minorHAnsi"/>
                <w:color w:val="000000" w:themeColor="text1"/>
                <w:sz w:val="18"/>
                <w:szCs w:val="20"/>
              </w:rPr>
            </w:pPr>
            <w:r w:rsidRPr="00822434">
              <w:rPr>
                <w:rFonts w:cstheme="minorHAnsi"/>
                <w:color w:val="000000" w:themeColor="text1"/>
                <w:sz w:val="18"/>
                <w:szCs w:val="20"/>
              </w:rPr>
              <w:t>Model 1</w:t>
            </w:r>
          </w:p>
        </w:tc>
        <w:tc>
          <w:tcPr>
            <w:tcW w:w="1640" w:type="dxa"/>
            <w:tcBorders>
              <w:top w:val="single" w:sz="8" w:space="0" w:color="auto"/>
              <w:bottom w:val="nil"/>
            </w:tcBorders>
            <w:shd w:val="clear" w:color="auto" w:fill="auto"/>
            <w:vAlign w:val="center"/>
            <w:hideMark/>
          </w:tcPr>
          <w:p w14:paraId="695C0CF9" w14:textId="77777777" w:rsidR="00822434" w:rsidRPr="00822434" w:rsidRDefault="00822434" w:rsidP="00822434">
            <w:pPr>
              <w:spacing w:after="0" w:line="240" w:lineRule="auto"/>
              <w:ind w:firstLine="0"/>
              <w:jc w:val="center"/>
              <w:rPr>
                <w:rFonts w:cstheme="minorHAnsi"/>
                <w:color w:val="000000" w:themeColor="text1"/>
                <w:sz w:val="18"/>
                <w:szCs w:val="20"/>
              </w:rPr>
            </w:pPr>
            <w:r w:rsidRPr="00822434">
              <w:rPr>
                <w:rFonts w:cstheme="minorHAnsi"/>
                <w:color w:val="000000" w:themeColor="text1"/>
                <w:sz w:val="18"/>
                <w:szCs w:val="20"/>
              </w:rPr>
              <w:t>Model 2</w:t>
            </w:r>
          </w:p>
        </w:tc>
        <w:tc>
          <w:tcPr>
            <w:tcW w:w="1640" w:type="dxa"/>
            <w:tcBorders>
              <w:top w:val="single" w:sz="8" w:space="0" w:color="auto"/>
              <w:bottom w:val="nil"/>
              <w:right w:val="nil"/>
            </w:tcBorders>
            <w:shd w:val="clear" w:color="auto" w:fill="auto"/>
            <w:vAlign w:val="center"/>
            <w:hideMark/>
          </w:tcPr>
          <w:p w14:paraId="0B6AA073" w14:textId="77777777" w:rsidR="00822434" w:rsidRPr="00822434" w:rsidRDefault="00822434" w:rsidP="00822434">
            <w:pPr>
              <w:spacing w:after="0" w:line="240" w:lineRule="auto"/>
              <w:ind w:firstLine="0"/>
              <w:jc w:val="center"/>
              <w:rPr>
                <w:rFonts w:cstheme="minorHAnsi"/>
                <w:color w:val="000000" w:themeColor="text1"/>
                <w:sz w:val="18"/>
                <w:szCs w:val="20"/>
              </w:rPr>
            </w:pPr>
            <w:r w:rsidRPr="00822434">
              <w:rPr>
                <w:rFonts w:cstheme="minorHAnsi"/>
                <w:color w:val="000000" w:themeColor="text1"/>
                <w:sz w:val="18"/>
                <w:szCs w:val="20"/>
              </w:rPr>
              <w:t>Model 3</w:t>
            </w:r>
          </w:p>
        </w:tc>
      </w:tr>
      <w:tr w:rsidR="00822434" w:rsidRPr="00822434" w14:paraId="65644576" w14:textId="77777777" w:rsidTr="00822434">
        <w:trPr>
          <w:trHeight w:val="259"/>
        </w:trPr>
        <w:tc>
          <w:tcPr>
            <w:tcW w:w="3330" w:type="dxa"/>
            <w:gridSpan w:val="2"/>
            <w:tcBorders>
              <w:top w:val="single" w:sz="4" w:space="0" w:color="auto"/>
              <w:left w:val="nil"/>
              <w:bottom w:val="nil"/>
            </w:tcBorders>
            <w:shd w:val="clear" w:color="auto" w:fill="auto"/>
            <w:noWrap/>
            <w:vAlign w:val="bottom"/>
            <w:hideMark/>
          </w:tcPr>
          <w:p w14:paraId="76507662" w14:textId="77777777" w:rsidR="00822434" w:rsidRPr="00822434" w:rsidRDefault="00822434" w:rsidP="00822434">
            <w:pPr>
              <w:spacing w:after="0" w:line="240" w:lineRule="auto"/>
              <w:ind w:right="-62" w:firstLine="0"/>
              <w:rPr>
                <w:rFonts w:cstheme="minorHAnsi"/>
                <w:color w:val="000000" w:themeColor="text1"/>
                <w:sz w:val="18"/>
                <w:szCs w:val="20"/>
              </w:rPr>
            </w:pPr>
            <w:r w:rsidRPr="00822434">
              <w:rPr>
                <w:rFonts w:cstheme="minorHAnsi"/>
                <w:color w:val="000000" w:themeColor="text1"/>
                <w:sz w:val="18"/>
                <w:szCs w:val="20"/>
              </w:rPr>
              <w:t>Random effect (group=census)</w:t>
            </w:r>
          </w:p>
        </w:tc>
        <w:tc>
          <w:tcPr>
            <w:tcW w:w="1639" w:type="dxa"/>
            <w:tcBorders>
              <w:top w:val="single" w:sz="4" w:space="0" w:color="auto"/>
              <w:bottom w:val="nil"/>
            </w:tcBorders>
            <w:shd w:val="clear" w:color="auto" w:fill="auto"/>
            <w:vAlign w:val="bottom"/>
            <w:hideMark/>
          </w:tcPr>
          <w:p w14:paraId="07DA91DB"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 </w:t>
            </w:r>
          </w:p>
        </w:tc>
        <w:tc>
          <w:tcPr>
            <w:tcW w:w="1640" w:type="dxa"/>
            <w:tcBorders>
              <w:top w:val="single" w:sz="4" w:space="0" w:color="auto"/>
              <w:bottom w:val="nil"/>
            </w:tcBorders>
            <w:shd w:val="clear" w:color="auto" w:fill="auto"/>
            <w:vAlign w:val="bottom"/>
            <w:hideMark/>
          </w:tcPr>
          <w:p w14:paraId="671A2299"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Covariance</w:t>
            </w:r>
          </w:p>
        </w:tc>
        <w:tc>
          <w:tcPr>
            <w:tcW w:w="1640" w:type="dxa"/>
            <w:tcBorders>
              <w:top w:val="single" w:sz="4" w:space="0" w:color="auto"/>
              <w:bottom w:val="nil"/>
              <w:right w:val="nil"/>
            </w:tcBorders>
            <w:shd w:val="clear" w:color="auto" w:fill="auto"/>
            <w:vAlign w:val="bottom"/>
            <w:hideMark/>
          </w:tcPr>
          <w:p w14:paraId="70AE2F94"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Covariance</w:t>
            </w:r>
          </w:p>
        </w:tc>
      </w:tr>
      <w:tr w:rsidR="00822434" w:rsidRPr="00822434" w14:paraId="09822CA4" w14:textId="77777777" w:rsidTr="00822434">
        <w:trPr>
          <w:trHeight w:val="259"/>
        </w:trPr>
        <w:tc>
          <w:tcPr>
            <w:tcW w:w="350" w:type="dxa"/>
            <w:tcBorders>
              <w:top w:val="nil"/>
              <w:left w:val="nil"/>
              <w:bottom w:val="nil"/>
            </w:tcBorders>
            <w:shd w:val="clear" w:color="auto" w:fill="auto"/>
            <w:noWrap/>
            <w:vAlign w:val="bottom"/>
            <w:hideMark/>
          </w:tcPr>
          <w:p w14:paraId="52C9B415" w14:textId="77777777" w:rsidR="00822434" w:rsidRPr="00822434" w:rsidRDefault="00822434" w:rsidP="00822434">
            <w:pPr>
              <w:spacing w:after="0" w:line="240" w:lineRule="auto"/>
              <w:ind w:firstLine="0"/>
              <w:rPr>
                <w:rFonts w:cstheme="minorHAnsi"/>
                <w:color w:val="000000" w:themeColor="text1"/>
                <w:sz w:val="18"/>
                <w:szCs w:val="20"/>
              </w:rPr>
            </w:pPr>
          </w:p>
        </w:tc>
        <w:tc>
          <w:tcPr>
            <w:tcW w:w="2980" w:type="dxa"/>
            <w:tcBorders>
              <w:top w:val="nil"/>
              <w:bottom w:val="nil"/>
            </w:tcBorders>
            <w:shd w:val="clear" w:color="auto" w:fill="auto"/>
            <w:noWrap/>
            <w:vAlign w:val="bottom"/>
            <w:hideMark/>
          </w:tcPr>
          <w:p w14:paraId="1F0E58E8"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Intercept</w:t>
            </w:r>
          </w:p>
        </w:tc>
        <w:tc>
          <w:tcPr>
            <w:tcW w:w="1639" w:type="dxa"/>
            <w:tcBorders>
              <w:top w:val="nil"/>
              <w:bottom w:val="nil"/>
            </w:tcBorders>
            <w:shd w:val="clear" w:color="auto" w:fill="auto"/>
            <w:vAlign w:val="bottom"/>
            <w:hideMark/>
          </w:tcPr>
          <w:p w14:paraId="04757681"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 </w:t>
            </w:r>
          </w:p>
        </w:tc>
        <w:tc>
          <w:tcPr>
            <w:tcW w:w="1640" w:type="dxa"/>
            <w:tcBorders>
              <w:top w:val="nil"/>
              <w:bottom w:val="nil"/>
            </w:tcBorders>
            <w:shd w:val="clear" w:color="auto" w:fill="auto"/>
            <w:noWrap/>
            <w:vAlign w:val="bottom"/>
            <w:hideMark/>
          </w:tcPr>
          <w:p w14:paraId="294FEB83"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0.097</w:t>
            </w:r>
          </w:p>
        </w:tc>
        <w:tc>
          <w:tcPr>
            <w:tcW w:w="1640" w:type="dxa"/>
            <w:tcBorders>
              <w:top w:val="nil"/>
              <w:bottom w:val="nil"/>
              <w:right w:val="nil"/>
            </w:tcBorders>
            <w:shd w:val="clear" w:color="auto" w:fill="auto"/>
            <w:noWrap/>
            <w:vAlign w:val="bottom"/>
            <w:hideMark/>
          </w:tcPr>
          <w:p w14:paraId="7A0AC05A"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0.023</w:t>
            </w:r>
          </w:p>
        </w:tc>
      </w:tr>
      <w:tr w:rsidR="00822434" w:rsidRPr="00822434" w14:paraId="12B97F01" w14:textId="77777777" w:rsidTr="00822434">
        <w:trPr>
          <w:trHeight w:val="259"/>
        </w:trPr>
        <w:tc>
          <w:tcPr>
            <w:tcW w:w="350" w:type="dxa"/>
            <w:tcBorders>
              <w:top w:val="nil"/>
              <w:left w:val="nil"/>
              <w:bottom w:val="single" w:sz="4" w:space="0" w:color="auto"/>
            </w:tcBorders>
            <w:shd w:val="clear" w:color="auto" w:fill="auto"/>
            <w:noWrap/>
            <w:vAlign w:val="bottom"/>
            <w:hideMark/>
          </w:tcPr>
          <w:p w14:paraId="61F75170"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 </w:t>
            </w:r>
          </w:p>
        </w:tc>
        <w:tc>
          <w:tcPr>
            <w:tcW w:w="2980" w:type="dxa"/>
            <w:tcBorders>
              <w:top w:val="nil"/>
              <w:bottom w:val="single" w:sz="4" w:space="0" w:color="auto"/>
            </w:tcBorders>
            <w:shd w:val="clear" w:color="auto" w:fill="auto"/>
            <w:noWrap/>
            <w:vAlign w:val="bottom"/>
            <w:hideMark/>
          </w:tcPr>
          <w:p w14:paraId="67FC28ED"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 </w:t>
            </w:r>
          </w:p>
        </w:tc>
        <w:tc>
          <w:tcPr>
            <w:tcW w:w="1639" w:type="dxa"/>
            <w:tcBorders>
              <w:top w:val="nil"/>
              <w:bottom w:val="single" w:sz="4" w:space="0" w:color="auto"/>
            </w:tcBorders>
            <w:shd w:val="clear" w:color="auto" w:fill="auto"/>
            <w:vAlign w:val="bottom"/>
            <w:hideMark/>
          </w:tcPr>
          <w:p w14:paraId="4FBAF3DF"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 </w:t>
            </w:r>
          </w:p>
        </w:tc>
        <w:tc>
          <w:tcPr>
            <w:tcW w:w="1640" w:type="dxa"/>
            <w:tcBorders>
              <w:top w:val="nil"/>
              <w:bottom w:val="single" w:sz="4" w:space="0" w:color="auto"/>
            </w:tcBorders>
            <w:shd w:val="clear" w:color="auto" w:fill="auto"/>
            <w:vAlign w:val="bottom"/>
            <w:hideMark/>
          </w:tcPr>
          <w:p w14:paraId="522AA1CE"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(0.040)</w:t>
            </w:r>
          </w:p>
        </w:tc>
        <w:tc>
          <w:tcPr>
            <w:tcW w:w="1640" w:type="dxa"/>
            <w:tcBorders>
              <w:top w:val="nil"/>
              <w:bottom w:val="single" w:sz="4" w:space="0" w:color="auto"/>
              <w:right w:val="nil"/>
            </w:tcBorders>
            <w:shd w:val="clear" w:color="auto" w:fill="auto"/>
            <w:noWrap/>
            <w:vAlign w:val="bottom"/>
            <w:hideMark/>
          </w:tcPr>
          <w:p w14:paraId="488E35F9"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(0.009)</w:t>
            </w:r>
          </w:p>
        </w:tc>
      </w:tr>
      <w:tr w:rsidR="00822434" w:rsidRPr="00822434" w14:paraId="7886D6E8" w14:textId="77777777" w:rsidTr="00822434">
        <w:trPr>
          <w:trHeight w:val="259"/>
        </w:trPr>
        <w:tc>
          <w:tcPr>
            <w:tcW w:w="3330" w:type="dxa"/>
            <w:gridSpan w:val="2"/>
            <w:tcBorders>
              <w:top w:val="nil"/>
              <w:left w:val="nil"/>
              <w:bottom w:val="nil"/>
            </w:tcBorders>
            <w:shd w:val="clear" w:color="auto" w:fill="auto"/>
            <w:vAlign w:val="bottom"/>
            <w:hideMark/>
          </w:tcPr>
          <w:p w14:paraId="714A1244"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Fixed effect</w:t>
            </w:r>
          </w:p>
        </w:tc>
        <w:tc>
          <w:tcPr>
            <w:tcW w:w="1639" w:type="dxa"/>
            <w:tcBorders>
              <w:top w:val="nil"/>
              <w:bottom w:val="nil"/>
            </w:tcBorders>
            <w:shd w:val="clear" w:color="auto" w:fill="auto"/>
            <w:vAlign w:val="bottom"/>
            <w:hideMark/>
          </w:tcPr>
          <w:p w14:paraId="41ABB0CA" w14:textId="77777777" w:rsidR="00822434" w:rsidRPr="00822434" w:rsidRDefault="00822434" w:rsidP="00822434">
            <w:pPr>
              <w:tabs>
                <w:tab w:val="decimal" w:pos="613"/>
              </w:tabs>
              <w:spacing w:after="0" w:line="240" w:lineRule="auto"/>
              <w:ind w:firstLine="0"/>
              <w:jc w:val="center"/>
              <w:rPr>
                <w:rFonts w:cstheme="minorHAnsi"/>
                <w:color w:val="000000" w:themeColor="text1"/>
                <w:sz w:val="18"/>
                <w:szCs w:val="20"/>
              </w:rPr>
            </w:pPr>
            <w:r w:rsidRPr="00822434">
              <w:rPr>
                <w:rFonts w:cstheme="minorHAnsi"/>
                <w:color w:val="000000" w:themeColor="text1"/>
                <w:sz w:val="18"/>
                <w:szCs w:val="20"/>
              </w:rPr>
              <w:t>Estimate</w:t>
            </w:r>
          </w:p>
        </w:tc>
        <w:tc>
          <w:tcPr>
            <w:tcW w:w="1640" w:type="dxa"/>
            <w:tcBorders>
              <w:top w:val="nil"/>
              <w:bottom w:val="nil"/>
            </w:tcBorders>
            <w:shd w:val="clear" w:color="auto" w:fill="auto"/>
            <w:vAlign w:val="bottom"/>
            <w:hideMark/>
          </w:tcPr>
          <w:p w14:paraId="72AA1969" w14:textId="77777777" w:rsidR="00822434" w:rsidRPr="00822434" w:rsidRDefault="00822434" w:rsidP="00822434">
            <w:pPr>
              <w:tabs>
                <w:tab w:val="decimal" w:pos="613"/>
              </w:tabs>
              <w:spacing w:after="0" w:line="240" w:lineRule="auto"/>
              <w:ind w:firstLine="0"/>
              <w:jc w:val="center"/>
              <w:rPr>
                <w:rFonts w:cstheme="minorHAnsi"/>
                <w:color w:val="000000" w:themeColor="text1"/>
                <w:sz w:val="18"/>
                <w:szCs w:val="20"/>
              </w:rPr>
            </w:pPr>
            <w:r w:rsidRPr="00822434">
              <w:rPr>
                <w:rFonts w:cstheme="minorHAnsi"/>
                <w:color w:val="000000" w:themeColor="text1"/>
                <w:sz w:val="18"/>
                <w:szCs w:val="20"/>
              </w:rPr>
              <w:t>Estimate</w:t>
            </w:r>
          </w:p>
        </w:tc>
        <w:tc>
          <w:tcPr>
            <w:tcW w:w="1640" w:type="dxa"/>
            <w:tcBorders>
              <w:top w:val="nil"/>
              <w:bottom w:val="nil"/>
              <w:right w:val="nil"/>
            </w:tcBorders>
            <w:shd w:val="clear" w:color="auto" w:fill="auto"/>
            <w:vAlign w:val="bottom"/>
            <w:hideMark/>
          </w:tcPr>
          <w:p w14:paraId="029DBDCB" w14:textId="77777777" w:rsidR="00822434" w:rsidRPr="00822434" w:rsidRDefault="00822434" w:rsidP="00822434">
            <w:pPr>
              <w:tabs>
                <w:tab w:val="decimal" w:pos="613"/>
              </w:tabs>
              <w:spacing w:after="0" w:line="240" w:lineRule="auto"/>
              <w:ind w:firstLine="0"/>
              <w:jc w:val="center"/>
              <w:rPr>
                <w:rFonts w:cstheme="minorHAnsi"/>
                <w:color w:val="000000" w:themeColor="text1"/>
                <w:sz w:val="18"/>
                <w:szCs w:val="20"/>
              </w:rPr>
            </w:pPr>
            <w:r w:rsidRPr="00822434">
              <w:rPr>
                <w:rFonts w:cstheme="minorHAnsi"/>
                <w:color w:val="000000" w:themeColor="text1"/>
                <w:sz w:val="18"/>
                <w:szCs w:val="20"/>
              </w:rPr>
              <w:t>Estimate</w:t>
            </w:r>
          </w:p>
        </w:tc>
      </w:tr>
      <w:tr w:rsidR="00822434" w:rsidRPr="00822434" w14:paraId="1AAE21E4" w14:textId="77777777" w:rsidTr="00822434">
        <w:trPr>
          <w:trHeight w:val="259"/>
        </w:trPr>
        <w:tc>
          <w:tcPr>
            <w:tcW w:w="350" w:type="dxa"/>
            <w:tcBorders>
              <w:top w:val="nil"/>
              <w:left w:val="nil"/>
              <w:bottom w:val="nil"/>
            </w:tcBorders>
            <w:shd w:val="clear" w:color="auto" w:fill="auto"/>
            <w:noWrap/>
            <w:vAlign w:val="bottom"/>
            <w:hideMark/>
          </w:tcPr>
          <w:p w14:paraId="67EF6B08" w14:textId="77777777" w:rsidR="00822434" w:rsidRPr="00822434" w:rsidRDefault="00822434" w:rsidP="00822434">
            <w:pPr>
              <w:spacing w:after="0" w:line="240" w:lineRule="auto"/>
              <w:ind w:firstLine="0"/>
              <w:jc w:val="center"/>
              <w:rPr>
                <w:rFonts w:cstheme="minorHAnsi"/>
                <w:color w:val="000000" w:themeColor="text1"/>
                <w:sz w:val="18"/>
                <w:szCs w:val="20"/>
              </w:rPr>
            </w:pPr>
          </w:p>
        </w:tc>
        <w:tc>
          <w:tcPr>
            <w:tcW w:w="2980" w:type="dxa"/>
            <w:tcBorders>
              <w:top w:val="nil"/>
              <w:bottom w:val="nil"/>
            </w:tcBorders>
            <w:shd w:val="clear" w:color="auto" w:fill="auto"/>
            <w:noWrap/>
            <w:vAlign w:val="bottom"/>
            <w:hideMark/>
          </w:tcPr>
          <w:p w14:paraId="66EA0046"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Intercept</w:t>
            </w:r>
          </w:p>
        </w:tc>
        <w:tc>
          <w:tcPr>
            <w:tcW w:w="1639" w:type="dxa"/>
            <w:tcBorders>
              <w:top w:val="nil"/>
              <w:bottom w:val="nil"/>
            </w:tcBorders>
            <w:shd w:val="clear" w:color="auto" w:fill="auto"/>
            <w:noWrap/>
            <w:vAlign w:val="bottom"/>
            <w:hideMark/>
          </w:tcPr>
          <w:p w14:paraId="3A196CA0"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-2.726</w:t>
            </w:r>
          </w:p>
        </w:tc>
        <w:tc>
          <w:tcPr>
            <w:tcW w:w="1640" w:type="dxa"/>
            <w:tcBorders>
              <w:top w:val="nil"/>
              <w:bottom w:val="nil"/>
            </w:tcBorders>
            <w:shd w:val="clear" w:color="auto" w:fill="auto"/>
            <w:noWrap/>
            <w:vAlign w:val="bottom"/>
            <w:hideMark/>
          </w:tcPr>
          <w:p w14:paraId="7C68FEE1"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-2.796</w:t>
            </w:r>
          </w:p>
        </w:tc>
        <w:tc>
          <w:tcPr>
            <w:tcW w:w="1640" w:type="dxa"/>
            <w:tcBorders>
              <w:top w:val="nil"/>
              <w:bottom w:val="nil"/>
              <w:right w:val="nil"/>
            </w:tcBorders>
            <w:shd w:val="clear" w:color="auto" w:fill="auto"/>
            <w:noWrap/>
            <w:vAlign w:val="bottom"/>
            <w:hideMark/>
          </w:tcPr>
          <w:p w14:paraId="6306E5E3"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-2.571</w:t>
            </w:r>
          </w:p>
        </w:tc>
      </w:tr>
      <w:tr w:rsidR="00822434" w:rsidRPr="00822434" w14:paraId="0AE20D2C" w14:textId="77777777" w:rsidTr="00822434">
        <w:trPr>
          <w:trHeight w:val="259"/>
        </w:trPr>
        <w:tc>
          <w:tcPr>
            <w:tcW w:w="350" w:type="dxa"/>
            <w:tcBorders>
              <w:top w:val="nil"/>
              <w:left w:val="nil"/>
              <w:bottom w:val="nil"/>
            </w:tcBorders>
            <w:shd w:val="clear" w:color="auto" w:fill="auto"/>
            <w:vAlign w:val="bottom"/>
            <w:hideMark/>
          </w:tcPr>
          <w:p w14:paraId="2556D4F0" w14:textId="77777777" w:rsidR="00822434" w:rsidRPr="00822434" w:rsidRDefault="00822434" w:rsidP="00822434">
            <w:pPr>
              <w:spacing w:after="0" w:line="240" w:lineRule="auto"/>
              <w:ind w:firstLine="0"/>
              <w:jc w:val="center"/>
              <w:rPr>
                <w:rFonts w:cstheme="minorHAnsi"/>
                <w:color w:val="000000" w:themeColor="text1"/>
                <w:sz w:val="18"/>
                <w:szCs w:val="20"/>
              </w:rPr>
            </w:pPr>
          </w:p>
        </w:tc>
        <w:tc>
          <w:tcPr>
            <w:tcW w:w="2980" w:type="dxa"/>
            <w:tcBorders>
              <w:top w:val="nil"/>
              <w:bottom w:val="nil"/>
            </w:tcBorders>
            <w:shd w:val="clear" w:color="auto" w:fill="auto"/>
            <w:noWrap/>
            <w:vAlign w:val="bottom"/>
            <w:hideMark/>
          </w:tcPr>
          <w:p w14:paraId="0F33BC01" w14:textId="77777777" w:rsidR="00822434" w:rsidRPr="00822434" w:rsidRDefault="00822434" w:rsidP="00822434">
            <w:pPr>
              <w:spacing w:after="0" w:line="240" w:lineRule="auto"/>
              <w:ind w:firstLine="0"/>
              <w:rPr>
                <w:rFonts w:cstheme="minorHAnsi"/>
                <w:color w:val="000000" w:themeColor="text1"/>
                <w:sz w:val="18"/>
                <w:szCs w:val="20"/>
              </w:rPr>
            </w:pPr>
          </w:p>
        </w:tc>
        <w:tc>
          <w:tcPr>
            <w:tcW w:w="1639" w:type="dxa"/>
            <w:tcBorders>
              <w:top w:val="nil"/>
              <w:bottom w:val="nil"/>
            </w:tcBorders>
            <w:shd w:val="clear" w:color="auto" w:fill="auto"/>
            <w:noWrap/>
            <w:vAlign w:val="bottom"/>
            <w:hideMark/>
          </w:tcPr>
          <w:p w14:paraId="4EC02A69"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(0.005)</w:t>
            </w:r>
          </w:p>
        </w:tc>
        <w:tc>
          <w:tcPr>
            <w:tcW w:w="1640" w:type="dxa"/>
            <w:tcBorders>
              <w:top w:val="nil"/>
              <w:bottom w:val="nil"/>
            </w:tcBorders>
            <w:shd w:val="clear" w:color="auto" w:fill="auto"/>
            <w:vAlign w:val="bottom"/>
            <w:hideMark/>
          </w:tcPr>
          <w:p w14:paraId="3D27D2E4"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(0.057)</w:t>
            </w:r>
          </w:p>
        </w:tc>
        <w:tc>
          <w:tcPr>
            <w:tcW w:w="1640" w:type="dxa"/>
            <w:tcBorders>
              <w:top w:val="nil"/>
              <w:bottom w:val="nil"/>
              <w:right w:val="nil"/>
            </w:tcBorders>
            <w:shd w:val="clear" w:color="auto" w:fill="auto"/>
            <w:vAlign w:val="bottom"/>
            <w:hideMark/>
          </w:tcPr>
          <w:p w14:paraId="3BD23903"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(0.117)</w:t>
            </w:r>
          </w:p>
        </w:tc>
      </w:tr>
      <w:tr w:rsidR="00822434" w:rsidRPr="00822434" w14:paraId="00D20371" w14:textId="77777777" w:rsidTr="00822434">
        <w:trPr>
          <w:trHeight w:val="259"/>
        </w:trPr>
        <w:tc>
          <w:tcPr>
            <w:tcW w:w="350" w:type="dxa"/>
            <w:tcBorders>
              <w:top w:val="nil"/>
              <w:left w:val="nil"/>
              <w:bottom w:val="nil"/>
            </w:tcBorders>
            <w:shd w:val="clear" w:color="auto" w:fill="auto"/>
            <w:vAlign w:val="bottom"/>
            <w:hideMark/>
          </w:tcPr>
          <w:p w14:paraId="1D2005BD" w14:textId="77777777" w:rsidR="00822434" w:rsidRPr="00822434" w:rsidRDefault="00822434" w:rsidP="00822434">
            <w:pPr>
              <w:spacing w:after="0" w:line="240" w:lineRule="auto"/>
              <w:ind w:firstLine="0"/>
              <w:jc w:val="center"/>
              <w:rPr>
                <w:rFonts w:cstheme="minorHAnsi"/>
                <w:color w:val="000000" w:themeColor="text1"/>
                <w:sz w:val="18"/>
                <w:szCs w:val="20"/>
              </w:rPr>
            </w:pPr>
          </w:p>
        </w:tc>
        <w:tc>
          <w:tcPr>
            <w:tcW w:w="2980" w:type="dxa"/>
            <w:tcBorders>
              <w:top w:val="nil"/>
              <w:bottom w:val="nil"/>
            </w:tcBorders>
            <w:shd w:val="clear" w:color="auto" w:fill="auto"/>
            <w:noWrap/>
            <w:vAlign w:val="bottom"/>
            <w:hideMark/>
          </w:tcPr>
          <w:p w14:paraId="7088D256"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NBEDU</w:t>
            </w:r>
          </w:p>
        </w:tc>
        <w:tc>
          <w:tcPr>
            <w:tcW w:w="1639" w:type="dxa"/>
            <w:tcBorders>
              <w:top w:val="nil"/>
              <w:bottom w:val="nil"/>
            </w:tcBorders>
            <w:shd w:val="clear" w:color="auto" w:fill="auto"/>
            <w:noWrap/>
            <w:vAlign w:val="bottom"/>
            <w:hideMark/>
          </w:tcPr>
          <w:p w14:paraId="4BFA33AA"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0.119</w:t>
            </w:r>
          </w:p>
        </w:tc>
        <w:tc>
          <w:tcPr>
            <w:tcW w:w="1640" w:type="dxa"/>
            <w:tcBorders>
              <w:top w:val="nil"/>
              <w:bottom w:val="nil"/>
            </w:tcBorders>
            <w:shd w:val="clear" w:color="auto" w:fill="auto"/>
            <w:noWrap/>
            <w:vAlign w:val="bottom"/>
            <w:hideMark/>
          </w:tcPr>
          <w:p w14:paraId="589CD580"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0.139</w:t>
            </w:r>
          </w:p>
        </w:tc>
        <w:tc>
          <w:tcPr>
            <w:tcW w:w="1640" w:type="dxa"/>
            <w:tcBorders>
              <w:top w:val="nil"/>
              <w:bottom w:val="nil"/>
              <w:right w:val="nil"/>
            </w:tcBorders>
            <w:shd w:val="clear" w:color="auto" w:fill="auto"/>
            <w:vAlign w:val="bottom"/>
            <w:hideMark/>
          </w:tcPr>
          <w:p w14:paraId="13B77A0D"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0.237</w:t>
            </w:r>
          </w:p>
        </w:tc>
      </w:tr>
      <w:tr w:rsidR="00822434" w:rsidRPr="00822434" w14:paraId="11C42E94" w14:textId="77777777" w:rsidTr="00822434">
        <w:trPr>
          <w:trHeight w:val="259"/>
        </w:trPr>
        <w:tc>
          <w:tcPr>
            <w:tcW w:w="350" w:type="dxa"/>
            <w:tcBorders>
              <w:top w:val="nil"/>
              <w:left w:val="nil"/>
              <w:bottom w:val="nil"/>
            </w:tcBorders>
            <w:shd w:val="clear" w:color="auto" w:fill="auto"/>
            <w:vAlign w:val="bottom"/>
            <w:hideMark/>
          </w:tcPr>
          <w:p w14:paraId="13DABACE" w14:textId="77777777" w:rsidR="00822434" w:rsidRPr="00822434" w:rsidRDefault="00822434" w:rsidP="00822434">
            <w:pPr>
              <w:spacing w:after="0" w:line="240" w:lineRule="auto"/>
              <w:ind w:firstLine="0"/>
              <w:jc w:val="center"/>
              <w:rPr>
                <w:rFonts w:cstheme="minorHAnsi"/>
                <w:color w:val="000000" w:themeColor="text1"/>
                <w:sz w:val="18"/>
                <w:szCs w:val="20"/>
              </w:rPr>
            </w:pPr>
          </w:p>
        </w:tc>
        <w:tc>
          <w:tcPr>
            <w:tcW w:w="2980" w:type="dxa"/>
            <w:tcBorders>
              <w:top w:val="nil"/>
              <w:bottom w:val="nil"/>
            </w:tcBorders>
            <w:shd w:val="clear" w:color="auto" w:fill="auto"/>
            <w:noWrap/>
            <w:vAlign w:val="bottom"/>
            <w:hideMark/>
          </w:tcPr>
          <w:p w14:paraId="493D1F84" w14:textId="77777777" w:rsidR="00822434" w:rsidRPr="00822434" w:rsidRDefault="00822434" w:rsidP="00822434">
            <w:pPr>
              <w:spacing w:after="0" w:line="240" w:lineRule="auto"/>
              <w:ind w:firstLine="0"/>
              <w:rPr>
                <w:rFonts w:cstheme="minorHAnsi"/>
                <w:color w:val="000000" w:themeColor="text1"/>
                <w:sz w:val="18"/>
                <w:szCs w:val="20"/>
              </w:rPr>
            </w:pPr>
          </w:p>
        </w:tc>
        <w:tc>
          <w:tcPr>
            <w:tcW w:w="1639" w:type="dxa"/>
            <w:tcBorders>
              <w:top w:val="nil"/>
              <w:bottom w:val="nil"/>
            </w:tcBorders>
            <w:shd w:val="clear" w:color="auto" w:fill="auto"/>
            <w:vAlign w:val="bottom"/>
            <w:hideMark/>
          </w:tcPr>
          <w:p w14:paraId="48EEF683"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(0.000)</w:t>
            </w:r>
          </w:p>
        </w:tc>
        <w:tc>
          <w:tcPr>
            <w:tcW w:w="1640" w:type="dxa"/>
            <w:tcBorders>
              <w:top w:val="nil"/>
              <w:bottom w:val="nil"/>
            </w:tcBorders>
            <w:shd w:val="clear" w:color="auto" w:fill="auto"/>
            <w:vAlign w:val="bottom"/>
            <w:hideMark/>
          </w:tcPr>
          <w:p w14:paraId="1273E2CC"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(0.000)</w:t>
            </w:r>
          </w:p>
        </w:tc>
        <w:tc>
          <w:tcPr>
            <w:tcW w:w="1640" w:type="dxa"/>
            <w:tcBorders>
              <w:top w:val="nil"/>
              <w:bottom w:val="nil"/>
              <w:right w:val="nil"/>
            </w:tcBorders>
            <w:shd w:val="clear" w:color="auto" w:fill="auto"/>
            <w:noWrap/>
            <w:vAlign w:val="bottom"/>
            <w:hideMark/>
          </w:tcPr>
          <w:p w14:paraId="02D07279"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(0.003)</w:t>
            </w:r>
          </w:p>
        </w:tc>
      </w:tr>
      <w:tr w:rsidR="00822434" w:rsidRPr="00822434" w14:paraId="09D7CD9E" w14:textId="77777777" w:rsidTr="00822434">
        <w:trPr>
          <w:trHeight w:val="259"/>
        </w:trPr>
        <w:tc>
          <w:tcPr>
            <w:tcW w:w="350" w:type="dxa"/>
            <w:tcBorders>
              <w:top w:val="nil"/>
              <w:left w:val="nil"/>
              <w:bottom w:val="nil"/>
            </w:tcBorders>
            <w:shd w:val="clear" w:color="auto" w:fill="auto"/>
            <w:vAlign w:val="bottom"/>
            <w:hideMark/>
          </w:tcPr>
          <w:p w14:paraId="2E3B9419" w14:textId="77777777" w:rsidR="00822434" w:rsidRPr="00822434" w:rsidRDefault="00822434" w:rsidP="00822434">
            <w:pPr>
              <w:spacing w:after="0" w:line="240" w:lineRule="auto"/>
              <w:ind w:firstLine="0"/>
              <w:jc w:val="center"/>
              <w:rPr>
                <w:rFonts w:cstheme="minorHAnsi"/>
                <w:color w:val="000000" w:themeColor="text1"/>
                <w:sz w:val="18"/>
                <w:szCs w:val="20"/>
              </w:rPr>
            </w:pPr>
          </w:p>
        </w:tc>
        <w:tc>
          <w:tcPr>
            <w:tcW w:w="2980" w:type="dxa"/>
            <w:tcBorders>
              <w:top w:val="nil"/>
              <w:bottom w:val="nil"/>
            </w:tcBorders>
            <w:shd w:val="clear" w:color="auto" w:fill="auto"/>
            <w:noWrap/>
            <w:vAlign w:val="bottom"/>
            <w:hideMark/>
          </w:tcPr>
          <w:p w14:paraId="3EAD53A1"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NBEDU_MEAN</w:t>
            </w:r>
          </w:p>
        </w:tc>
        <w:tc>
          <w:tcPr>
            <w:tcW w:w="1639" w:type="dxa"/>
            <w:tcBorders>
              <w:top w:val="nil"/>
              <w:bottom w:val="nil"/>
            </w:tcBorders>
            <w:shd w:val="clear" w:color="auto" w:fill="auto"/>
            <w:noWrap/>
            <w:vAlign w:val="bottom"/>
            <w:hideMark/>
          </w:tcPr>
          <w:p w14:paraId="1A6E2B72"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 </w:t>
            </w:r>
          </w:p>
        </w:tc>
        <w:tc>
          <w:tcPr>
            <w:tcW w:w="1640" w:type="dxa"/>
            <w:tcBorders>
              <w:top w:val="nil"/>
              <w:bottom w:val="nil"/>
            </w:tcBorders>
            <w:shd w:val="clear" w:color="auto" w:fill="auto"/>
            <w:vAlign w:val="bottom"/>
            <w:hideMark/>
          </w:tcPr>
          <w:p w14:paraId="0F8573BB"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 </w:t>
            </w:r>
          </w:p>
        </w:tc>
        <w:tc>
          <w:tcPr>
            <w:tcW w:w="1640" w:type="dxa"/>
            <w:tcBorders>
              <w:top w:val="nil"/>
              <w:bottom w:val="nil"/>
              <w:right w:val="nil"/>
            </w:tcBorders>
            <w:shd w:val="clear" w:color="auto" w:fill="auto"/>
            <w:noWrap/>
            <w:vAlign w:val="bottom"/>
            <w:hideMark/>
          </w:tcPr>
          <w:p w14:paraId="0DB59312"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-0.031</w:t>
            </w:r>
          </w:p>
        </w:tc>
      </w:tr>
      <w:tr w:rsidR="00822434" w:rsidRPr="00822434" w14:paraId="04334EE0" w14:textId="77777777" w:rsidTr="00822434">
        <w:trPr>
          <w:trHeight w:val="259"/>
        </w:trPr>
        <w:tc>
          <w:tcPr>
            <w:tcW w:w="350" w:type="dxa"/>
            <w:tcBorders>
              <w:top w:val="nil"/>
              <w:left w:val="nil"/>
              <w:bottom w:val="nil"/>
            </w:tcBorders>
            <w:shd w:val="clear" w:color="auto" w:fill="auto"/>
            <w:noWrap/>
            <w:vAlign w:val="bottom"/>
            <w:hideMark/>
          </w:tcPr>
          <w:p w14:paraId="36F7E317" w14:textId="77777777" w:rsidR="00822434" w:rsidRPr="00822434" w:rsidRDefault="00822434" w:rsidP="00822434">
            <w:pPr>
              <w:spacing w:after="0" w:line="240" w:lineRule="auto"/>
              <w:ind w:firstLine="0"/>
              <w:jc w:val="center"/>
              <w:rPr>
                <w:rFonts w:cstheme="minorHAnsi"/>
                <w:color w:val="000000" w:themeColor="text1"/>
                <w:sz w:val="18"/>
                <w:szCs w:val="20"/>
              </w:rPr>
            </w:pPr>
          </w:p>
        </w:tc>
        <w:tc>
          <w:tcPr>
            <w:tcW w:w="2980" w:type="dxa"/>
            <w:tcBorders>
              <w:top w:val="nil"/>
              <w:bottom w:val="nil"/>
            </w:tcBorders>
            <w:shd w:val="clear" w:color="auto" w:fill="auto"/>
            <w:noWrap/>
            <w:vAlign w:val="bottom"/>
            <w:hideMark/>
          </w:tcPr>
          <w:p w14:paraId="5ECFC823" w14:textId="77777777" w:rsidR="00822434" w:rsidRPr="00822434" w:rsidRDefault="00822434" w:rsidP="00822434">
            <w:pPr>
              <w:spacing w:after="0" w:line="240" w:lineRule="auto"/>
              <w:ind w:firstLine="0"/>
              <w:rPr>
                <w:rFonts w:cstheme="minorHAnsi"/>
                <w:color w:val="000000" w:themeColor="text1"/>
                <w:sz w:val="18"/>
                <w:szCs w:val="20"/>
              </w:rPr>
            </w:pPr>
          </w:p>
        </w:tc>
        <w:tc>
          <w:tcPr>
            <w:tcW w:w="1639" w:type="dxa"/>
            <w:tcBorders>
              <w:top w:val="nil"/>
              <w:bottom w:val="nil"/>
            </w:tcBorders>
            <w:shd w:val="clear" w:color="auto" w:fill="auto"/>
            <w:vAlign w:val="bottom"/>
            <w:hideMark/>
          </w:tcPr>
          <w:p w14:paraId="643DDE4C"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 </w:t>
            </w:r>
          </w:p>
        </w:tc>
        <w:tc>
          <w:tcPr>
            <w:tcW w:w="1640" w:type="dxa"/>
            <w:tcBorders>
              <w:top w:val="nil"/>
              <w:bottom w:val="nil"/>
            </w:tcBorders>
            <w:shd w:val="clear" w:color="auto" w:fill="auto"/>
            <w:vAlign w:val="bottom"/>
            <w:hideMark/>
          </w:tcPr>
          <w:p w14:paraId="348605EB"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 </w:t>
            </w:r>
          </w:p>
        </w:tc>
        <w:tc>
          <w:tcPr>
            <w:tcW w:w="1640" w:type="dxa"/>
            <w:tcBorders>
              <w:top w:val="nil"/>
              <w:bottom w:val="nil"/>
              <w:right w:val="nil"/>
            </w:tcBorders>
            <w:shd w:val="clear" w:color="auto" w:fill="auto"/>
            <w:vAlign w:val="bottom"/>
            <w:hideMark/>
          </w:tcPr>
          <w:p w14:paraId="149DC8F6"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(0.011)</w:t>
            </w:r>
          </w:p>
        </w:tc>
      </w:tr>
      <w:tr w:rsidR="00822434" w:rsidRPr="00822434" w14:paraId="350FC2C0" w14:textId="77777777" w:rsidTr="00822434">
        <w:trPr>
          <w:trHeight w:val="259"/>
        </w:trPr>
        <w:tc>
          <w:tcPr>
            <w:tcW w:w="350" w:type="dxa"/>
            <w:tcBorders>
              <w:top w:val="nil"/>
              <w:left w:val="nil"/>
              <w:bottom w:val="nil"/>
            </w:tcBorders>
            <w:shd w:val="clear" w:color="auto" w:fill="auto"/>
            <w:noWrap/>
            <w:vAlign w:val="bottom"/>
            <w:hideMark/>
          </w:tcPr>
          <w:p w14:paraId="3F65A21F" w14:textId="77777777" w:rsidR="00822434" w:rsidRPr="00822434" w:rsidRDefault="00822434" w:rsidP="00822434">
            <w:pPr>
              <w:spacing w:after="0" w:line="240" w:lineRule="auto"/>
              <w:ind w:firstLine="0"/>
              <w:jc w:val="center"/>
              <w:rPr>
                <w:rFonts w:cstheme="minorHAnsi"/>
                <w:color w:val="000000" w:themeColor="text1"/>
                <w:sz w:val="18"/>
                <w:szCs w:val="20"/>
              </w:rPr>
            </w:pPr>
          </w:p>
        </w:tc>
        <w:tc>
          <w:tcPr>
            <w:tcW w:w="2980" w:type="dxa"/>
            <w:tcBorders>
              <w:top w:val="nil"/>
              <w:bottom w:val="nil"/>
            </w:tcBorders>
            <w:shd w:val="clear" w:color="auto" w:fill="auto"/>
            <w:noWrap/>
            <w:vAlign w:val="bottom"/>
            <w:hideMark/>
          </w:tcPr>
          <w:p w14:paraId="39094253"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NBEDU× NBEDU_MEAN</w:t>
            </w:r>
          </w:p>
        </w:tc>
        <w:tc>
          <w:tcPr>
            <w:tcW w:w="1639" w:type="dxa"/>
            <w:tcBorders>
              <w:top w:val="nil"/>
              <w:bottom w:val="nil"/>
            </w:tcBorders>
            <w:shd w:val="clear" w:color="auto" w:fill="auto"/>
            <w:noWrap/>
            <w:vAlign w:val="bottom"/>
            <w:hideMark/>
          </w:tcPr>
          <w:p w14:paraId="3342336F"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 </w:t>
            </w:r>
          </w:p>
        </w:tc>
        <w:tc>
          <w:tcPr>
            <w:tcW w:w="1640" w:type="dxa"/>
            <w:tcBorders>
              <w:top w:val="nil"/>
              <w:bottom w:val="nil"/>
            </w:tcBorders>
            <w:shd w:val="clear" w:color="auto" w:fill="auto"/>
            <w:noWrap/>
            <w:vAlign w:val="bottom"/>
            <w:hideMark/>
          </w:tcPr>
          <w:p w14:paraId="0DBBF588"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 </w:t>
            </w:r>
          </w:p>
        </w:tc>
        <w:tc>
          <w:tcPr>
            <w:tcW w:w="1640" w:type="dxa"/>
            <w:tcBorders>
              <w:top w:val="nil"/>
              <w:bottom w:val="nil"/>
              <w:right w:val="nil"/>
            </w:tcBorders>
            <w:shd w:val="clear" w:color="auto" w:fill="auto"/>
            <w:vAlign w:val="bottom"/>
            <w:hideMark/>
          </w:tcPr>
          <w:p w14:paraId="7EC70B77"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-0.009</w:t>
            </w:r>
          </w:p>
        </w:tc>
      </w:tr>
      <w:tr w:rsidR="00822434" w:rsidRPr="00822434" w14:paraId="59E9158A" w14:textId="77777777" w:rsidTr="00822434">
        <w:trPr>
          <w:trHeight w:val="259"/>
        </w:trPr>
        <w:tc>
          <w:tcPr>
            <w:tcW w:w="350" w:type="dxa"/>
            <w:tcBorders>
              <w:top w:val="nil"/>
              <w:left w:val="nil"/>
              <w:bottom w:val="nil"/>
            </w:tcBorders>
            <w:shd w:val="clear" w:color="auto" w:fill="auto"/>
            <w:noWrap/>
            <w:vAlign w:val="bottom"/>
            <w:hideMark/>
          </w:tcPr>
          <w:p w14:paraId="38AF1698" w14:textId="77777777" w:rsidR="00822434" w:rsidRPr="00822434" w:rsidRDefault="00822434" w:rsidP="00822434">
            <w:pPr>
              <w:spacing w:after="0" w:line="240" w:lineRule="auto"/>
              <w:ind w:firstLine="0"/>
              <w:jc w:val="center"/>
              <w:rPr>
                <w:rFonts w:cstheme="minorHAnsi"/>
                <w:color w:val="000000" w:themeColor="text1"/>
                <w:sz w:val="18"/>
                <w:szCs w:val="20"/>
              </w:rPr>
            </w:pPr>
          </w:p>
        </w:tc>
        <w:tc>
          <w:tcPr>
            <w:tcW w:w="2980" w:type="dxa"/>
            <w:tcBorders>
              <w:top w:val="nil"/>
              <w:bottom w:val="nil"/>
            </w:tcBorders>
            <w:shd w:val="clear" w:color="auto" w:fill="auto"/>
            <w:noWrap/>
            <w:vAlign w:val="bottom"/>
            <w:hideMark/>
          </w:tcPr>
          <w:p w14:paraId="30028CB4" w14:textId="77777777" w:rsidR="00822434" w:rsidRPr="00822434" w:rsidRDefault="00822434" w:rsidP="00822434">
            <w:pPr>
              <w:spacing w:after="0" w:line="240" w:lineRule="auto"/>
              <w:ind w:firstLine="0"/>
              <w:rPr>
                <w:rFonts w:cstheme="minorHAnsi"/>
                <w:color w:val="000000" w:themeColor="text1"/>
                <w:sz w:val="18"/>
                <w:szCs w:val="20"/>
              </w:rPr>
            </w:pPr>
          </w:p>
        </w:tc>
        <w:tc>
          <w:tcPr>
            <w:tcW w:w="1639" w:type="dxa"/>
            <w:tcBorders>
              <w:top w:val="nil"/>
              <w:bottom w:val="nil"/>
            </w:tcBorders>
            <w:shd w:val="clear" w:color="auto" w:fill="auto"/>
            <w:vAlign w:val="bottom"/>
            <w:hideMark/>
          </w:tcPr>
          <w:p w14:paraId="6CDC93CE"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 </w:t>
            </w:r>
          </w:p>
        </w:tc>
        <w:tc>
          <w:tcPr>
            <w:tcW w:w="1640" w:type="dxa"/>
            <w:tcBorders>
              <w:top w:val="nil"/>
              <w:bottom w:val="nil"/>
            </w:tcBorders>
            <w:shd w:val="clear" w:color="auto" w:fill="auto"/>
            <w:vAlign w:val="bottom"/>
            <w:hideMark/>
          </w:tcPr>
          <w:p w14:paraId="651F2B70"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 </w:t>
            </w:r>
          </w:p>
        </w:tc>
        <w:tc>
          <w:tcPr>
            <w:tcW w:w="1640" w:type="dxa"/>
            <w:tcBorders>
              <w:top w:val="nil"/>
              <w:bottom w:val="nil"/>
              <w:right w:val="nil"/>
            </w:tcBorders>
            <w:shd w:val="clear" w:color="auto" w:fill="auto"/>
            <w:noWrap/>
            <w:vAlign w:val="bottom"/>
            <w:hideMark/>
          </w:tcPr>
          <w:p w14:paraId="77D24D36"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(0.000)</w:t>
            </w:r>
          </w:p>
        </w:tc>
      </w:tr>
      <w:tr w:rsidR="00822434" w:rsidRPr="00822434" w14:paraId="41421C4C" w14:textId="77777777" w:rsidTr="00822434">
        <w:trPr>
          <w:trHeight w:val="259"/>
        </w:trPr>
        <w:tc>
          <w:tcPr>
            <w:tcW w:w="350" w:type="dxa"/>
            <w:tcBorders>
              <w:top w:val="nil"/>
              <w:left w:val="nil"/>
              <w:bottom w:val="nil"/>
            </w:tcBorders>
            <w:shd w:val="clear" w:color="auto" w:fill="auto"/>
            <w:noWrap/>
            <w:vAlign w:val="bottom"/>
            <w:hideMark/>
          </w:tcPr>
          <w:p w14:paraId="5DEC31F6" w14:textId="77777777" w:rsidR="00822434" w:rsidRPr="00822434" w:rsidRDefault="00822434" w:rsidP="00822434">
            <w:pPr>
              <w:spacing w:after="0" w:line="240" w:lineRule="auto"/>
              <w:ind w:firstLine="0"/>
              <w:jc w:val="center"/>
              <w:rPr>
                <w:rFonts w:cstheme="minorHAnsi"/>
                <w:color w:val="000000" w:themeColor="text1"/>
                <w:sz w:val="18"/>
                <w:szCs w:val="20"/>
              </w:rPr>
            </w:pPr>
          </w:p>
        </w:tc>
        <w:tc>
          <w:tcPr>
            <w:tcW w:w="2980" w:type="dxa"/>
            <w:tcBorders>
              <w:top w:val="nil"/>
              <w:bottom w:val="nil"/>
            </w:tcBorders>
            <w:shd w:val="clear" w:color="auto" w:fill="auto"/>
            <w:noWrap/>
            <w:vAlign w:val="bottom"/>
            <w:hideMark/>
          </w:tcPr>
          <w:p w14:paraId="49459A9C"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Experience</w:t>
            </w:r>
          </w:p>
        </w:tc>
        <w:tc>
          <w:tcPr>
            <w:tcW w:w="1639" w:type="dxa"/>
            <w:tcBorders>
              <w:top w:val="nil"/>
              <w:bottom w:val="nil"/>
            </w:tcBorders>
            <w:shd w:val="clear" w:color="auto" w:fill="auto"/>
            <w:noWrap/>
            <w:vAlign w:val="bottom"/>
            <w:hideMark/>
          </w:tcPr>
          <w:p w14:paraId="0E493043"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0.073</w:t>
            </w:r>
          </w:p>
        </w:tc>
        <w:tc>
          <w:tcPr>
            <w:tcW w:w="1640" w:type="dxa"/>
            <w:tcBorders>
              <w:top w:val="nil"/>
              <w:bottom w:val="nil"/>
            </w:tcBorders>
            <w:shd w:val="clear" w:color="auto" w:fill="auto"/>
            <w:noWrap/>
            <w:vAlign w:val="bottom"/>
            <w:hideMark/>
          </w:tcPr>
          <w:p w14:paraId="28CD28CC"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0.075</w:t>
            </w:r>
          </w:p>
        </w:tc>
        <w:tc>
          <w:tcPr>
            <w:tcW w:w="1640" w:type="dxa"/>
            <w:tcBorders>
              <w:top w:val="nil"/>
              <w:bottom w:val="nil"/>
              <w:right w:val="nil"/>
            </w:tcBorders>
            <w:shd w:val="clear" w:color="auto" w:fill="auto"/>
            <w:noWrap/>
            <w:vAlign w:val="bottom"/>
            <w:hideMark/>
          </w:tcPr>
          <w:p w14:paraId="61A2E543"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0.075</w:t>
            </w:r>
          </w:p>
        </w:tc>
      </w:tr>
      <w:tr w:rsidR="00822434" w:rsidRPr="00822434" w14:paraId="005C324F" w14:textId="77777777" w:rsidTr="00822434">
        <w:trPr>
          <w:trHeight w:val="259"/>
        </w:trPr>
        <w:tc>
          <w:tcPr>
            <w:tcW w:w="350" w:type="dxa"/>
            <w:tcBorders>
              <w:top w:val="nil"/>
              <w:left w:val="nil"/>
              <w:bottom w:val="nil"/>
            </w:tcBorders>
            <w:shd w:val="clear" w:color="auto" w:fill="auto"/>
            <w:noWrap/>
            <w:vAlign w:val="bottom"/>
            <w:hideMark/>
          </w:tcPr>
          <w:p w14:paraId="20446B19" w14:textId="77777777" w:rsidR="00822434" w:rsidRPr="00822434" w:rsidRDefault="00822434" w:rsidP="00822434">
            <w:pPr>
              <w:spacing w:after="0" w:line="240" w:lineRule="auto"/>
              <w:ind w:firstLine="0"/>
              <w:jc w:val="center"/>
              <w:rPr>
                <w:rFonts w:cstheme="minorHAnsi"/>
                <w:color w:val="000000" w:themeColor="text1"/>
                <w:sz w:val="18"/>
                <w:szCs w:val="20"/>
              </w:rPr>
            </w:pPr>
          </w:p>
        </w:tc>
        <w:tc>
          <w:tcPr>
            <w:tcW w:w="2980" w:type="dxa"/>
            <w:tcBorders>
              <w:top w:val="nil"/>
              <w:bottom w:val="nil"/>
            </w:tcBorders>
            <w:shd w:val="clear" w:color="auto" w:fill="auto"/>
            <w:noWrap/>
            <w:vAlign w:val="bottom"/>
            <w:hideMark/>
          </w:tcPr>
          <w:p w14:paraId="7BCD6F9A" w14:textId="77777777" w:rsidR="00822434" w:rsidRPr="00822434" w:rsidRDefault="00822434" w:rsidP="00822434">
            <w:pPr>
              <w:spacing w:after="0" w:line="240" w:lineRule="auto"/>
              <w:ind w:firstLine="0"/>
              <w:rPr>
                <w:rFonts w:cstheme="minorHAnsi"/>
                <w:color w:val="000000" w:themeColor="text1"/>
                <w:sz w:val="18"/>
                <w:szCs w:val="20"/>
              </w:rPr>
            </w:pPr>
          </w:p>
        </w:tc>
        <w:tc>
          <w:tcPr>
            <w:tcW w:w="1639" w:type="dxa"/>
            <w:tcBorders>
              <w:top w:val="nil"/>
              <w:bottom w:val="nil"/>
            </w:tcBorders>
            <w:shd w:val="clear" w:color="auto" w:fill="auto"/>
            <w:noWrap/>
            <w:vAlign w:val="bottom"/>
            <w:hideMark/>
          </w:tcPr>
          <w:p w14:paraId="133F58C4"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(0.000)</w:t>
            </w:r>
          </w:p>
        </w:tc>
        <w:tc>
          <w:tcPr>
            <w:tcW w:w="1640" w:type="dxa"/>
            <w:tcBorders>
              <w:top w:val="nil"/>
              <w:bottom w:val="nil"/>
            </w:tcBorders>
            <w:shd w:val="clear" w:color="auto" w:fill="auto"/>
            <w:noWrap/>
            <w:vAlign w:val="bottom"/>
            <w:hideMark/>
          </w:tcPr>
          <w:p w14:paraId="003D0763"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(0.000)</w:t>
            </w:r>
          </w:p>
        </w:tc>
        <w:tc>
          <w:tcPr>
            <w:tcW w:w="1640" w:type="dxa"/>
            <w:tcBorders>
              <w:top w:val="nil"/>
              <w:bottom w:val="nil"/>
              <w:right w:val="nil"/>
            </w:tcBorders>
            <w:shd w:val="clear" w:color="auto" w:fill="auto"/>
            <w:noWrap/>
            <w:vAlign w:val="bottom"/>
            <w:hideMark/>
          </w:tcPr>
          <w:p w14:paraId="40510C93"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(0.000)</w:t>
            </w:r>
          </w:p>
        </w:tc>
      </w:tr>
      <w:tr w:rsidR="00822434" w:rsidRPr="00822434" w14:paraId="773271EB" w14:textId="77777777" w:rsidTr="00822434">
        <w:trPr>
          <w:trHeight w:val="259"/>
        </w:trPr>
        <w:tc>
          <w:tcPr>
            <w:tcW w:w="350" w:type="dxa"/>
            <w:tcBorders>
              <w:top w:val="nil"/>
              <w:left w:val="nil"/>
              <w:bottom w:val="nil"/>
            </w:tcBorders>
            <w:shd w:val="clear" w:color="auto" w:fill="auto"/>
            <w:noWrap/>
            <w:vAlign w:val="bottom"/>
            <w:hideMark/>
          </w:tcPr>
          <w:p w14:paraId="6C02A676" w14:textId="77777777" w:rsidR="00822434" w:rsidRPr="00822434" w:rsidRDefault="00822434" w:rsidP="00822434">
            <w:pPr>
              <w:spacing w:after="0" w:line="240" w:lineRule="auto"/>
              <w:ind w:firstLine="0"/>
              <w:jc w:val="center"/>
              <w:rPr>
                <w:rFonts w:cstheme="minorHAnsi"/>
                <w:color w:val="000000" w:themeColor="text1"/>
                <w:sz w:val="18"/>
                <w:szCs w:val="20"/>
              </w:rPr>
            </w:pPr>
          </w:p>
        </w:tc>
        <w:tc>
          <w:tcPr>
            <w:tcW w:w="2980" w:type="dxa"/>
            <w:tcBorders>
              <w:top w:val="nil"/>
              <w:bottom w:val="nil"/>
            </w:tcBorders>
            <w:shd w:val="clear" w:color="auto" w:fill="auto"/>
            <w:noWrap/>
            <w:vAlign w:val="bottom"/>
            <w:hideMark/>
          </w:tcPr>
          <w:p w14:paraId="3CB8EBB0"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Experience</w:t>
            </w:r>
            <w:r w:rsidRPr="00822434">
              <w:rPr>
                <w:rFonts w:cstheme="minorHAnsi"/>
                <w:color w:val="000000" w:themeColor="text1"/>
                <w:sz w:val="18"/>
                <w:szCs w:val="20"/>
                <w:vertAlign w:val="superscript"/>
              </w:rPr>
              <w:t>2</w:t>
            </w:r>
          </w:p>
        </w:tc>
        <w:tc>
          <w:tcPr>
            <w:tcW w:w="1639" w:type="dxa"/>
            <w:tcBorders>
              <w:top w:val="nil"/>
              <w:bottom w:val="nil"/>
            </w:tcBorders>
            <w:shd w:val="clear" w:color="auto" w:fill="auto"/>
            <w:noWrap/>
            <w:vAlign w:val="bottom"/>
            <w:hideMark/>
          </w:tcPr>
          <w:p w14:paraId="1D3699AE"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-0.001</w:t>
            </w:r>
          </w:p>
        </w:tc>
        <w:tc>
          <w:tcPr>
            <w:tcW w:w="1640" w:type="dxa"/>
            <w:tcBorders>
              <w:top w:val="nil"/>
              <w:bottom w:val="nil"/>
            </w:tcBorders>
            <w:shd w:val="clear" w:color="auto" w:fill="auto"/>
            <w:vAlign w:val="bottom"/>
            <w:hideMark/>
          </w:tcPr>
          <w:p w14:paraId="52B25A69"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-0.001</w:t>
            </w:r>
          </w:p>
        </w:tc>
        <w:tc>
          <w:tcPr>
            <w:tcW w:w="1640" w:type="dxa"/>
            <w:tcBorders>
              <w:top w:val="nil"/>
              <w:bottom w:val="nil"/>
              <w:right w:val="nil"/>
            </w:tcBorders>
            <w:shd w:val="clear" w:color="auto" w:fill="auto"/>
            <w:vAlign w:val="bottom"/>
            <w:hideMark/>
          </w:tcPr>
          <w:p w14:paraId="1F4362CF"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-0.001</w:t>
            </w:r>
          </w:p>
        </w:tc>
      </w:tr>
      <w:tr w:rsidR="00822434" w:rsidRPr="00822434" w14:paraId="063882EC" w14:textId="77777777" w:rsidTr="00822434">
        <w:trPr>
          <w:trHeight w:val="259"/>
        </w:trPr>
        <w:tc>
          <w:tcPr>
            <w:tcW w:w="350" w:type="dxa"/>
            <w:tcBorders>
              <w:top w:val="nil"/>
              <w:left w:val="nil"/>
              <w:bottom w:val="nil"/>
            </w:tcBorders>
            <w:shd w:val="clear" w:color="auto" w:fill="auto"/>
            <w:noWrap/>
            <w:vAlign w:val="bottom"/>
            <w:hideMark/>
          </w:tcPr>
          <w:p w14:paraId="65493297" w14:textId="77777777" w:rsidR="00822434" w:rsidRPr="00822434" w:rsidRDefault="00822434" w:rsidP="00822434">
            <w:pPr>
              <w:spacing w:after="0" w:line="240" w:lineRule="auto"/>
              <w:ind w:firstLine="0"/>
              <w:jc w:val="center"/>
              <w:rPr>
                <w:rFonts w:cstheme="minorHAnsi"/>
                <w:color w:val="000000" w:themeColor="text1"/>
                <w:sz w:val="18"/>
                <w:szCs w:val="20"/>
              </w:rPr>
            </w:pPr>
          </w:p>
        </w:tc>
        <w:tc>
          <w:tcPr>
            <w:tcW w:w="2980" w:type="dxa"/>
            <w:tcBorders>
              <w:top w:val="nil"/>
              <w:bottom w:val="nil"/>
            </w:tcBorders>
            <w:shd w:val="clear" w:color="auto" w:fill="auto"/>
            <w:noWrap/>
            <w:vAlign w:val="bottom"/>
            <w:hideMark/>
          </w:tcPr>
          <w:p w14:paraId="4426AC30" w14:textId="77777777" w:rsidR="00822434" w:rsidRPr="00822434" w:rsidRDefault="00822434" w:rsidP="00822434">
            <w:pPr>
              <w:spacing w:after="0" w:line="240" w:lineRule="auto"/>
              <w:ind w:firstLine="0"/>
              <w:rPr>
                <w:rFonts w:cstheme="minorHAnsi"/>
                <w:color w:val="000000" w:themeColor="text1"/>
                <w:sz w:val="18"/>
                <w:szCs w:val="20"/>
              </w:rPr>
            </w:pPr>
          </w:p>
        </w:tc>
        <w:tc>
          <w:tcPr>
            <w:tcW w:w="1639" w:type="dxa"/>
            <w:tcBorders>
              <w:top w:val="nil"/>
              <w:bottom w:val="nil"/>
            </w:tcBorders>
            <w:shd w:val="clear" w:color="auto" w:fill="auto"/>
            <w:noWrap/>
            <w:vAlign w:val="bottom"/>
            <w:hideMark/>
          </w:tcPr>
          <w:p w14:paraId="1AA88568"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(0.000)</w:t>
            </w:r>
          </w:p>
        </w:tc>
        <w:tc>
          <w:tcPr>
            <w:tcW w:w="1640" w:type="dxa"/>
            <w:tcBorders>
              <w:top w:val="nil"/>
              <w:bottom w:val="nil"/>
            </w:tcBorders>
            <w:shd w:val="clear" w:color="auto" w:fill="auto"/>
            <w:vAlign w:val="bottom"/>
            <w:hideMark/>
          </w:tcPr>
          <w:p w14:paraId="4E12A3B3"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(0.000)</w:t>
            </w:r>
          </w:p>
        </w:tc>
        <w:tc>
          <w:tcPr>
            <w:tcW w:w="1640" w:type="dxa"/>
            <w:tcBorders>
              <w:top w:val="nil"/>
              <w:bottom w:val="nil"/>
              <w:right w:val="nil"/>
            </w:tcBorders>
            <w:shd w:val="clear" w:color="auto" w:fill="auto"/>
            <w:vAlign w:val="bottom"/>
            <w:hideMark/>
          </w:tcPr>
          <w:p w14:paraId="3C1ED75B"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(0.000)</w:t>
            </w:r>
          </w:p>
        </w:tc>
      </w:tr>
      <w:tr w:rsidR="00822434" w:rsidRPr="00822434" w14:paraId="56909275" w14:textId="77777777" w:rsidTr="00822434">
        <w:trPr>
          <w:trHeight w:val="259"/>
        </w:trPr>
        <w:tc>
          <w:tcPr>
            <w:tcW w:w="350" w:type="dxa"/>
            <w:tcBorders>
              <w:top w:val="nil"/>
              <w:left w:val="nil"/>
              <w:bottom w:val="nil"/>
            </w:tcBorders>
            <w:shd w:val="clear" w:color="auto" w:fill="auto"/>
            <w:noWrap/>
            <w:vAlign w:val="bottom"/>
            <w:hideMark/>
          </w:tcPr>
          <w:p w14:paraId="41034870" w14:textId="77777777" w:rsidR="00822434" w:rsidRPr="00822434" w:rsidRDefault="00822434" w:rsidP="00822434">
            <w:pPr>
              <w:spacing w:after="0" w:line="240" w:lineRule="auto"/>
              <w:ind w:firstLine="0"/>
              <w:jc w:val="center"/>
              <w:rPr>
                <w:rFonts w:cstheme="minorHAnsi"/>
                <w:color w:val="000000" w:themeColor="text1"/>
                <w:sz w:val="18"/>
                <w:szCs w:val="20"/>
              </w:rPr>
            </w:pPr>
          </w:p>
        </w:tc>
        <w:tc>
          <w:tcPr>
            <w:tcW w:w="2980" w:type="dxa"/>
            <w:tcBorders>
              <w:top w:val="nil"/>
              <w:bottom w:val="nil"/>
            </w:tcBorders>
            <w:shd w:val="clear" w:color="auto" w:fill="auto"/>
            <w:noWrap/>
            <w:vAlign w:val="bottom"/>
            <w:hideMark/>
          </w:tcPr>
          <w:p w14:paraId="35FECD13"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SEX=Male</w:t>
            </w:r>
          </w:p>
        </w:tc>
        <w:tc>
          <w:tcPr>
            <w:tcW w:w="1639" w:type="dxa"/>
            <w:tcBorders>
              <w:top w:val="nil"/>
              <w:bottom w:val="nil"/>
            </w:tcBorders>
            <w:shd w:val="clear" w:color="auto" w:fill="auto"/>
            <w:noWrap/>
            <w:vAlign w:val="bottom"/>
            <w:hideMark/>
          </w:tcPr>
          <w:p w14:paraId="0B0E2A52"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0.502</w:t>
            </w:r>
          </w:p>
        </w:tc>
        <w:tc>
          <w:tcPr>
            <w:tcW w:w="1640" w:type="dxa"/>
            <w:tcBorders>
              <w:top w:val="nil"/>
              <w:bottom w:val="nil"/>
            </w:tcBorders>
            <w:shd w:val="clear" w:color="auto" w:fill="auto"/>
            <w:noWrap/>
            <w:vAlign w:val="bottom"/>
            <w:hideMark/>
          </w:tcPr>
          <w:p w14:paraId="397A4C27"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0.481</w:t>
            </w:r>
          </w:p>
        </w:tc>
        <w:tc>
          <w:tcPr>
            <w:tcW w:w="1640" w:type="dxa"/>
            <w:tcBorders>
              <w:top w:val="nil"/>
              <w:bottom w:val="nil"/>
              <w:right w:val="nil"/>
            </w:tcBorders>
            <w:shd w:val="clear" w:color="auto" w:fill="auto"/>
            <w:noWrap/>
            <w:vAlign w:val="bottom"/>
            <w:hideMark/>
          </w:tcPr>
          <w:p w14:paraId="23C84F22"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0.481</w:t>
            </w:r>
          </w:p>
        </w:tc>
      </w:tr>
      <w:tr w:rsidR="00822434" w:rsidRPr="00822434" w14:paraId="10CD4FDA" w14:textId="77777777" w:rsidTr="00822434">
        <w:trPr>
          <w:trHeight w:val="259"/>
        </w:trPr>
        <w:tc>
          <w:tcPr>
            <w:tcW w:w="350" w:type="dxa"/>
            <w:tcBorders>
              <w:top w:val="nil"/>
              <w:left w:val="nil"/>
              <w:bottom w:val="single" w:sz="4" w:space="0" w:color="auto"/>
            </w:tcBorders>
            <w:shd w:val="clear" w:color="auto" w:fill="auto"/>
            <w:noWrap/>
            <w:vAlign w:val="bottom"/>
            <w:hideMark/>
          </w:tcPr>
          <w:p w14:paraId="034F7ACF"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 </w:t>
            </w:r>
          </w:p>
        </w:tc>
        <w:tc>
          <w:tcPr>
            <w:tcW w:w="2980" w:type="dxa"/>
            <w:tcBorders>
              <w:top w:val="nil"/>
              <w:bottom w:val="single" w:sz="4" w:space="0" w:color="auto"/>
            </w:tcBorders>
            <w:shd w:val="clear" w:color="auto" w:fill="auto"/>
            <w:noWrap/>
            <w:vAlign w:val="bottom"/>
            <w:hideMark/>
          </w:tcPr>
          <w:p w14:paraId="1B2704AF"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 </w:t>
            </w:r>
          </w:p>
        </w:tc>
        <w:tc>
          <w:tcPr>
            <w:tcW w:w="1639" w:type="dxa"/>
            <w:tcBorders>
              <w:top w:val="nil"/>
              <w:bottom w:val="nil"/>
            </w:tcBorders>
            <w:shd w:val="clear" w:color="auto" w:fill="auto"/>
            <w:noWrap/>
            <w:vAlign w:val="bottom"/>
            <w:hideMark/>
          </w:tcPr>
          <w:p w14:paraId="42EB6ADE"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(0.002)</w:t>
            </w:r>
          </w:p>
        </w:tc>
        <w:tc>
          <w:tcPr>
            <w:tcW w:w="1640" w:type="dxa"/>
            <w:tcBorders>
              <w:top w:val="nil"/>
              <w:bottom w:val="nil"/>
            </w:tcBorders>
            <w:shd w:val="clear" w:color="auto" w:fill="auto"/>
            <w:noWrap/>
            <w:vAlign w:val="bottom"/>
            <w:hideMark/>
          </w:tcPr>
          <w:p w14:paraId="5C6FA774"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(0.002)</w:t>
            </w:r>
          </w:p>
        </w:tc>
        <w:tc>
          <w:tcPr>
            <w:tcW w:w="1640" w:type="dxa"/>
            <w:tcBorders>
              <w:top w:val="nil"/>
              <w:bottom w:val="nil"/>
              <w:right w:val="nil"/>
            </w:tcBorders>
            <w:shd w:val="clear" w:color="auto" w:fill="auto"/>
            <w:noWrap/>
            <w:vAlign w:val="bottom"/>
            <w:hideMark/>
          </w:tcPr>
          <w:p w14:paraId="4278010E" w14:textId="77777777" w:rsidR="00822434" w:rsidRPr="00822434" w:rsidRDefault="00822434" w:rsidP="00822434">
            <w:pPr>
              <w:tabs>
                <w:tab w:val="decimal" w:pos="613"/>
              </w:tabs>
              <w:spacing w:after="0" w:line="240" w:lineRule="auto"/>
              <w:ind w:firstLine="0"/>
              <w:rPr>
                <w:rFonts w:cstheme="minorHAnsi"/>
                <w:color w:val="000000" w:themeColor="text1"/>
                <w:sz w:val="18"/>
                <w:szCs w:val="20"/>
              </w:rPr>
            </w:pPr>
            <w:r w:rsidRPr="00822434">
              <w:rPr>
                <w:rFonts w:cstheme="minorHAnsi"/>
                <w:color w:val="000000" w:themeColor="text1"/>
                <w:sz w:val="18"/>
                <w:szCs w:val="20"/>
              </w:rPr>
              <w:t>(0.002)</w:t>
            </w:r>
          </w:p>
        </w:tc>
      </w:tr>
      <w:tr w:rsidR="00822434" w:rsidRPr="00822434" w14:paraId="76231020" w14:textId="77777777" w:rsidTr="00822434">
        <w:trPr>
          <w:trHeight w:val="259"/>
        </w:trPr>
        <w:tc>
          <w:tcPr>
            <w:tcW w:w="350" w:type="dxa"/>
            <w:tcBorders>
              <w:top w:val="nil"/>
              <w:left w:val="nil"/>
            </w:tcBorders>
            <w:shd w:val="clear" w:color="auto" w:fill="auto"/>
            <w:noWrap/>
            <w:vAlign w:val="bottom"/>
            <w:hideMark/>
          </w:tcPr>
          <w:p w14:paraId="2F7D28E6"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N</w:t>
            </w:r>
          </w:p>
        </w:tc>
        <w:tc>
          <w:tcPr>
            <w:tcW w:w="2980" w:type="dxa"/>
            <w:tcBorders>
              <w:top w:val="nil"/>
            </w:tcBorders>
            <w:shd w:val="clear" w:color="auto" w:fill="auto"/>
            <w:noWrap/>
            <w:vAlign w:val="bottom"/>
            <w:hideMark/>
          </w:tcPr>
          <w:p w14:paraId="6F96DD10" w14:textId="77777777" w:rsidR="00822434" w:rsidRPr="00822434" w:rsidRDefault="00822434" w:rsidP="00822434">
            <w:pPr>
              <w:spacing w:after="0" w:line="240" w:lineRule="auto"/>
              <w:ind w:firstLine="0"/>
              <w:rPr>
                <w:rFonts w:cstheme="minorHAnsi"/>
                <w:color w:val="000000" w:themeColor="text1"/>
                <w:sz w:val="18"/>
                <w:szCs w:val="20"/>
              </w:rPr>
            </w:pPr>
          </w:p>
        </w:tc>
        <w:tc>
          <w:tcPr>
            <w:tcW w:w="1639" w:type="dxa"/>
            <w:tcBorders>
              <w:top w:val="single" w:sz="4" w:space="0" w:color="auto"/>
            </w:tcBorders>
            <w:shd w:val="clear" w:color="auto" w:fill="auto"/>
            <w:noWrap/>
            <w:vAlign w:val="bottom"/>
            <w:hideMark/>
          </w:tcPr>
          <w:p w14:paraId="09ABA308" w14:textId="77777777" w:rsidR="00822434" w:rsidRPr="00822434" w:rsidRDefault="00822434" w:rsidP="00822434">
            <w:pPr>
              <w:spacing w:after="0" w:line="240" w:lineRule="auto"/>
              <w:ind w:firstLine="0"/>
              <w:jc w:val="center"/>
              <w:rPr>
                <w:rFonts w:cstheme="minorHAnsi"/>
                <w:color w:val="000000" w:themeColor="text1"/>
                <w:sz w:val="18"/>
                <w:szCs w:val="20"/>
              </w:rPr>
            </w:pPr>
            <w:r w:rsidRPr="00822434">
              <w:rPr>
                <w:rFonts w:cstheme="minorHAnsi"/>
                <w:color w:val="000000" w:themeColor="text1"/>
                <w:sz w:val="18"/>
                <w:szCs w:val="20"/>
              </w:rPr>
              <w:t>1,060,116</w:t>
            </w:r>
          </w:p>
        </w:tc>
        <w:tc>
          <w:tcPr>
            <w:tcW w:w="1640" w:type="dxa"/>
            <w:tcBorders>
              <w:top w:val="single" w:sz="4" w:space="0" w:color="auto"/>
            </w:tcBorders>
            <w:shd w:val="clear" w:color="auto" w:fill="auto"/>
            <w:noWrap/>
            <w:vAlign w:val="bottom"/>
            <w:hideMark/>
          </w:tcPr>
          <w:p w14:paraId="189A12E5" w14:textId="77777777" w:rsidR="00822434" w:rsidRPr="00822434" w:rsidRDefault="00822434" w:rsidP="00822434">
            <w:pPr>
              <w:spacing w:after="0" w:line="240" w:lineRule="auto"/>
              <w:ind w:firstLine="0"/>
              <w:jc w:val="center"/>
              <w:rPr>
                <w:rFonts w:cstheme="minorHAnsi"/>
                <w:color w:val="000000" w:themeColor="text1"/>
                <w:sz w:val="18"/>
                <w:szCs w:val="20"/>
              </w:rPr>
            </w:pPr>
            <w:r w:rsidRPr="00822434">
              <w:rPr>
                <w:rFonts w:cstheme="minorHAnsi"/>
                <w:color w:val="000000" w:themeColor="text1"/>
                <w:sz w:val="18"/>
                <w:szCs w:val="20"/>
              </w:rPr>
              <w:t>1,060,116</w:t>
            </w:r>
          </w:p>
        </w:tc>
        <w:tc>
          <w:tcPr>
            <w:tcW w:w="1640" w:type="dxa"/>
            <w:tcBorders>
              <w:top w:val="single" w:sz="4" w:space="0" w:color="auto"/>
              <w:right w:val="nil"/>
            </w:tcBorders>
            <w:shd w:val="clear" w:color="auto" w:fill="auto"/>
            <w:noWrap/>
            <w:vAlign w:val="bottom"/>
            <w:hideMark/>
          </w:tcPr>
          <w:p w14:paraId="69D39C60" w14:textId="77777777" w:rsidR="00822434" w:rsidRPr="00822434" w:rsidRDefault="00822434" w:rsidP="00822434">
            <w:pPr>
              <w:spacing w:after="0" w:line="240" w:lineRule="auto"/>
              <w:ind w:firstLine="0"/>
              <w:jc w:val="center"/>
              <w:rPr>
                <w:rFonts w:cstheme="minorHAnsi"/>
                <w:color w:val="000000" w:themeColor="text1"/>
                <w:sz w:val="18"/>
                <w:szCs w:val="20"/>
              </w:rPr>
            </w:pPr>
            <w:r w:rsidRPr="00822434">
              <w:rPr>
                <w:rFonts w:cstheme="minorHAnsi"/>
                <w:color w:val="000000" w:themeColor="text1"/>
                <w:sz w:val="18"/>
                <w:szCs w:val="20"/>
              </w:rPr>
              <w:t>1,060,116</w:t>
            </w:r>
          </w:p>
        </w:tc>
      </w:tr>
      <w:tr w:rsidR="00822434" w:rsidRPr="00822434" w14:paraId="44134336" w14:textId="77777777" w:rsidTr="00822434">
        <w:trPr>
          <w:trHeight w:val="259"/>
        </w:trPr>
        <w:tc>
          <w:tcPr>
            <w:tcW w:w="3330" w:type="dxa"/>
            <w:gridSpan w:val="2"/>
            <w:tcBorders>
              <w:top w:val="nil"/>
              <w:left w:val="nil"/>
              <w:bottom w:val="nil"/>
            </w:tcBorders>
            <w:shd w:val="clear" w:color="auto" w:fill="auto"/>
            <w:noWrap/>
            <w:vAlign w:val="bottom"/>
            <w:hideMark/>
          </w:tcPr>
          <w:p w14:paraId="3A2E8221"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Clusters</w:t>
            </w:r>
          </w:p>
        </w:tc>
        <w:tc>
          <w:tcPr>
            <w:tcW w:w="1639" w:type="dxa"/>
            <w:tcBorders>
              <w:top w:val="nil"/>
              <w:bottom w:val="nil"/>
            </w:tcBorders>
            <w:shd w:val="clear" w:color="auto" w:fill="auto"/>
            <w:noWrap/>
            <w:vAlign w:val="bottom"/>
            <w:hideMark/>
          </w:tcPr>
          <w:p w14:paraId="2542F20C" w14:textId="77777777" w:rsidR="00822434" w:rsidRPr="00822434" w:rsidRDefault="00822434" w:rsidP="00822434">
            <w:pPr>
              <w:spacing w:after="0" w:line="240" w:lineRule="auto"/>
              <w:ind w:firstLine="0"/>
              <w:jc w:val="center"/>
              <w:rPr>
                <w:rFonts w:cstheme="minorHAnsi"/>
                <w:color w:val="000000" w:themeColor="text1"/>
                <w:sz w:val="18"/>
                <w:szCs w:val="20"/>
              </w:rPr>
            </w:pPr>
            <w:r w:rsidRPr="00822434">
              <w:rPr>
                <w:rFonts w:cstheme="minorHAnsi"/>
                <w:color w:val="000000" w:themeColor="text1"/>
                <w:sz w:val="18"/>
                <w:szCs w:val="20"/>
              </w:rPr>
              <w:t> </w:t>
            </w:r>
          </w:p>
        </w:tc>
        <w:tc>
          <w:tcPr>
            <w:tcW w:w="1640" w:type="dxa"/>
            <w:tcBorders>
              <w:top w:val="nil"/>
              <w:bottom w:val="nil"/>
            </w:tcBorders>
            <w:shd w:val="clear" w:color="auto" w:fill="auto"/>
            <w:vAlign w:val="bottom"/>
            <w:hideMark/>
          </w:tcPr>
          <w:p w14:paraId="144C89D5" w14:textId="77777777" w:rsidR="00822434" w:rsidRPr="00822434" w:rsidRDefault="00822434" w:rsidP="00822434">
            <w:pPr>
              <w:spacing w:after="0" w:line="240" w:lineRule="auto"/>
              <w:ind w:firstLine="0"/>
              <w:jc w:val="center"/>
              <w:rPr>
                <w:rFonts w:cstheme="minorHAnsi"/>
                <w:color w:val="000000" w:themeColor="text1"/>
                <w:sz w:val="18"/>
                <w:szCs w:val="20"/>
              </w:rPr>
            </w:pPr>
            <w:r w:rsidRPr="00822434">
              <w:rPr>
                <w:rFonts w:cstheme="minorHAnsi"/>
                <w:color w:val="000000" w:themeColor="text1"/>
                <w:sz w:val="18"/>
                <w:szCs w:val="20"/>
              </w:rPr>
              <w:t>31</w:t>
            </w:r>
          </w:p>
        </w:tc>
        <w:tc>
          <w:tcPr>
            <w:tcW w:w="1640" w:type="dxa"/>
            <w:tcBorders>
              <w:top w:val="nil"/>
              <w:bottom w:val="nil"/>
              <w:right w:val="nil"/>
            </w:tcBorders>
            <w:shd w:val="clear" w:color="auto" w:fill="auto"/>
            <w:noWrap/>
            <w:vAlign w:val="bottom"/>
            <w:hideMark/>
          </w:tcPr>
          <w:p w14:paraId="57507131" w14:textId="77777777" w:rsidR="00822434" w:rsidRPr="00822434" w:rsidRDefault="00822434" w:rsidP="00822434">
            <w:pPr>
              <w:spacing w:after="0" w:line="240" w:lineRule="auto"/>
              <w:ind w:firstLine="0"/>
              <w:jc w:val="center"/>
              <w:rPr>
                <w:rFonts w:cstheme="minorHAnsi"/>
                <w:color w:val="000000" w:themeColor="text1"/>
                <w:sz w:val="18"/>
                <w:szCs w:val="20"/>
              </w:rPr>
            </w:pPr>
            <w:r w:rsidRPr="00822434">
              <w:rPr>
                <w:rFonts w:cstheme="minorHAnsi"/>
                <w:color w:val="000000" w:themeColor="text1"/>
                <w:sz w:val="18"/>
                <w:szCs w:val="20"/>
              </w:rPr>
              <w:t>31</w:t>
            </w:r>
          </w:p>
        </w:tc>
      </w:tr>
      <w:tr w:rsidR="00822434" w:rsidRPr="00822434" w14:paraId="7D03541F" w14:textId="77777777" w:rsidTr="00822434">
        <w:trPr>
          <w:trHeight w:val="259"/>
        </w:trPr>
        <w:tc>
          <w:tcPr>
            <w:tcW w:w="3330" w:type="dxa"/>
            <w:gridSpan w:val="2"/>
            <w:tcBorders>
              <w:top w:val="nil"/>
              <w:left w:val="nil"/>
              <w:bottom w:val="single" w:sz="4" w:space="0" w:color="auto"/>
            </w:tcBorders>
            <w:shd w:val="clear" w:color="auto" w:fill="auto"/>
            <w:noWrap/>
            <w:vAlign w:val="bottom"/>
            <w:hideMark/>
          </w:tcPr>
          <w:p w14:paraId="3206435D"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ICC</w:t>
            </w:r>
          </w:p>
        </w:tc>
        <w:tc>
          <w:tcPr>
            <w:tcW w:w="1639" w:type="dxa"/>
            <w:tcBorders>
              <w:top w:val="nil"/>
              <w:bottom w:val="single" w:sz="4" w:space="0" w:color="auto"/>
            </w:tcBorders>
            <w:shd w:val="clear" w:color="auto" w:fill="auto"/>
            <w:vAlign w:val="bottom"/>
            <w:hideMark/>
          </w:tcPr>
          <w:p w14:paraId="35530AF9" w14:textId="77777777" w:rsidR="00822434" w:rsidRPr="00822434" w:rsidRDefault="00822434" w:rsidP="00822434">
            <w:pPr>
              <w:spacing w:after="0" w:line="240" w:lineRule="auto"/>
              <w:ind w:firstLine="0"/>
              <w:rPr>
                <w:rFonts w:cstheme="minorHAnsi"/>
                <w:color w:val="000000" w:themeColor="text1"/>
                <w:sz w:val="18"/>
                <w:szCs w:val="20"/>
              </w:rPr>
            </w:pPr>
            <w:r w:rsidRPr="00822434">
              <w:rPr>
                <w:rFonts w:cstheme="minorHAnsi"/>
                <w:color w:val="000000" w:themeColor="text1"/>
                <w:sz w:val="18"/>
                <w:szCs w:val="20"/>
              </w:rPr>
              <w:t> </w:t>
            </w:r>
          </w:p>
        </w:tc>
        <w:tc>
          <w:tcPr>
            <w:tcW w:w="1640" w:type="dxa"/>
            <w:tcBorders>
              <w:top w:val="nil"/>
              <w:bottom w:val="single" w:sz="4" w:space="0" w:color="auto"/>
            </w:tcBorders>
            <w:shd w:val="clear" w:color="auto" w:fill="auto"/>
            <w:vAlign w:val="bottom"/>
            <w:hideMark/>
          </w:tcPr>
          <w:p w14:paraId="4DD8B12C" w14:textId="77777777" w:rsidR="00822434" w:rsidRPr="00822434" w:rsidRDefault="00822434" w:rsidP="00822434">
            <w:pPr>
              <w:spacing w:after="0" w:line="240" w:lineRule="auto"/>
              <w:ind w:firstLine="0"/>
              <w:jc w:val="center"/>
              <w:rPr>
                <w:rFonts w:cstheme="minorHAnsi"/>
                <w:color w:val="000000" w:themeColor="text1"/>
                <w:sz w:val="18"/>
                <w:szCs w:val="20"/>
              </w:rPr>
            </w:pPr>
            <w:r w:rsidRPr="00822434">
              <w:rPr>
                <w:rFonts w:cstheme="minorHAnsi"/>
                <w:color w:val="000000" w:themeColor="text1"/>
                <w:sz w:val="18"/>
                <w:szCs w:val="20"/>
              </w:rPr>
              <w:t>&lt;0.001</w:t>
            </w:r>
          </w:p>
        </w:tc>
        <w:tc>
          <w:tcPr>
            <w:tcW w:w="1640" w:type="dxa"/>
            <w:tcBorders>
              <w:top w:val="nil"/>
              <w:bottom w:val="single" w:sz="4" w:space="0" w:color="auto"/>
              <w:right w:val="nil"/>
            </w:tcBorders>
            <w:shd w:val="clear" w:color="auto" w:fill="auto"/>
            <w:vAlign w:val="bottom"/>
            <w:hideMark/>
          </w:tcPr>
          <w:p w14:paraId="0D11C01A" w14:textId="77777777" w:rsidR="00822434" w:rsidRPr="00822434" w:rsidRDefault="00822434" w:rsidP="00822434">
            <w:pPr>
              <w:spacing w:after="0" w:line="240" w:lineRule="auto"/>
              <w:ind w:firstLine="0"/>
              <w:jc w:val="center"/>
              <w:rPr>
                <w:rFonts w:cstheme="minorHAnsi"/>
                <w:color w:val="000000" w:themeColor="text1"/>
                <w:sz w:val="18"/>
                <w:szCs w:val="20"/>
              </w:rPr>
            </w:pPr>
            <w:r w:rsidRPr="00822434">
              <w:rPr>
                <w:rFonts w:cstheme="minorHAnsi"/>
                <w:color w:val="000000" w:themeColor="text1"/>
                <w:sz w:val="18"/>
                <w:szCs w:val="20"/>
              </w:rPr>
              <w:t>&lt;0.001</w:t>
            </w:r>
          </w:p>
        </w:tc>
      </w:tr>
      <w:tr w:rsidR="00822434" w:rsidRPr="00822434" w14:paraId="58952151" w14:textId="77777777" w:rsidTr="00822434">
        <w:trPr>
          <w:trHeight w:val="225"/>
        </w:trPr>
        <w:tc>
          <w:tcPr>
            <w:tcW w:w="8249" w:type="dxa"/>
            <w:gridSpan w:val="5"/>
            <w:tcBorders>
              <w:top w:val="single" w:sz="4" w:space="0" w:color="auto"/>
              <w:left w:val="nil"/>
              <w:bottom w:val="nil"/>
              <w:right w:val="nil"/>
            </w:tcBorders>
            <w:shd w:val="clear" w:color="auto" w:fill="auto"/>
            <w:noWrap/>
            <w:vAlign w:val="bottom"/>
          </w:tcPr>
          <w:p w14:paraId="03BF2FB0" w14:textId="77777777" w:rsidR="00822434" w:rsidRPr="00822434" w:rsidRDefault="00822434" w:rsidP="00822434">
            <w:pPr>
              <w:pStyle w:val="PRPRTabNote"/>
              <w:rPr>
                <w:rFonts w:asciiTheme="minorHAnsi" w:hAnsiTheme="minorHAnsi" w:cstheme="minorHAnsi"/>
              </w:rPr>
            </w:pPr>
            <w:r w:rsidRPr="00822434">
              <w:rPr>
                <w:rFonts w:asciiTheme="minorHAnsi" w:hAnsiTheme="minorHAnsi" w:cstheme="minorHAnsi"/>
                <w:i/>
                <w:iCs w:val="0"/>
                <w:lang w:val="en-CA"/>
              </w:rPr>
              <w:t>Note</w:t>
            </w:r>
            <w:r w:rsidRPr="00822434">
              <w:rPr>
                <w:rFonts w:asciiTheme="minorHAnsi" w:hAnsiTheme="minorHAnsi" w:cstheme="minorHAnsi"/>
                <w:lang w:val="en-CA"/>
              </w:rPr>
              <w:t xml:space="preserve">. Standard errors in parentheses. All parameters are significant at </w:t>
            </w:r>
            <w:r w:rsidRPr="00822434">
              <w:rPr>
                <w:rFonts w:asciiTheme="minorHAnsi" w:hAnsiTheme="minorHAnsi" w:cstheme="minorHAnsi"/>
                <w:i/>
                <w:iCs w:val="0"/>
                <w:lang w:val="en-CA"/>
              </w:rPr>
              <w:t>p</w:t>
            </w:r>
            <w:r w:rsidRPr="00822434">
              <w:rPr>
                <w:rFonts w:asciiTheme="minorHAnsi" w:hAnsiTheme="minorHAnsi" w:cstheme="minorHAnsi"/>
                <w:lang w:val="en-CA"/>
              </w:rPr>
              <w:t>&lt;0.0001</w:t>
            </w:r>
          </w:p>
        </w:tc>
      </w:tr>
    </w:tbl>
    <w:p w14:paraId="5BB0E41C" w14:textId="64823CCC" w:rsidR="000D25D0" w:rsidRPr="00822434" w:rsidRDefault="00B3651E" w:rsidP="003C5D34">
      <w:pPr>
        <w:pStyle w:val="PRPRManIndent"/>
        <w:rPr>
          <w:rFonts w:asciiTheme="minorHAnsi" w:hAnsiTheme="minorHAnsi" w:cstheme="minorHAnsi"/>
          <w:color w:val="000000" w:themeColor="text1"/>
        </w:rPr>
      </w:pPr>
      <w:r w:rsidRPr="00822434">
        <w:rPr>
          <w:rFonts w:asciiTheme="minorHAnsi" w:hAnsiTheme="minorHAnsi" w:cstheme="minorHAnsi"/>
          <w:color w:val="000000" w:themeColor="text1"/>
          <w:lang w:val="en-CA"/>
        </w:rPr>
        <w:lastRenderedPageBreak/>
        <w:t xml:space="preserve">declines in contexts where human capital is abundant. </w:t>
      </w:r>
      <w:r w:rsidR="00DF104C" w:rsidRPr="00822434">
        <w:rPr>
          <w:rFonts w:asciiTheme="minorHAnsi" w:hAnsiTheme="minorHAnsi" w:cstheme="minorHAnsi"/>
          <w:color w:val="000000" w:themeColor="text1"/>
          <w:lang w:val="en-CA"/>
        </w:rPr>
        <w:t xml:space="preserve">Moreover, the reduction in covariance from 0.097 in Model 2 to 0.023 in Model 3 indicates that the interaction term helps explain some of the previously unexplained variance across censuses. </w:t>
      </w:r>
      <w:r w:rsidR="005C2048" w:rsidRPr="00822434">
        <w:rPr>
          <w:rFonts w:asciiTheme="minorHAnsi" w:hAnsiTheme="minorHAnsi" w:cstheme="minorHAnsi"/>
          <w:color w:val="000000" w:themeColor="text1"/>
          <w:lang w:val="en-CA"/>
        </w:rPr>
        <w:t>Nevertheless, a</w:t>
      </w:r>
      <w:r w:rsidRPr="00822434">
        <w:rPr>
          <w:rFonts w:asciiTheme="minorHAnsi" w:hAnsiTheme="minorHAnsi" w:cstheme="minorHAnsi"/>
          <w:color w:val="000000" w:themeColor="text1"/>
        </w:rPr>
        <w:t xml:space="preserve">cross model specifications, the estimated parameters for NBEDU (years of schooling) remain remarkably consistent and comparable, underscoring the reliability of </w:t>
      </w:r>
      <w:r w:rsidR="000D25D0" w:rsidRPr="00822434">
        <w:rPr>
          <w:rFonts w:asciiTheme="minorHAnsi" w:hAnsiTheme="minorHAnsi" w:cstheme="minorHAnsi"/>
          <w:color w:val="000000" w:themeColor="text1"/>
        </w:rPr>
        <w:t>these coefficients.</w:t>
      </w:r>
    </w:p>
    <w:p w14:paraId="0F1E1759" w14:textId="39C7E073" w:rsidR="00B3651E" w:rsidRPr="0091267F" w:rsidRDefault="00B3651E" w:rsidP="003C5D34">
      <w:pPr>
        <w:pStyle w:val="PRPRManIndent"/>
        <w:rPr>
          <w:rFonts w:asciiTheme="minorHAnsi" w:hAnsiTheme="minorHAnsi" w:cstheme="minorHAnsi"/>
          <w:color w:val="000000" w:themeColor="text1"/>
          <w:lang w:val="en-CA"/>
        </w:rPr>
      </w:pPr>
      <w:r w:rsidRPr="00822434">
        <w:rPr>
          <w:rFonts w:asciiTheme="minorHAnsi" w:hAnsiTheme="minorHAnsi" w:cstheme="minorHAnsi"/>
          <w:color w:val="000000" w:themeColor="text1"/>
          <w:lang w:val="en-CA"/>
        </w:rPr>
        <w:t xml:space="preserve">Using parameters from the model in </w:t>
      </w:r>
      <w:r w:rsidR="00677148">
        <w:rPr>
          <w:rFonts w:asciiTheme="minorHAnsi" w:hAnsiTheme="minorHAnsi" w:cstheme="minorHAnsi"/>
          <w:color w:val="000000" w:themeColor="text1"/>
          <w:lang w:val="en-CA"/>
        </w:rPr>
        <w:t>E</w:t>
      </w:r>
      <w:r w:rsidRPr="00822434">
        <w:rPr>
          <w:rFonts w:asciiTheme="minorHAnsi" w:hAnsiTheme="minorHAnsi" w:cstheme="minorHAnsi"/>
          <w:color w:val="000000" w:themeColor="text1"/>
          <w:lang w:val="en-CA"/>
        </w:rPr>
        <w:t xml:space="preserve">quation </w:t>
      </w:r>
      <w:r w:rsidR="00677148">
        <w:rPr>
          <w:rFonts w:asciiTheme="minorHAnsi" w:hAnsiTheme="minorHAnsi" w:cstheme="minorHAnsi"/>
          <w:color w:val="000000" w:themeColor="text1"/>
          <w:lang w:val="en-CA"/>
        </w:rPr>
        <w:t>(</w:t>
      </w:r>
      <w:r w:rsidRPr="00822434">
        <w:rPr>
          <w:rFonts w:asciiTheme="minorHAnsi" w:hAnsiTheme="minorHAnsi" w:cstheme="minorHAnsi"/>
          <w:color w:val="000000" w:themeColor="text1"/>
          <w:lang w:val="en-CA"/>
        </w:rPr>
        <w:t>3</w:t>
      </w:r>
      <w:r w:rsidR="00677148">
        <w:rPr>
          <w:rFonts w:asciiTheme="minorHAnsi" w:hAnsiTheme="minorHAnsi" w:cstheme="minorHAnsi"/>
          <w:color w:val="000000" w:themeColor="text1"/>
          <w:lang w:val="en-CA"/>
        </w:rPr>
        <w:t>)</w:t>
      </w:r>
      <w:r w:rsidRPr="00822434">
        <w:rPr>
          <w:rFonts w:asciiTheme="minorHAnsi" w:hAnsiTheme="minorHAnsi" w:cstheme="minorHAnsi"/>
          <w:color w:val="000000" w:themeColor="text1"/>
          <w:lang w:val="en-CA"/>
        </w:rPr>
        <w:t xml:space="preserve">, we calculate relative weights (W) for each educational level (e), which vary depending on the population’s average years of schooling (NBEDU_MEAN) of the country (c) </w:t>
      </w:r>
      <w:proofErr w:type="gramStart"/>
      <w:r w:rsidRPr="00822434">
        <w:rPr>
          <w:rFonts w:asciiTheme="minorHAnsi" w:hAnsiTheme="minorHAnsi" w:cstheme="minorHAnsi"/>
          <w:color w:val="000000" w:themeColor="text1"/>
          <w:lang w:val="en-CA"/>
        </w:rPr>
        <w:t>in a given year</w:t>
      </w:r>
      <w:proofErr w:type="gramEnd"/>
      <w:r w:rsidRPr="00822434">
        <w:rPr>
          <w:rFonts w:asciiTheme="minorHAnsi" w:hAnsiTheme="minorHAnsi" w:cstheme="minorHAnsi"/>
          <w:color w:val="000000" w:themeColor="text1"/>
          <w:lang w:val="en-CA"/>
        </w:rPr>
        <w:t xml:space="preserve"> (t). We postulate that having less than primary completed (e1) corresponds to 1 year of schooling (NBEDU=1), primary completed (e2) to 6 years, lower secondary (e3) to 9 years, upper secondary (e4) to 12 years and postsecondary (e5) </w:t>
      </w:r>
      <w:r w:rsidRPr="0091267F">
        <w:rPr>
          <w:rFonts w:asciiTheme="minorHAnsi" w:hAnsiTheme="minorHAnsi" w:cstheme="minorHAnsi"/>
          <w:color w:val="000000" w:themeColor="text1"/>
          <w:lang w:val="en-CA"/>
        </w:rPr>
        <w:t>to 16 years. We normalize the weights making use of the value for the world average number of years of schooling in 2015 (9.3). The calculation of W is thus</w:t>
      </w:r>
      <w:r w:rsidR="003C5D34" w:rsidRPr="0091267F">
        <w:rPr>
          <w:rFonts w:asciiTheme="minorHAnsi" w:hAnsiTheme="minorHAnsi" w:cstheme="minorHAnsi"/>
          <w:color w:val="000000" w:themeColor="text1"/>
          <w:lang w:val="en-CA"/>
        </w:rPr>
        <w:t>:</w:t>
      </w:r>
    </w:p>
    <w:p w14:paraId="0F16906F" w14:textId="301F1B1B" w:rsidR="00B3651E" w:rsidRPr="0091267F" w:rsidRDefault="003C5D34" w:rsidP="003C5D34">
      <w:pPr>
        <w:pStyle w:val="PRPREquation"/>
        <w:rPr>
          <w:rFonts w:asciiTheme="minorHAnsi" w:hAnsiTheme="minorHAnsi" w:cstheme="minorHAnsi"/>
        </w:rPr>
      </w:pPr>
      <w:r w:rsidRPr="0091267F">
        <w:rPr>
          <w:rFonts w:asciiTheme="minorHAnsi" w:eastAsiaTheme="minorEastAsia" w:hAnsiTheme="minorHAnsi" w:cstheme="minorHAnsi"/>
        </w:rPr>
        <w:tab/>
      </w:r>
      <m:oMath>
        <m:sSub>
          <m:sSubPr>
            <m:ctrlPr>
              <w:rPr>
                <w:rFonts w:ascii="Cambria Math" w:hAnsi="Cambria Math" w:cstheme="minorHAnsi"/>
              </w:rPr>
            </m:ctrlPr>
          </m:sSubPr>
          <m:e>
            <m:r>
              <w:rPr>
                <w:rFonts w:ascii="Cambria Math" w:hAnsi="Cambria Math" w:cstheme="minorHAnsi"/>
              </w:rPr>
              <m:t>W</m:t>
            </m:r>
          </m:e>
          <m:sub>
            <m:r>
              <w:rPr>
                <w:rFonts w:ascii="Cambria Math" w:hAnsi="Cambria Math" w:cstheme="minorHAnsi"/>
              </w:rPr>
              <m:t>e</m:t>
            </m:r>
            <m:r>
              <m:rPr>
                <m:sty m:val="p"/>
              </m:rPr>
              <w:rPr>
                <w:rFonts w:ascii="Cambria Math" w:hAnsi="Cambria Math" w:cstheme="minorHAnsi"/>
              </w:rPr>
              <m:t>,</m:t>
            </m:r>
            <m:r>
              <w:rPr>
                <w:rFonts w:ascii="Cambria Math" w:hAnsi="Cambria Math" w:cstheme="minorHAnsi"/>
              </w:rPr>
              <m:t>c</m:t>
            </m:r>
            <m:r>
              <m:rPr>
                <m:sty m:val="p"/>
              </m:rPr>
              <w:rPr>
                <w:rFonts w:ascii="Cambria Math" w:hAnsi="Cambria Math" w:cstheme="minorHAnsi"/>
              </w:rPr>
              <m:t>,</m:t>
            </m:r>
            <m:r>
              <w:rPr>
                <w:rFonts w:ascii="Cambria Math" w:hAnsi="Cambria Math" w:cstheme="minorHAnsi"/>
              </w:rPr>
              <m:t>t</m:t>
            </m:r>
          </m:sub>
        </m:sSub>
        <m:r>
          <m:rPr>
            <m:sty m:val="p"/>
          </m:rPr>
          <w:rPr>
            <w:rFonts w:ascii="Cambria Math" w:hAnsi="Cambria Math" w:cstheme="minorHAnsi"/>
          </w:rPr>
          <m:t>=</m:t>
        </m:r>
        <m:f>
          <m:fPr>
            <m:ctrlPr>
              <w:rPr>
                <w:rFonts w:ascii="Cambria Math" w:hAnsi="Cambria Math" w:cstheme="minorHAnsi"/>
              </w:rPr>
            </m:ctrlPr>
          </m:fPr>
          <m:num>
            <m:func>
              <m:funcPr>
                <m:ctrlPr>
                  <w:rPr>
                    <w:rFonts w:ascii="Cambria Math" w:hAnsi="Cambria Math" w:cstheme="minorHAnsi"/>
                  </w:rPr>
                </m:ctrlPr>
              </m:funcPr>
              <m:fName>
                <m:r>
                  <m:rPr>
                    <m:sty m:val="p"/>
                  </m:rPr>
                  <w:rPr>
                    <w:rFonts w:ascii="Cambria Math" w:hAnsi="Cambria Math" w:cstheme="minorHAnsi"/>
                  </w:rPr>
                  <m:t>exp</m:t>
                </m:r>
              </m:fName>
              <m:e>
                <m:d>
                  <m:dPr>
                    <m:ctrlPr>
                      <w:rPr>
                        <w:rFonts w:ascii="Cambria Math" w:hAnsi="Cambria Math" w:cstheme="minorHAnsi"/>
                      </w:rPr>
                    </m:ctrlPr>
                  </m:dPr>
                  <m:e>
                    <m:sSub>
                      <m:sSubPr>
                        <m:ctrlPr>
                          <w:rPr>
                            <w:rFonts w:ascii="Cambria Math" w:hAnsi="Cambria Math" w:cstheme="minorHAnsi"/>
                          </w:rPr>
                        </m:ctrlPr>
                      </m:sSubPr>
                      <m:e>
                        <m:r>
                          <w:rPr>
                            <w:rFonts w:ascii="Cambria Math" w:hAnsi="Cambria Math" w:cstheme="minorHAnsi"/>
                          </w:rPr>
                          <m:t>β</m:t>
                        </m:r>
                      </m:e>
                      <m:sub>
                        <m:r>
                          <m:rPr>
                            <m:sty m:val="p"/>
                          </m:rPr>
                          <w:rPr>
                            <w:rFonts w:ascii="Cambria Math" w:hAnsi="Cambria Math" w:cstheme="minorHAnsi"/>
                          </w:rPr>
                          <m:t>1</m:t>
                        </m:r>
                      </m:sub>
                    </m:sSub>
                    <m:sSub>
                      <m:sSubPr>
                        <m:ctrlPr>
                          <w:rPr>
                            <w:rFonts w:ascii="Cambria Math" w:hAnsi="Cambria Math" w:cstheme="minorHAnsi"/>
                          </w:rPr>
                        </m:ctrlPr>
                      </m:sSubPr>
                      <m:e>
                        <m:r>
                          <w:rPr>
                            <w:rFonts w:ascii="Cambria Math" w:hAnsi="Cambria Math" w:cstheme="minorHAnsi"/>
                          </w:rPr>
                          <m:t>NBEDU</m:t>
                        </m:r>
                      </m:e>
                      <m:sub>
                        <m:r>
                          <w:rPr>
                            <w:rFonts w:ascii="Cambria Math" w:hAnsi="Cambria Math" w:cstheme="minorHAnsi"/>
                          </w:rPr>
                          <m:t>e</m:t>
                        </m:r>
                        <m:r>
                          <m:rPr>
                            <m:sty m:val="p"/>
                          </m:rPr>
                          <w:rPr>
                            <w:rFonts w:ascii="Cambria Math" w:hAnsi="Cambria Math" w:cstheme="minorHAnsi"/>
                          </w:rPr>
                          <m:t>,</m:t>
                        </m:r>
                        <m:r>
                          <w:rPr>
                            <w:rFonts w:ascii="Cambria Math" w:hAnsi="Cambria Math" w:cstheme="minorHAnsi"/>
                          </w:rPr>
                          <m:t>c</m:t>
                        </m:r>
                        <m:r>
                          <m:rPr>
                            <m:sty m:val="p"/>
                          </m:rPr>
                          <w:rPr>
                            <w:rFonts w:ascii="Cambria Math" w:hAnsi="Cambria Math" w:cstheme="minorHAnsi"/>
                          </w:rPr>
                          <m:t>,</m:t>
                        </m:r>
                        <m:r>
                          <w:rPr>
                            <w:rFonts w:ascii="Cambria Math" w:hAnsi="Cambria Math" w:cstheme="minorHAnsi"/>
                          </w:rPr>
                          <m:t>t</m:t>
                        </m:r>
                      </m:sub>
                    </m:sSub>
                    <m:r>
                      <m:rPr>
                        <m:sty m:val="p"/>
                      </m:rPr>
                      <w:rPr>
                        <w:rFonts w:ascii="Cambria Math" w:hAnsi="Cambria Math" w:cstheme="minorHAnsi"/>
                      </w:rPr>
                      <m:t>+</m:t>
                    </m:r>
                    <m:sSub>
                      <m:sSubPr>
                        <m:ctrlPr>
                          <w:rPr>
                            <w:rFonts w:ascii="Cambria Math" w:hAnsi="Cambria Math" w:cstheme="minorHAnsi"/>
                          </w:rPr>
                        </m:ctrlPr>
                      </m:sSubPr>
                      <m:e>
                        <m:sSub>
                          <m:sSubPr>
                            <m:ctrlPr>
                              <w:rPr>
                                <w:rFonts w:ascii="Cambria Math" w:hAnsi="Cambria Math" w:cstheme="minorHAnsi"/>
                              </w:rPr>
                            </m:ctrlPr>
                          </m:sSubPr>
                          <m:e>
                            <m:r>
                              <w:rPr>
                                <w:rFonts w:ascii="Cambria Math" w:hAnsi="Cambria Math" w:cstheme="minorHAnsi"/>
                              </w:rPr>
                              <m:t>β</m:t>
                            </m:r>
                          </m:e>
                          <m:sub>
                            <m:r>
                              <m:rPr>
                                <m:sty m:val="p"/>
                              </m:rPr>
                              <w:rPr>
                                <w:rFonts w:ascii="Cambria Math" w:hAnsi="Cambria Math" w:cstheme="minorHAnsi"/>
                              </w:rPr>
                              <m:t>5</m:t>
                            </m:r>
                          </m:sub>
                        </m:sSub>
                        <m:r>
                          <w:rPr>
                            <w:rFonts w:ascii="Cambria Math" w:hAnsi="Cambria Math" w:cstheme="minorHAnsi"/>
                          </w:rPr>
                          <m:t>NBEDU</m:t>
                        </m:r>
                        <m:r>
                          <m:rPr>
                            <m:sty m:val="p"/>
                          </m:rPr>
                          <w:rPr>
                            <w:rFonts w:ascii="Cambria Math" w:hAnsi="Cambria Math" w:cstheme="minorHAnsi"/>
                          </w:rPr>
                          <m:t>×</m:t>
                        </m:r>
                        <m:r>
                          <w:rPr>
                            <w:rFonts w:ascii="Cambria Math" w:hAnsi="Cambria Math" w:cstheme="minorHAnsi"/>
                          </w:rPr>
                          <m:t>NB</m:t>
                        </m:r>
                        <m:r>
                          <m:rPr>
                            <m:sty m:val="p"/>
                          </m:rPr>
                          <w:rPr>
                            <w:rFonts w:ascii="Cambria Math" w:hAnsi="Cambria Math" w:cstheme="minorHAnsi"/>
                          </w:rPr>
                          <m:t>_</m:t>
                        </m:r>
                        <m:r>
                          <w:rPr>
                            <w:rFonts w:ascii="Cambria Math" w:hAnsi="Cambria Math" w:cstheme="minorHAnsi"/>
                          </w:rPr>
                          <m:t>EDU</m:t>
                        </m:r>
                        <m:r>
                          <m:rPr>
                            <m:sty m:val="p"/>
                          </m:rPr>
                          <w:rPr>
                            <w:rFonts w:ascii="Cambria Math" w:hAnsi="Cambria Math" w:cstheme="minorHAnsi"/>
                          </w:rPr>
                          <m:t>_</m:t>
                        </m:r>
                        <m:r>
                          <w:rPr>
                            <w:rFonts w:ascii="Cambria Math" w:hAnsi="Cambria Math" w:cstheme="minorHAnsi"/>
                          </w:rPr>
                          <m:t>MEAN</m:t>
                        </m:r>
                      </m:e>
                      <m:sub>
                        <m:r>
                          <w:rPr>
                            <w:rFonts w:ascii="Cambria Math" w:hAnsi="Cambria Math" w:cstheme="minorHAnsi"/>
                          </w:rPr>
                          <m:t>c</m:t>
                        </m:r>
                        <m:r>
                          <m:rPr>
                            <m:sty m:val="p"/>
                          </m:rPr>
                          <w:rPr>
                            <w:rFonts w:ascii="Cambria Math" w:hAnsi="Cambria Math" w:cstheme="minorHAnsi"/>
                          </w:rPr>
                          <m:t>,</m:t>
                        </m:r>
                        <m:r>
                          <w:rPr>
                            <w:rFonts w:ascii="Cambria Math" w:hAnsi="Cambria Math" w:cstheme="minorHAnsi"/>
                          </w:rPr>
                          <m:t>t</m:t>
                        </m:r>
                      </m:sub>
                    </m:sSub>
                  </m:e>
                </m:d>
              </m:e>
            </m:func>
          </m:num>
          <m:den>
            <m:r>
              <m:rPr>
                <m:sty m:val="p"/>
              </m:rPr>
              <w:rPr>
                <w:rFonts w:ascii="Cambria Math" w:hAnsi="Cambria Math" w:cstheme="minorHAnsi"/>
              </w:rPr>
              <m:t>exp</m:t>
            </m:r>
            <m:d>
              <m:dPr>
                <m:ctrlPr>
                  <w:rPr>
                    <w:rFonts w:ascii="Cambria Math" w:hAnsi="Cambria Math" w:cstheme="minorHAnsi"/>
                  </w:rPr>
                </m:ctrlPr>
              </m:dPr>
              <m:e>
                <m:sSub>
                  <m:sSubPr>
                    <m:ctrlPr>
                      <w:rPr>
                        <w:rFonts w:ascii="Cambria Math" w:hAnsi="Cambria Math" w:cstheme="minorHAnsi"/>
                      </w:rPr>
                    </m:ctrlPr>
                  </m:sSubPr>
                  <m:e>
                    <m:r>
                      <w:rPr>
                        <w:rFonts w:ascii="Cambria Math" w:hAnsi="Cambria Math" w:cstheme="minorHAnsi"/>
                      </w:rPr>
                      <m:t>β</m:t>
                    </m:r>
                  </m:e>
                  <m:sub>
                    <m:r>
                      <m:rPr>
                        <m:sty m:val="p"/>
                      </m:rPr>
                      <w:rPr>
                        <w:rFonts w:ascii="Cambria Math" w:hAnsi="Cambria Math" w:cstheme="minorHAnsi"/>
                      </w:rPr>
                      <m:t>1</m:t>
                    </m:r>
                  </m:sub>
                </m:sSub>
                <m:r>
                  <m:rPr>
                    <m:sty m:val="p"/>
                  </m:rPr>
                  <w:rPr>
                    <w:rFonts w:ascii="Cambria Math" w:hAnsi="Cambria Math" w:cstheme="minorHAnsi"/>
                  </w:rPr>
                  <m:t>×9.3+</m:t>
                </m:r>
                <m:sSub>
                  <m:sSubPr>
                    <m:ctrlPr>
                      <w:rPr>
                        <w:rFonts w:ascii="Cambria Math" w:hAnsi="Cambria Math" w:cstheme="minorHAnsi"/>
                      </w:rPr>
                    </m:ctrlPr>
                  </m:sSubPr>
                  <m:e>
                    <m:sSub>
                      <m:sSubPr>
                        <m:ctrlPr>
                          <w:rPr>
                            <w:rFonts w:ascii="Cambria Math" w:hAnsi="Cambria Math" w:cstheme="minorHAnsi"/>
                          </w:rPr>
                        </m:ctrlPr>
                      </m:sSubPr>
                      <m:e>
                        <m:r>
                          <w:rPr>
                            <w:rFonts w:ascii="Cambria Math" w:hAnsi="Cambria Math" w:cstheme="minorHAnsi"/>
                          </w:rPr>
                          <m:t>β</m:t>
                        </m:r>
                      </m:e>
                      <m:sub>
                        <m:r>
                          <m:rPr>
                            <m:sty m:val="p"/>
                          </m:rPr>
                          <w:rPr>
                            <w:rFonts w:ascii="Cambria Math" w:hAnsi="Cambria Math" w:cstheme="minorHAnsi"/>
                          </w:rPr>
                          <m:t>5</m:t>
                        </m:r>
                      </m:sub>
                    </m:sSub>
                    <m:r>
                      <m:rPr>
                        <m:sty m:val="p"/>
                      </m:rPr>
                      <w:rPr>
                        <w:rFonts w:ascii="Cambria Math" w:hAnsi="Cambria Math" w:cstheme="minorHAnsi"/>
                      </w:rPr>
                      <m:t>×9.3×</m:t>
                    </m:r>
                    <m:r>
                      <w:rPr>
                        <w:rFonts w:ascii="Cambria Math" w:hAnsi="Cambria Math" w:cstheme="minorHAnsi"/>
                      </w:rPr>
                      <m:t>NB</m:t>
                    </m:r>
                    <m:r>
                      <m:rPr>
                        <m:sty m:val="p"/>
                      </m:rPr>
                      <w:rPr>
                        <w:rFonts w:ascii="Cambria Math" w:hAnsi="Cambria Math" w:cstheme="minorHAnsi"/>
                      </w:rPr>
                      <m:t>_</m:t>
                    </m:r>
                    <m:r>
                      <w:rPr>
                        <w:rFonts w:ascii="Cambria Math" w:hAnsi="Cambria Math" w:cstheme="minorHAnsi"/>
                      </w:rPr>
                      <m:t>EDU</m:t>
                    </m:r>
                    <m:r>
                      <m:rPr>
                        <m:sty m:val="p"/>
                      </m:rPr>
                      <w:rPr>
                        <w:rFonts w:ascii="Cambria Math" w:hAnsi="Cambria Math" w:cstheme="minorHAnsi"/>
                      </w:rPr>
                      <m:t>_</m:t>
                    </m:r>
                    <m:r>
                      <w:rPr>
                        <w:rFonts w:ascii="Cambria Math" w:hAnsi="Cambria Math" w:cstheme="minorHAnsi"/>
                      </w:rPr>
                      <m:t>MEAN</m:t>
                    </m:r>
                  </m:e>
                  <m:sub>
                    <m:r>
                      <w:rPr>
                        <w:rFonts w:ascii="Cambria Math" w:hAnsi="Cambria Math" w:cstheme="minorHAnsi"/>
                      </w:rPr>
                      <m:t>c</m:t>
                    </m:r>
                    <m:r>
                      <m:rPr>
                        <m:sty m:val="p"/>
                      </m:rPr>
                      <w:rPr>
                        <w:rFonts w:ascii="Cambria Math" w:hAnsi="Cambria Math" w:cstheme="minorHAnsi"/>
                      </w:rPr>
                      <m:t>,</m:t>
                    </m:r>
                    <m:r>
                      <w:rPr>
                        <w:rFonts w:ascii="Cambria Math" w:hAnsi="Cambria Math" w:cstheme="minorHAnsi"/>
                      </w:rPr>
                      <m:t>t</m:t>
                    </m:r>
                  </m:sub>
                </m:sSub>
              </m:e>
            </m:d>
          </m:den>
        </m:f>
      </m:oMath>
      <w:r w:rsidRPr="0091267F">
        <w:rPr>
          <w:rFonts w:asciiTheme="minorHAnsi" w:hAnsiTheme="minorHAnsi" w:cstheme="minorHAnsi"/>
        </w:rPr>
        <w:tab/>
        <w:t>(4)</w:t>
      </w:r>
    </w:p>
    <w:p w14:paraId="769897E5" w14:textId="773D3361" w:rsidR="00B3651E" w:rsidRPr="00822434" w:rsidRDefault="00B3651E" w:rsidP="003C5D34">
      <w:pPr>
        <w:pStyle w:val="PRPRManIndent"/>
        <w:rPr>
          <w:rFonts w:asciiTheme="minorHAnsi" w:hAnsiTheme="minorHAnsi" w:cstheme="minorHAnsi"/>
          <w:color w:val="000000" w:themeColor="text1"/>
          <w:lang w:val="en-CA"/>
        </w:rPr>
      </w:pPr>
      <w:r w:rsidRPr="0091267F">
        <w:rPr>
          <w:rFonts w:asciiTheme="minorHAnsi" w:hAnsiTheme="minorHAnsi" w:cstheme="minorHAnsi"/>
          <w:color w:val="000000" w:themeColor="text1"/>
          <w:lang w:val="en-CA"/>
        </w:rPr>
        <w:t xml:space="preserve">Figure S1 presents weights by educational attainment and average years of schooling. In a country like </w:t>
      </w:r>
      <w:r w:rsidR="00575AAA" w:rsidRPr="0091267F">
        <w:rPr>
          <w:rFonts w:asciiTheme="minorHAnsi" w:hAnsiTheme="minorHAnsi" w:cstheme="minorHAnsi"/>
          <w:color w:val="000000" w:themeColor="text1"/>
          <w:lang w:val="en-CA"/>
        </w:rPr>
        <w:t>India</w:t>
      </w:r>
      <w:r w:rsidRPr="0091267F">
        <w:rPr>
          <w:rFonts w:asciiTheme="minorHAnsi" w:hAnsiTheme="minorHAnsi" w:cstheme="minorHAnsi"/>
          <w:color w:val="000000" w:themeColor="text1"/>
          <w:lang w:val="en-CA"/>
        </w:rPr>
        <w:t xml:space="preserve"> in 2020 where the average number of years of education for the</w:t>
      </w:r>
      <w:r w:rsidRPr="00822434">
        <w:rPr>
          <w:rFonts w:asciiTheme="minorHAnsi" w:hAnsiTheme="minorHAnsi" w:cstheme="minorHAnsi"/>
          <w:color w:val="000000" w:themeColor="text1"/>
          <w:lang w:val="en-CA"/>
        </w:rPr>
        <w:t xml:space="preserve"> population aged 25</w:t>
      </w:r>
      <w:r w:rsidR="003C5D34" w:rsidRPr="00822434">
        <w:rPr>
          <w:rFonts w:asciiTheme="minorHAnsi" w:hAnsiTheme="minorHAnsi" w:cstheme="minorHAnsi"/>
          <w:color w:val="000000" w:themeColor="text1"/>
          <w:lang w:val="en-CA"/>
        </w:rPr>
        <w:t>–</w:t>
      </w:r>
      <w:r w:rsidRPr="00822434">
        <w:rPr>
          <w:rFonts w:asciiTheme="minorHAnsi" w:hAnsiTheme="minorHAnsi" w:cstheme="minorHAnsi"/>
          <w:color w:val="000000" w:themeColor="text1"/>
          <w:lang w:val="en-CA"/>
        </w:rPr>
        <w:t xml:space="preserve">54 was </w:t>
      </w:r>
      <w:r w:rsidR="00575AAA" w:rsidRPr="00822434">
        <w:rPr>
          <w:rFonts w:asciiTheme="minorHAnsi" w:hAnsiTheme="minorHAnsi" w:cstheme="minorHAnsi"/>
          <w:color w:val="000000" w:themeColor="text1"/>
          <w:lang w:val="en-CA"/>
        </w:rPr>
        <w:t>7.63</w:t>
      </w:r>
      <w:r w:rsidRPr="00822434">
        <w:rPr>
          <w:rFonts w:asciiTheme="minorHAnsi" w:hAnsiTheme="minorHAnsi" w:cstheme="minorHAnsi"/>
          <w:color w:val="000000" w:themeColor="text1"/>
          <w:lang w:val="en-CA"/>
        </w:rPr>
        <w:t xml:space="preserve"> years, a worker with a postsecondary education would thus be weighted </w:t>
      </w:r>
      <w:r w:rsidR="00575AAA" w:rsidRPr="00822434">
        <w:rPr>
          <w:rFonts w:asciiTheme="minorHAnsi" w:hAnsiTheme="minorHAnsi" w:cstheme="minorHAnsi"/>
          <w:color w:val="000000" w:themeColor="text1"/>
          <w:lang w:val="en-CA"/>
        </w:rPr>
        <w:t>3.01</w:t>
      </w:r>
      <w:r w:rsidRPr="00822434">
        <w:rPr>
          <w:rFonts w:asciiTheme="minorHAnsi" w:hAnsiTheme="minorHAnsi" w:cstheme="minorHAnsi"/>
          <w:color w:val="000000" w:themeColor="text1"/>
          <w:lang w:val="en-CA"/>
        </w:rPr>
        <w:t xml:space="preserve"> times more than a worker with the world average number of years of education</w:t>
      </w:r>
      <w:r w:rsidRPr="00822434">
        <w:rPr>
          <w:rStyle w:val="FootnoteReference"/>
          <w:rFonts w:asciiTheme="minorHAnsi" w:hAnsiTheme="minorHAnsi" w:cstheme="minorHAnsi"/>
          <w:color w:val="000000" w:themeColor="text1"/>
        </w:rPr>
        <w:footnoteReference w:id="3"/>
      </w:r>
      <w:r w:rsidRPr="00822434">
        <w:rPr>
          <w:rFonts w:asciiTheme="minorHAnsi" w:hAnsiTheme="minorHAnsi" w:cstheme="minorHAnsi"/>
          <w:color w:val="000000" w:themeColor="text1"/>
          <w:lang w:val="en-CA"/>
        </w:rPr>
        <w:t xml:space="preserve">, and, assuming that income is a good proxy for productivity </w:t>
      </w:r>
      <w:r w:rsidRPr="00822434">
        <w:rPr>
          <w:rFonts w:asciiTheme="minorHAnsi" w:hAnsiTheme="minorHAnsi" w:cstheme="minorHAnsi"/>
          <w:color w:val="000000" w:themeColor="text1"/>
        </w:rPr>
        <w:t xml:space="preserve">(Van </w:t>
      </w:r>
      <w:proofErr w:type="spellStart"/>
      <w:r w:rsidRPr="00822434">
        <w:rPr>
          <w:rFonts w:asciiTheme="minorHAnsi" w:hAnsiTheme="minorHAnsi" w:cstheme="minorHAnsi"/>
          <w:color w:val="000000" w:themeColor="text1"/>
        </w:rPr>
        <w:t>Biesebroeck</w:t>
      </w:r>
      <w:proofErr w:type="spellEnd"/>
      <w:r w:rsidRPr="00822434">
        <w:rPr>
          <w:rFonts w:asciiTheme="minorHAnsi" w:hAnsiTheme="minorHAnsi" w:cstheme="minorHAnsi"/>
          <w:color w:val="000000" w:themeColor="text1"/>
        </w:rPr>
        <w:t xml:space="preserve"> 2015)</w:t>
      </w:r>
      <w:r w:rsidRPr="00822434">
        <w:rPr>
          <w:rFonts w:asciiTheme="minorHAnsi" w:hAnsiTheme="minorHAnsi" w:cstheme="minorHAnsi"/>
          <w:color w:val="000000" w:themeColor="text1"/>
          <w:lang w:val="en-CA"/>
        </w:rPr>
        <w:t xml:space="preserve">, would thus be </w:t>
      </w:r>
      <w:r w:rsidR="00575AAA" w:rsidRPr="00822434">
        <w:rPr>
          <w:rFonts w:asciiTheme="minorHAnsi" w:hAnsiTheme="minorHAnsi" w:cstheme="minorHAnsi"/>
          <w:color w:val="000000" w:themeColor="text1"/>
          <w:lang w:val="en-CA"/>
        </w:rPr>
        <w:t>3.01</w:t>
      </w:r>
      <w:r w:rsidRPr="00822434">
        <w:rPr>
          <w:rFonts w:asciiTheme="minorHAnsi" w:hAnsiTheme="minorHAnsi" w:cstheme="minorHAnsi"/>
          <w:color w:val="000000" w:themeColor="text1"/>
          <w:lang w:val="en-CA"/>
        </w:rPr>
        <w:t>times more productive.</w:t>
      </w:r>
    </w:p>
    <w:p w14:paraId="4EC9FCAA" w14:textId="7641EF78" w:rsidR="000D25D0" w:rsidRPr="00822434" w:rsidRDefault="000D25D0" w:rsidP="003C5D34">
      <w:pPr>
        <w:pStyle w:val="PRPRManIndent"/>
        <w:rPr>
          <w:rFonts w:asciiTheme="minorHAnsi" w:hAnsiTheme="minorHAnsi" w:cstheme="minorHAnsi"/>
          <w:color w:val="000000" w:themeColor="text1"/>
          <w:lang w:val="en-CA"/>
        </w:rPr>
      </w:pPr>
      <w:r w:rsidRPr="00822434">
        <w:rPr>
          <w:rFonts w:asciiTheme="minorHAnsi" w:hAnsiTheme="minorHAnsi" w:cstheme="minorHAnsi"/>
          <w:color w:val="000000" w:themeColor="text1"/>
          <w:lang w:val="en-CA"/>
        </w:rPr>
        <w:t>Figure S2 shows the projected values of the productivity-weights (</w:t>
      </w:r>
      <w:proofErr w:type="spellStart"/>
      <w:proofErr w:type="gramStart"/>
      <w:r w:rsidRPr="00822434">
        <w:rPr>
          <w:rFonts w:asciiTheme="minorHAnsi" w:hAnsiTheme="minorHAnsi" w:cstheme="minorHAnsi"/>
          <w:color w:val="000000" w:themeColor="text1"/>
          <w:lang w:val="en-CA"/>
        </w:rPr>
        <w:t>W</w:t>
      </w:r>
      <w:r w:rsidRPr="00822434">
        <w:rPr>
          <w:rFonts w:asciiTheme="minorHAnsi" w:hAnsiTheme="minorHAnsi" w:cstheme="minorHAnsi"/>
          <w:color w:val="000000" w:themeColor="text1"/>
          <w:vertAlign w:val="subscript"/>
          <w:lang w:val="en-CA"/>
        </w:rPr>
        <w:t>e,c</w:t>
      </w:r>
      <w:proofErr w:type="spellEnd"/>
      <w:proofErr w:type="gramEnd"/>
      <w:r w:rsidRPr="00822434">
        <w:rPr>
          <w:rFonts w:asciiTheme="minorHAnsi" w:hAnsiTheme="minorHAnsi" w:cstheme="minorHAnsi"/>
          <w:color w:val="000000" w:themeColor="text1"/>
          <w:lang w:val="en-CA"/>
        </w:rPr>
        <w:t xml:space="preserve">) at different points in time for the four regions, using </w:t>
      </w:r>
      <w:r w:rsidRPr="00822434">
        <w:rPr>
          <w:rFonts w:asciiTheme="minorHAnsi" w:hAnsiTheme="minorHAnsi" w:cstheme="minorHAnsi"/>
          <w:color w:val="000000" w:themeColor="text1"/>
        </w:rPr>
        <w:t>the most recent update of the SSP2 (middle-of-the-</w:t>
      </w:r>
      <w:r w:rsidRPr="00822434">
        <w:rPr>
          <w:rFonts w:asciiTheme="minorHAnsi" w:hAnsiTheme="minorHAnsi" w:cstheme="minorHAnsi"/>
          <w:color w:val="000000" w:themeColor="text1"/>
        </w:rPr>
        <w:lastRenderedPageBreak/>
        <w:t>road) scenario of the Wittgenstein Center Data Explorer for education forecasts (KC et al. 2024)</w:t>
      </w:r>
      <w:r w:rsidRPr="00822434">
        <w:rPr>
          <w:rFonts w:asciiTheme="minorHAnsi" w:hAnsiTheme="minorHAnsi" w:cstheme="minorHAnsi"/>
          <w:color w:val="000000" w:themeColor="text1"/>
          <w:lang w:val="en-CA"/>
        </w:rPr>
        <w:t xml:space="preserve">. Under this assumption of continuous progress with long-term global convergence of educational attainment (see Figure </w:t>
      </w:r>
      <w:r w:rsidR="00822434">
        <w:rPr>
          <w:rFonts w:asciiTheme="minorHAnsi" w:hAnsiTheme="minorHAnsi" w:cstheme="minorHAnsi"/>
          <w:color w:val="000000" w:themeColor="text1"/>
          <w:lang w:val="en-CA"/>
        </w:rPr>
        <w:t>S</w:t>
      </w:r>
      <w:r w:rsidRPr="00822434">
        <w:rPr>
          <w:rFonts w:asciiTheme="minorHAnsi" w:hAnsiTheme="minorHAnsi" w:cstheme="minorHAnsi"/>
          <w:color w:val="000000" w:themeColor="text1"/>
          <w:lang w:val="en-CA"/>
        </w:rPr>
        <w:t>4 in the section on population projections below), the productivity gap between educational levels gradually narrows and converges.</w:t>
      </w:r>
    </w:p>
    <w:tbl>
      <w:tblPr>
        <w:tblStyle w:val="TableGrid"/>
        <w:tblpPr w:leftFromText="187" w:rightFromText="187" w:topFromText="144" w:bottomFromText="144" w:vertAnchor="text" w:horzAnchor="margin" w:tblpY="30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0"/>
        <w:gridCol w:w="766"/>
      </w:tblGrid>
      <w:tr w:rsidR="003C5D34" w:rsidRPr="00822434" w14:paraId="48446153" w14:textId="77777777" w:rsidTr="000D25D0">
        <w:tc>
          <w:tcPr>
            <w:tcW w:w="9026" w:type="dxa"/>
            <w:gridSpan w:val="2"/>
            <w:tcBorders>
              <w:bottom w:val="single" w:sz="8" w:space="0" w:color="auto"/>
            </w:tcBorders>
          </w:tcPr>
          <w:p w14:paraId="7F891054" w14:textId="059A42D4" w:rsidR="003C5D34" w:rsidRPr="00822434" w:rsidRDefault="003C5D34" w:rsidP="000D25D0">
            <w:pPr>
              <w:tabs>
                <w:tab w:val="left" w:pos="915"/>
              </w:tabs>
              <w:spacing w:line="240" w:lineRule="auto"/>
              <w:ind w:firstLine="0"/>
              <w:rPr>
                <w:rFonts w:cstheme="minorHAnsi"/>
                <w:color w:val="000000" w:themeColor="text1"/>
                <w:lang w:val="en-CA"/>
              </w:rPr>
            </w:pPr>
            <w:r w:rsidRPr="00822434">
              <w:rPr>
                <w:rFonts w:cstheme="minorHAnsi"/>
                <w:b/>
                <w:bCs/>
                <w:color w:val="000000" w:themeColor="text1"/>
                <w:sz w:val="24"/>
                <w:szCs w:val="24"/>
                <w:lang w:val="en-CA"/>
              </w:rPr>
              <w:t xml:space="preserve">Figure S1. </w:t>
            </w:r>
            <w:r w:rsidRPr="00822434">
              <w:rPr>
                <w:rFonts w:cstheme="minorHAnsi"/>
                <w:i/>
                <w:iCs/>
                <w:color w:val="000000" w:themeColor="text1"/>
                <w:sz w:val="24"/>
                <w:szCs w:val="24"/>
                <w:lang w:val="en-CA"/>
              </w:rPr>
              <w:t>Productivity-Weights (</w:t>
            </w:r>
            <w:proofErr w:type="spellStart"/>
            <w:proofErr w:type="gramStart"/>
            <w:r w:rsidRPr="00822434">
              <w:rPr>
                <w:rFonts w:cstheme="minorHAnsi"/>
                <w:i/>
                <w:iCs/>
                <w:color w:val="000000" w:themeColor="text1"/>
                <w:sz w:val="24"/>
                <w:szCs w:val="24"/>
                <w:lang w:val="en-CA"/>
              </w:rPr>
              <w:t>W</w:t>
            </w:r>
            <w:r w:rsidRPr="00822434">
              <w:rPr>
                <w:rFonts w:cstheme="minorHAnsi"/>
                <w:i/>
                <w:iCs/>
                <w:color w:val="000000" w:themeColor="text1"/>
                <w:sz w:val="24"/>
                <w:szCs w:val="24"/>
                <w:vertAlign w:val="subscript"/>
                <w:lang w:val="en-CA"/>
              </w:rPr>
              <w:t>e,C</w:t>
            </w:r>
            <w:proofErr w:type="spellEnd"/>
            <w:proofErr w:type="gramEnd"/>
            <w:r w:rsidRPr="00822434">
              <w:rPr>
                <w:rFonts w:cstheme="minorHAnsi"/>
                <w:i/>
                <w:iCs/>
                <w:color w:val="000000" w:themeColor="text1"/>
                <w:sz w:val="24"/>
                <w:szCs w:val="24"/>
                <w:lang w:val="en-CA"/>
              </w:rPr>
              <w:t>) by Educational Levels and Average Years of Schooling of the 25-54 in the Country (</w:t>
            </w:r>
            <w:r w:rsidRPr="00822434">
              <w:rPr>
                <w:rFonts w:cstheme="minorHAnsi"/>
                <w:i/>
                <w:color w:val="000000" w:themeColor="text1"/>
                <w:sz w:val="24"/>
                <w:szCs w:val="24"/>
                <w:lang w:val="en-CA"/>
              </w:rPr>
              <w:t>1=World Average Level of Education=9.3)</w:t>
            </w:r>
          </w:p>
        </w:tc>
      </w:tr>
      <w:tr w:rsidR="003C5D34" w:rsidRPr="00822434" w14:paraId="693E8070" w14:textId="77777777" w:rsidTr="000D25D0">
        <w:trPr>
          <w:trHeight w:hRule="exact" w:val="4032"/>
        </w:trPr>
        <w:tc>
          <w:tcPr>
            <w:tcW w:w="7446" w:type="dxa"/>
            <w:tcBorders>
              <w:top w:val="single" w:sz="8" w:space="0" w:color="auto"/>
            </w:tcBorders>
          </w:tcPr>
          <w:p w14:paraId="6B746049" w14:textId="77777777" w:rsidR="00B3651E" w:rsidRPr="00822434" w:rsidRDefault="00B3651E" w:rsidP="000D25D0">
            <w:pPr>
              <w:tabs>
                <w:tab w:val="left" w:pos="915"/>
              </w:tabs>
              <w:rPr>
                <w:rFonts w:cstheme="minorHAnsi"/>
                <w:color w:val="000000" w:themeColor="text1"/>
                <w:lang w:val="en-CA"/>
              </w:rPr>
            </w:pPr>
            <w:r w:rsidRPr="00822434">
              <w:rPr>
                <w:rFonts w:cstheme="minorHAnsi"/>
                <w:noProof/>
                <w:color w:val="000000" w:themeColor="text1"/>
              </w:rPr>
              <w:drawing>
                <wp:inline distT="0" distB="0" distL="0" distR="0" wp14:anchorId="00993E7B" wp14:editId="7813F61D">
                  <wp:extent cx="4650740" cy="2682240"/>
                  <wp:effectExtent l="0" t="0" r="0" b="3810"/>
                  <wp:docPr id="16" name="Chart 16">
                    <a:extLst xmlns:a="http://schemas.openxmlformats.org/drawingml/2006/main">
                      <a:ext uri="{FF2B5EF4-FFF2-40B4-BE49-F238E27FC236}">
                        <a16:creationId xmlns:a16="http://schemas.microsoft.com/office/drawing/2014/main" id="{CBFE6C8C-AE1F-4066-B730-01FF88677C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c>
          <w:tcPr>
            <w:tcW w:w="1580" w:type="dxa"/>
            <w:tcBorders>
              <w:top w:val="single" w:sz="8" w:space="0" w:color="auto"/>
            </w:tcBorders>
          </w:tcPr>
          <w:p w14:paraId="6A9ECD7F" w14:textId="77777777" w:rsidR="00B3651E" w:rsidRPr="00822434" w:rsidRDefault="00B3651E" w:rsidP="000D25D0">
            <w:pPr>
              <w:tabs>
                <w:tab w:val="left" w:pos="915"/>
              </w:tabs>
              <w:rPr>
                <w:rFonts w:cstheme="minorHAnsi"/>
                <w:color w:val="000000" w:themeColor="text1"/>
                <w:lang w:val="en-CA"/>
              </w:rPr>
            </w:pPr>
          </w:p>
        </w:tc>
      </w:tr>
      <w:tr w:rsidR="003C5D34" w:rsidRPr="00822434" w14:paraId="25015E7F" w14:textId="77777777" w:rsidTr="000D25D0">
        <w:trPr>
          <w:trHeight w:hRule="exact" w:val="864"/>
        </w:trPr>
        <w:tc>
          <w:tcPr>
            <w:tcW w:w="9026" w:type="dxa"/>
            <w:gridSpan w:val="2"/>
          </w:tcPr>
          <w:p w14:paraId="1DD239D5" w14:textId="77777777" w:rsidR="00B3651E" w:rsidRPr="00822434" w:rsidRDefault="00B3651E" w:rsidP="000D25D0">
            <w:pPr>
              <w:tabs>
                <w:tab w:val="left" w:pos="915"/>
              </w:tabs>
              <w:ind w:hanging="16"/>
              <w:jc w:val="center"/>
              <w:rPr>
                <w:rFonts w:cstheme="minorHAnsi"/>
                <w:color w:val="000000" w:themeColor="text1"/>
                <w:lang w:val="en-CA"/>
              </w:rPr>
            </w:pPr>
            <w:r w:rsidRPr="00822434">
              <w:rPr>
                <w:rFonts w:cstheme="minorHAnsi"/>
                <w:noProof/>
                <w:color w:val="000000" w:themeColor="text1"/>
              </w:rPr>
              <w:drawing>
                <wp:inline distT="0" distB="0" distL="0" distR="0" wp14:anchorId="72A571A2" wp14:editId="081E47B6">
                  <wp:extent cx="4419601" cy="600075"/>
                  <wp:effectExtent l="0" t="0" r="0" b="0"/>
                  <wp:docPr id="17" name="Chart 17">
                    <a:extLst xmlns:a="http://schemas.openxmlformats.org/drawingml/2006/main">
                      <a:ext uri="{FF2B5EF4-FFF2-40B4-BE49-F238E27FC236}">
                        <a16:creationId xmlns:a16="http://schemas.microsoft.com/office/drawing/2014/main" id="{876F0A0D-30AC-4CF5-8455-90B0F2C073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bl>
    <w:p w14:paraId="72FD5138" w14:textId="766A008B" w:rsidR="00B3651E" w:rsidRPr="00822434" w:rsidRDefault="00B3651E" w:rsidP="003C5D34">
      <w:pPr>
        <w:pStyle w:val="PRPRManIndent"/>
        <w:rPr>
          <w:rFonts w:asciiTheme="minorHAnsi" w:hAnsiTheme="minorHAnsi" w:cstheme="minorHAnsi"/>
          <w:i/>
          <w:iCs/>
          <w:color w:val="000000" w:themeColor="text1"/>
          <w:lang w:val="en-CA"/>
        </w:rPr>
      </w:pPr>
    </w:p>
    <w:tbl>
      <w:tblPr>
        <w:tblStyle w:val="TableGrid"/>
        <w:tblpPr w:leftFromText="187" w:rightFromText="187" w:topFromText="288" w:bottomFromText="288" w:vertAnchor="text" w:horzAnchor="margin" w:tblpY="25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3C5D34" w:rsidRPr="00822434" w14:paraId="2CD4E2CD" w14:textId="77777777" w:rsidTr="000D25D0">
        <w:tc>
          <w:tcPr>
            <w:tcW w:w="9016" w:type="dxa"/>
            <w:tcBorders>
              <w:bottom w:val="single" w:sz="8" w:space="0" w:color="auto"/>
            </w:tcBorders>
          </w:tcPr>
          <w:p w14:paraId="46BF1D53" w14:textId="34D762D7" w:rsidR="003C5D34" w:rsidRPr="00822434" w:rsidRDefault="003C5D34" w:rsidP="000D25D0">
            <w:pPr>
              <w:tabs>
                <w:tab w:val="left" w:pos="915"/>
              </w:tabs>
              <w:spacing w:line="240" w:lineRule="auto"/>
              <w:ind w:firstLine="0"/>
              <w:rPr>
                <w:rFonts w:cstheme="minorHAnsi"/>
                <w:noProof/>
                <w:color w:val="000000" w:themeColor="text1"/>
              </w:rPr>
            </w:pPr>
            <w:r w:rsidRPr="00822434">
              <w:rPr>
                <w:rFonts w:cstheme="minorHAnsi"/>
                <w:b/>
                <w:bCs/>
                <w:color w:val="000000" w:themeColor="text1"/>
                <w:sz w:val="24"/>
                <w:szCs w:val="24"/>
                <w:lang w:val="en-CA"/>
              </w:rPr>
              <w:t xml:space="preserve">Figure S2. </w:t>
            </w:r>
            <w:r w:rsidRPr="00822434">
              <w:rPr>
                <w:rFonts w:cstheme="minorHAnsi"/>
                <w:i/>
                <w:iCs/>
                <w:color w:val="000000" w:themeColor="text1"/>
                <w:sz w:val="24"/>
                <w:szCs w:val="24"/>
                <w:lang w:val="en-CA"/>
              </w:rPr>
              <w:t>Projected Values of Productivity-Weights (</w:t>
            </w:r>
            <w:proofErr w:type="spellStart"/>
            <w:proofErr w:type="gramStart"/>
            <w:r w:rsidRPr="00822434">
              <w:rPr>
                <w:rFonts w:cstheme="minorHAnsi"/>
                <w:i/>
                <w:iCs/>
                <w:color w:val="000000" w:themeColor="text1"/>
                <w:sz w:val="24"/>
                <w:szCs w:val="24"/>
                <w:lang w:val="en-CA"/>
              </w:rPr>
              <w:t>W</w:t>
            </w:r>
            <w:r w:rsidRPr="00822434">
              <w:rPr>
                <w:rFonts w:cstheme="minorHAnsi"/>
                <w:i/>
                <w:iCs/>
                <w:color w:val="000000" w:themeColor="text1"/>
                <w:sz w:val="24"/>
                <w:szCs w:val="24"/>
                <w:vertAlign w:val="subscript"/>
                <w:lang w:val="en-CA"/>
              </w:rPr>
              <w:t>e,C</w:t>
            </w:r>
            <w:proofErr w:type="spellEnd"/>
            <w:proofErr w:type="gramEnd"/>
            <w:r w:rsidRPr="00822434">
              <w:rPr>
                <w:rFonts w:cstheme="minorHAnsi"/>
                <w:i/>
                <w:iCs/>
                <w:color w:val="000000" w:themeColor="text1"/>
                <w:sz w:val="24"/>
                <w:szCs w:val="24"/>
                <w:lang w:val="en-CA"/>
              </w:rPr>
              <w:t>)</w:t>
            </w:r>
          </w:p>
        </w:tc>
      </w:tr>
      <w:tr w:rsidR="003C5D34" w:rsidRPr="00822434" w14:paraId="23BD230B" w14:textId="77777777" w:rsidTr="000D25D0">
        <w:trPr>
          <w:trHeight w:hRule="exact" w:val="4176"/>
        </w:trPr>
        <w:tc>
          <w:tcPr>
            <w:tcW w:w="9016" w:type="dxa"/>
            <w:tcBorders>
              <w:top w:val="single" w:sz="8" w:space="0" w:color="auto"/>
            </w:tcBorders>
          </w:tcPr>
          <w:p w14:paraId="39D7B810" w14:textId="77777777" w:rsidR="003C5D34" w:rsidRPr="00822434" w:rsidRDefault="003C5D34" w:rsidP="000D25D0">
            <w:pPr>
              <w:tabs>
                <w:tab w:val="left" w:pos="915"/>
              </w:tabs>
              <w:ind w:firstLine="0"/>
              <w:rPr>
                <w:rFonts w:cstheme="minorHAnsi"/>
                <w:color w:val="000000" w:themeColor="text1"/>
                <w:lang w:val="en-CA"/>
              </w:rPr>
            </w:pPr>
            <w:r w:rsidRPr="00822434">
              <w:rPr>
                <w:rFonts w:cstheme="minorHAnsi"/>
                <w:noProof/>
                <w:color w:val="000000" w:themeColor="text1"/>
              </w:rPr>
              <w:drawing>
                <wp:inline distT="0" distB="0" distL="0" distR="0" wp14:anchorId="29F61FAF" wp14:editId="44E3DC43">
                  <wp:extent cx="5391150" cy="2528888"/>
                  <wp:effectExtent l="0" t="0" r="0" b="5080"/>
                  <wp:docPr id="1" name="Chart 1">
                    <a:extLst xmlns:a="http://schemas.openxmlformats.org/drawingml/2006/main">
                      <a:ext uri="{FF2B5EF4-FFF2-40B4-BE49-F238E27FC236}">
                        <a16:creationId xmlns:a16="http://schemas.microsoft.com/office/drawing/2014/main" id="{C3BD35B1-7EF2-414A-B9BF-3A0841277B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bl>
    <w:p w14:paraId="5A802DCB" w14:textId="104AF9AC" w:rsidR="00B3651E" w:rsidRPr="00822434" w:rsidRDefault="00554C3E" w:rsidP="003C5D34">
      <w:pPr>
        <w:pStyle w:val="L2Head"/>
        <w:rPr>
          <w:rFonts w:asciiTheme="minorHAnsi" w:hAnsiTheme="minorHAnsi" w:cstheme="minorHAnsi"/>
          <w:color w:val="000000" w:themeColor="text1"/>
        </w:rPr>
      </w:pPr>
      <w:bookmarkStart w:id="8" w:name="_Toc160711495"/>
      <w:r w:rsidRPr="00822434">
        <w:rPr>
          <w:rFonts w:asciiTheme="minorHAnsi" w:hAnsiTheme="minorHAnsi" w:cstheme="minorHAnsi"/>
          <w:i w:val="0"/>
          <w:iCs w:val="0"/>
          <w:color w:val="000000" w:themeColor="text1"/>
        </w:rPr>
        <w:lastRenderedPageBreak/>
        <w:t>B.2</w:t>
      </w:r>
      <w:r w:rsidRPr="00822434">
        <w:rPr>
          <w:rFonts w:asciiTheme="minorHAnsi" w:hAnsiTheme="minorHAnsi" w:cstheme="minorHAnsi"/>
          <w:color w:val="000000" w:themeColor="text1"/>
        </w:rPr>
        <w:t xml:space="preserve"> </w:t>
      </w:r>
      <w:r w:rsidR="00B3651E" w:rsidRPr="00822434">
        <w:rPr>
          <w:rFonts w:asciiTheme="minorHAnsi" w:hAnsiTheme="minorHAnsi" w:cstheme="minorHAnsi"/>
          <w:color w:val="000000" w:themeColor="text1"/>
        </w:rPr>
        <w:t xml:space="preserve">Factorizing for the </w:t>
      </w:r>
      <w:r w:rsidR="003C5D34" w:rsidRPr="00822434">
        <w:rPr>
          <w:rFonts w:asciiTheme="minorHAnsi" w:hAnsiTheme="minorHAnsi" w:cstheme="minorHAnsi"/>
          <w:color w:val="000000" w:themeColor="text1"/>
        </w:rPr>
        <w:t>Quality of Education</w:t>
      </w:r>
      <w:bookmarkEnd w:id="8"/>
    </w:p>
    <w:p w14:paraId="0269B7B1" w14:textId="56E32364" w:rsidR="00B3651E" w:rsidRPr="00822434" w:rsidRDefault="00B3651E" w:rsidP="003C5D34">
      <w:pPr>
        <w:pStyle w:val="PRPRManIndent"/>
        <w:rPr>
          <w:rFonts w:asciiTheme="minorHAnsi" w:hAnsiTheme="minorHAnsi" w:cstheme="minorHAnsi"/>
          <w:color w:val="000000" w:themeColor="text1"/>
        </w:rPr>
      </w:pPr>
      <w:r w:rsidRPr="0091267F">
        <w:rPr>
          <w:rFonts w:asciiTheme="minorHAnsi" w:hAnsiTheme="minorHAnsi" w:cstheme="minorHAnsi"/>
          <w:color w:val="000000" w:themeColor="text1"/>
          <w:lang w:val="en-CA"/>
        </w:rPr>
        <w:t xml:space="preserve">Lutz et al. </w:t>
      </w:r>
      <w:r w:rsidRPr="00822434">
        <w:rPr>
          <w:rFonts w:asciiTheme="minorHAnsi" w:hAnsiTheme="minorHAnsi" w:cstheme="minorHAnsi"/>
          <w:color w:val="000000" w:themeColor="text1"/>
        </w:rPr>
        <w:t xml:space="preserve">(2021) introduced the skill adjusted factor </w:t>
      </w:r>
      <w:r w:rsidR="00AF48AC" w:rsidRPr="00822434">
        <w:rPr>
          <w:rFonts w:asciiTheme="minorHAnsi" w:hAnsiTheme="minorHAnsi" w:cstheme="minorHAnsi"/>
          <w:color w:val="000000" w:themeColor="text1"/>
        </w:rPr>
        <w:t>(</w:t>
      </w:r>
      <w:r w:rsidRPr="00822434">
        <w:rPr>
          <w:rFonts w:asciiTheme="minorHAnsi" w:hAnsiTheme="minorHAnsi" w:cstheme="minorHAnsi"/>
          <w:color w:val="000000" w:themeColor="text1"/>
        </w:rPr>
        <w:t>SAF)</w:t>
      </w:r>
      <w:r w:rsidR="00AF48AC" w:rsidRPr="00822434">
        <w:rPr>
          <w:rFonts w:asciiTheme="minorHAnsi" w:hAnsiTheme="minorHAnsi" w:cstheme="minorHAnsi"/>
          <w:color w:val="000000" w:themeColor="text1"/>
        </w:rPr>
        <w:t>, which is designed to measure the qualitative dimension of education and learning</w:t>
      </w:r>
      <w:r w:rsidRPr="00822434">
        <w:rPr>
          <w:rFonts w:asciiTheme="minorHAnsi" w:hAnsiTheme="minorHAnsi" w:cstheme="minorHAnsi"/>
          <w:color w:val="000000" w:themeColor="text1"/>
        </w:rPr>
        <w:t xml:space="preserve">. </w:t>
      </w:r>
      <w:r w:rsidR="00AF48AC" w:rsidRPr="00822434">
        <w:rPr>
          <w:rFonts w:asciiTheme="minorHAnsi" w:hAnsiTheme="minorHAnsi" w:cstheme="minorHAnsi"/>
          <w:color w:val="000000" w:themeColor="text1"/>
        </w:rPr>
        <w:t xml:space="preserve">It complements the quantitative dimension measured by Mean Years of Schooling (MYS) to provide a more comprehensive assessment of human capital. </w:t>
      </w:r>
      <w:r w:rsidRPr="00822434">
        <w:rPr>
          <w:rFonts w:asciiTheme="minorHAnsi" w:hAnsiTheme="minorHAnsi" w:cstheme="minorHAnsi"/>
          <w:color w:val="000000" w:themeColor="text1"/>
        </w:rPr>
        <w:t>SAFs are empirically derived from the scores of adult literacy assessments (for individuals aged 20</w:t>
      </w:r>
      <w:r w:rsidR="00822434">
        <w:rPr>
          <w:rFonts w:asciiTheme="minorHAnsi" w:hAnsiTheme="minorHAnsi" w:cstheme="minorHAnsi"/>
          <w:color w:val="000000" w:themeColor="text1"/>
        </w:rPr>
        <w:t>–</w:t>
      </w:r>
      <w:r w:rsidRPr="00822434">
        <w:rPr>
          <w:rFonts w:asciiTheme="minorHAnsi" w:hAnsiTheme="minorHAnsi" w:cstheme="minorHAnsi"/>
          <w:color w:val="000000" w:themeColor="text1"/>
        </w:rPr>
        <w:t>64) from surveys such as the International Adult Literacy Survey (IALS), the Program for the International Assessment of Adult Competencies (PIAAC), the Skills toward Employment and Productivity Survey (STEP), and the Demographic and Health Survey (DHS). They are calculated cross-sectionally for 185 countries for the period 1970</w:t>
      </w:r>
      <w:r w:rsidR="00822434">
        <w:rPr>
          <w:rFonts w:asciiTheme="minorHAnsi" w:hAnsiTheme="minorHAnsi" w:cstheme="minorHAnsi"/>
          <w:color w:val="000000" w:themeColor="text1"/>
        </w:rPr>
        <w:t>–</w:t>
      </w:r>
      <w:r w:rsidRPr="00822434">
        <w:rPr>
          <w:rFonts w:asciiTheme="minorHAnsi" w:hAnsiTheme="minorHAnsi" w:cstheme="minorHAnsi"/>
          <w:color w:val="000000" w:themeColor="text1"/>
        </w:rPr>
        <w:t xml:space="preserve">2015 and </w:t>
      </w:r>
      <w:r w:rsidR="00822434" w:rsidRPr="00822434">
        <w:rPr>
          <w:rFonts w:asciiTheme="minorHAnsi" w:hAnsiTheme="minorHAnsi" w:cstheme="minorHAnsi"/>
          <w:color w:val="000000" w:themeColor="text1"/>
        </w:rPr>
        <w:t>normalized</w:t>
      </w:r>
      <w:r w:rsidRPr="00822434">
        <w:rPr>
          <w:rFonts w:asciiTheme="minorHAnsi" w:hAnsiTheme="minorHAnsi" w:cstheme="minorHAnsi"/>
          <w:color w:val="000000" w:themeColor="text1"/>
        </w:rPr>
        <w:t xml:space="preserve"> to the score for the population-weighted average of OECD countries in 2015 (taken as unity).</w:t>
      </w:r>
    </w:p>
    <w:p w14:paraId="42E56006" w14:textId="1EDEDCBD" w:rsidR="00B3651E" w:rsidRDefault="00B3651E" w:rsidP="003C5D34">
      <w:pPr>
        <w:pStyle w:val="PRPRManIndent"/>
        <w:rPr>
          <w:rFonts w:asciiTheme="minorHAnsi" w:hAnsiTheme="minorHAnsi" w:cstheme="minorHAnsi"/>
          <w:color w:val="000000" w:themeColor="text1"/>
          <w:lang w:val="en-CA"/>
        </w:rPr>
      </w:pPr>
      <w:r w:rsidRPr="00822434">
        <w:rPr>
          <w:rFonts w:asciiTheme="minorHAnsi" w:hAnsiTheme="minorHAnsi" w:cstheme="minorHAnsi"/>
          <w:color w:val="000000" w:themeColor="text1"/>
          <w:lang w:val="en-CA"/>
        </w:rPr>
        <w:t>To adjust our education-weights for the quality of the education, we use these country- and period-specific SAF from 1970 to 2015 and perform a logit extrapolation for 2015</w:t>
      </w:r>
      <w:r w:rsidR="00822434">
        <w:rPr>
          <w:rFonts w:asciiTheme="minorHAnsi" w:hAnsiTheme="minorHAnsi" w:cstheme="minorHAnsi"/>
          <w:color w:val="000000" w:themeColor="text1"/>
          <w:lang w:val="en-CA"/>
        </w:rPr>
        <w:t>–</w:t>
      </w:r>
      <w:r w:rsidRPr="00822434">
        <w:rPr>
          <w:rFonts w:asciiTheme="minorHAnsi" w:hAnsiTheme="minorHAnsi" w:cstheme="minorHAnsi"/>
          <w:color w:val="000000" w:themeColor="text1"/>
          <w:lang w:val="en-CA"/>
        </w:rPr>
        <w:t>2100, with the maximum value being the world’s highest estimate in 2015 (which is 1.13 for Japan), thus leading to a gradual convergence towards the leading country. We then normalize the score to the world average of 2015. Figure S3 shows the resulting assumption from 2020 to 2100 on the skill-adjustment factor.</w:t>
      </w:r>
    </w:p>
    <w:p w14:paraId="1D37FCA9" w14:textId="672B36C0" w:rsidR="00822434" w:rsidRPr="00822434" w:rsidRDefault="00822434" w:rsidP="00822434">
      <w:pPr>
        <w:pStyle w:val="PRPRManIndent"/>
        <w:rPr>
          <w:rFonts w:asciiTheme="minorHAnsi" w:hAnsiTheme="minorHAnsi" w:cstheme="minorHAnsi"/>
          <w:color w:val="000000" w:themeColor="text1"/>
          <w:lang w:val="en-CA"/>
        </w:rPr>
      </w:pPr>
      <w:r w:rsidRPr="00822434">
        <w:rPr>
          <w:rFonts w:asciiTheme="minorHAnsi" w:hAnsiTheme="minorHAnsi" w:cstheme="minorHAnsi"/>
          <w:color w:val="000000" w:themeColor="text1"/>
          <w:lang w:val="en-CA"/>
        </w:rPr>
        <w:t>SAF estimates are cross-sectional, without disaggregation by age, cohort, or specific level of education. In other words, using these values implies to assume no difference in the quality of education across the different degrees within a country. It is also assumed that the change in the cohort size of the population aged 20</w:t>
      </w:r>
      <w:r>
        <w:rPr>
          <w:rFonts w:asciiTheme="minorHAnsi" w:hAnsiTheme="minorHAnsi" w:cstheme="minorHAnsi"/>
          <w:color w:val="000000" w:themeColor="text1"/>
          <w:lang w:val="en-CA"/>
        </w:rPr>
        <w:t>–</w:t>
      </w:r>
      <w:r w:rsidRPr="00822434">
        <w:rPr>
          <w:rFonts w:asciiTheme="minorHAnsi" w:hAnsiTheme="minorHAnsi" w:cstheme="minorHAnsi"/>
          <w:color w:val="000000" w:themeColor="text1"/>
          <w:lang w:val="en-CA"/>
        </w:rPr>
        <w:t xml:space="preserve">64 has only a marginal effect on the trends. Finally, we use the simplifying assumption that the quality of education does not differ between those in the labor force and those out of the labor force. </w:t>
      </w:r>
    </w:p>
    <w:p w14:paraId="14B5CAF6" w14:textId="77777777" w:rsidR="00822434" w:rsidRPr="00822434" w:rsidRDefault="00822434" w:rsidP="003C5D34">
      <w:pPr>
        <w:pStyle w:val="PRPRManIndent"/>
        <w:rPr>
          <w:rFonts w:asciiTheme="minorHAnsi" w:hAnsiTheme="minorHAnsi" w:cstheme="minorHAnsi"/>
          <w:color w:val="000000" w:themeColor="text1"/>
          <w:lang w:val="en-CA"/>
        </w:rPr>
      </w:pPr>
    </w:p>
    <w:tbl>
      <w:tblPr>
        <w:tblStyle w:val="TableGrid"/>
        <w:tblpPr w:leftFromText="187" w:rightFromText="187" w:topFromText="288" w:bottomFromText="288" w:horzAnchor="margin" w:tblpXSpec="center" w:tblpYSpec="top"/>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3C5D34" w:rsidRPr="00822434" w14:paraId="47476703" w14:textId="77777777" w:rsidTr="00822434">
        <w:tc>
          <w:tcPr>
            <w:tcW w:w="9016" w:type="dxa"/>
            <w:tcBorders>
              <w:bottom w:val="single" w:sz="8" w:space="0" w:color="auto"/>
            </w:tcBorders>
          </w:tcPr>
          <w:p w14:paraId="59059C3B" w14:textId="45F798B0" w:rsidR="003C5D34" w:rsidRPr="00822434" w:rsidRDefault="003C5D34" w:rsidP="00822434">
            <w:pPr>
              <w:tabs>
                <w:tab w:val="left" w:pos="915"/>
              </w:tabs>
              <w:spacing w:line="240" w:lineRule="auto"/>
              <w:ind w:firstLine="0"/>
              <w:rPr>
                <w:rFonts w:cstheme="minorHAnsi"/>
                <w:noProof/>
                <w:color w:val="000000" w:themeColor="text1"/>
              </w:rPr>
            </w:pPr>
            <w:r w:rsidRPr="00822434">
              <w:rPr>
                <w:rFonts w:cstheme="minorHAnsi"/>
                <w:b/>
                <w:bCs/>
                <w:color w:val="000000" w:themeColor="text1"/>
                <w:sz w:val="24"/>
                <w:szCs w:val="24"/>
                <w:lang w:val="en-CA"/>
              </w:rPr>
              <w:lastRenderedPageBreak/>
              <w:t xml:space="preserve">Figure S3. </w:t>
            </w:r>
            <w:r w:rsidRPr="00822434">
              <w:rPr>
                <w:rFonts w:cstheme="minorHAnsi"/>
                <w:i/>
                <w:iCs/>
                <w:color w:val="000000" w:themeColor="text1"/>
                <w:sz w:val="24"/>
                <w:szCs w:val="24"/>
                <w:lang w:val="en-CA"/>
              </w:rPr>
              <w:t>Assumption of the Skill-Adjustment Factor (1=World Average of 2015)</w:t>
            </w:r>
          </w:p>
        </w:tc>
      </w:tr>
      <w:tr w:rsidR="003C5D34" w:rsidRPr="00822434" w14:paraId="6C7DDE59" w14:textId="77777777" w:rsidTr="00822434">
        <w:trPr>
          <w:trHeight w:hRule="exact" w:val="3888"/>
        </w:trPr>
        <w:tc>
          <w:tcPr>
            <w:tcW w:w="9016" w:type="dxa"/>
            <w:tcBorders>
              <w:top w:val="single" w:sz="8" w:space="0" w:color="auto"/>
            </w:tcBorders>
          </w:tcPr>
          <w:p w14:paraId="738C67FA" w14:textId="77777777" w:rsidR="003C5D34" w:rsidRPr="00822434" w:rsidRDefault="003C5D34" w:rsidP="00822434">
            <w:pPr>
              <w:tabs>
                <w:tab w:val="left" w:pos="915"/>
              </w:tabs>
              <w:ind w:firstLine="0"/>
              <w:jc w:val="center"/>
              <w:rPr>
                <w:rFonts w:cstheme="minorHAnsi"/>
                <w:color w:val="000000" w:themeColor="text1"/>
                <w:lang w:val="en-CA"/>
              </w:rPr>
            </w:pPr>
            <w:r w:rsidRPr="00822434">
              <w:rPr>
                <w:rFonts w:cstheme="minorHAnsi"/>
                <w:noProof/>
                <w:color w:val="000000" w:themeColor="text1"/>
              </w:rPr>
              <w:drawing>
                <wp:inline distT="0" distB="0" distL="0" distR="0" wp14:anchorId="33C7F857" wp14:editId="250EFE69">
                  <wp:extent cx="4178595" cy="2424223"/>
                  <wp:effectExtent l="0" t="0" r="0" b="0"/>
                  <wp:docPr id="727495328" name="Chart 1">
                    <a:extLst xmlns:a="http://schemas.openxmlformats.org/drawingml/2006/main">
                      <a:ext uri="{FF2B5EF4-FFF2-40B4-BE49-F238E27FC236}">
                        <a16:creationId xmlns:a16="http://schemas.microsoft.com/office/drawing/2014/main" id="{7221A83E-A424-F9C6-82A2-E189BCEC30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bl>
    <w:p w14:paraId="27CE5589" w14:textId="642BD21C" w:rsidR="00B3651E" w:rsidRPr="00822434" w:rsidRDefault="00554C3E" w:rsidP="003C5D34">
      <w:pPr>
        <w:pStyle w:val="L2Head"/>
        <w:rPr>
          <w:rFonts w:asciiTheme="minorHAnsi" w:hAnsiTheme="minorHAnsi" w:cstheme="minorHAnsi"/>
          <w:color w:val="000000" w:themeColor="text1"/>
        </w:rPr>
      </w:pPr>
      <w:bookmarkStart w:id="9" w:name="_Toc160711496"/>
      <w:r w:rsidRPr="00822434">
        <w:rPr>
          <w:rFonts w:asciiTheme="minorHAnsi" w:hAnsiTheme="minorHAnsi" w:cstheme="minorHAnsi"/>
          <w:i w:val="0"/>
          <w:iCs w:val="0"/>
          <w:color w:val="000000" w:themeColor="text1"/>
        </w:rPr>
        <w:t>B.3</w:t>
      </w:r>
      <w:r w:rsidRPr="00822434">
        <w:rPr>
          <w:rFonts w:asciiTheme="minorHAnsi" w:hAnsiTheme="minorHAnsi" w:cstheme="minorHAnsi"/>
          <w:color w:val="000000" w:themeColor="text1"/>
        </w:rPr>
        <w:t xml:space="preserve"> </w:t>
      </w:r>
      <w:r w:rsidR="00B3651E" w:rsidRPr="00822434">
        <w:rPr>
          <w:rFonts w:asciiTheme="minorHAnsi" w:hAnsiTheme="minorHAnsi" w:cstheme="minorHAnsi"/>
          <w:color w:val="000000" w:themeColor="text1"/>
        </w:rPr>
        <w:t xml:space="preserve">Population </w:t>
      </w:r>
      <w:r w:rsidR="003C5D34" w:rsidRPr="00822434">
        <w:rPr>
          <w:rFonts w:asciiTheme="minorHAnsi" w:hAnsiTheme="minorHAnsi" w:cstheme="minorHAnsi"/>
          <w:color w:val="000000" w:themeColor="text1"/>
        </w:rPr>
        <w:t>Projection by Age, Sex, Education and Labor Force Participation</w:t>
      </w:r>
      <w:bookmarkEnd w:id="9"/>
    </w:p>
    <w:p w14:paraId="31B4240A" w14:textId="22FFE2D6" w:rsidR="00B3651E" w:rsidRPr="00822434" w:rsidRDefault="00B3651E" w:rsidP="003C5D34">
      <w:pPr>
        <w:pStyle w:val="PRPRManIndent"/>
        <w:rPr>
          <w:rFonts w:asciiTheme="minorHAnsi" w:hAnsiTheme="minorHAnsi" w:cstheme="minorHAnsi"/>
          <w:color w:val="000000" w:themeColor="text1"/>
        </w:rPr>
      </w:pPr>
      <w:r w:rsidRPr="00822434">
        <w:rPr>
          <w:rFonts w:asciiTheme="minorHAnsi" w:hAnsiTheme="minorHAnsi" w:cstheme="minorHAnsi"/>
          <w:color w:val="000000" w:themeColor="text1"/>
        </w:rPr>
        <w:t>The calculation of the projected PWLF requires inputs from population projections by age, sex, and education. We used the most recent update of the SSP2 (middle-of-the-road) scenario of the Wittgenstein Center Data Explorer (</w:t>
      </w:r>
      <w:r w:rsidR="003C5D34" w:rsidRPr="00822434">
        <w:rPr>
          <w:rFonts w:asciiTheme="minorHAnsi" w:hAnsiTheme="minorHAnsi" w:cstheme="minorHAnsi"/>
          <w:color w:val="000000" w:themeColor="text1"/>
        </w:rPr>
        <w:t>KC</w:t>
      </w:r>
      <w:r w:rsidRPr="00822434">
        <w:rPr>
          <w:rFonts w:asciiTheme="minorHAnsi" w:hAnsiTheme="minorHAnsi" w:cstheme="minorHAnsi"/>
          <w:color w:val="000000" w:themeColor="text1"/>
        </w:rPr>
        <w:t xml:space="preserve"> et al. 2024), which includes the latest population estimates </w:t>
      </w:r>
      <w:proofErr w:type="gramStart"/>
      <w:r w:rsidRPr="00822434">
        <w:rPr>
          <w:rFonts w:asciiTheme="minorHAnsi" w:hAnsiTheme="minorHAnsi" w:cstheme="minorHAnsi"/>
          <w:color w:val="000000" w:themeColor="text1"/>
        </w:rPr>
        <w:t>taking into account</w:t>
      </w:r>
      <w:proofErr w:type="gramEnd"/>
      <w:r w:rsidRPr="00822434">
        <w:rPr>
          <w:rFonts w:asciiTheme="minorHAnsi" w:hAnsiTheme="minorHAnsi" w:cstheme="minorHAnsi"/>
          <w:color w:val="000000" w:themeColor="text1"/>
        </w:rPr>
        <w:t xml:space="preserve"> the impact of COVID-19 on the population structure as well as the latest estimates of demographic components as starting point. More details on the long-term assumptions can be found in Lutz et al. (2018; 2014). </w:t>
      </w:r>
    </w:p>
    <w:p w14:paraId="6FB541F7" w14:textId="77777777" w:rsidR="00B3651E" w:rsidRPr="00822434" w:rsidRDefault="00B3651E" w:rsidP="003C5D34">
      <w:pPr>
        <w:pStyle w:val="PRPRManIndent"/>
        <w:rPr>
          <w:rFonts w:asciiTheme="minorHAnsi" w:hAnsiTheme="minorHAnsi" w:cstheme="minorHAnsi"/>
          <w:color w:val="000000" w:themeColor="text1"/>
        </w:rPr>
      </w:pPr>
      <w:r w:rsidRPr="00822434">
        <w:rPr>
          <w:rFonts w:asciiTheme="minorHAnsi" w:hAnsiTheme="minorHAnsi" w:cstheme="minorHAnsi"/>
          <w:color w:val="000000" w:themeColor="text1"/>
        </w:rPr>
        <w:t>For the mortality assumptions, 75 experts from 30 countries were asked for their opinion on a series of statements on past and future determinants of health and mortality. They concluded that there is room for improvement and that upward trends will continue, with convergence between countries. Country-specific trends are therefore extrapolated with a regional convergence process. Differentials by educational attainment are based on a generalization of estimates where such data are available.</w:t>
      </w:r>
    </w:p>
    <w:p w14:paraId="6C743581" w14:textId="6A3BE024" w:rsidR="00B3651E" w:rsidRPr="00822434" w:rsidRDefault="00B3651E" w:rsidP="003C5D34">
      <w:pPr>
        <w:pStyle w:val="PRPRManIndent"/>
        <w:rPr>
          <w:rFonts w:asciiTheme="minorHAnsi" w:hAnsiTheme="minorHAnsi" w:cstheme="minorHAnsi"/>
          <w:color w:val="000000" w:themeColor="text1"/>
        </w:rPr>
      </w:pPr>
      <w:r w:rsidRPr="00822434">
        <w:rPr>
          <w:rFonts w:asciiTheme="minorHAnsi" w:hAnsiTheme="minorHAnsi" w:cstheme="minorHAnsi"/>
          <w:color w:val="000000" w:themeColor="text1"/>
        </w:rPr>
        <w:t>For the assumption on international migration, the scenario assumes a continuation of the average in- and out-migration rates of 1990</w:t>
      </w:r>
      <w:r w:rsidR="00822434">
        <w:rPr>
          <w:rFonts w:asciiTheme="minorHAnsi" w:hAnsiTheme="minorHAnsi" w:cstheme="minorHAnsi"/>
          <w:color w:val="000000" w:themeColor="text1"/>
        </w:rPr>
        <w:t>–</w:t>
      </w:r>
      <w:r w:rsidRPr="00822434">
        <w:rPr>
          <w:rFonts w:asciiTheme="minorHAnsi" w:hAnsiTheme="minorHAnsi" w:cstheme="minorHAnsi"/>
          <w:color w:val="000000" w:themeColor="text1"/>
        </w:rPr>
        <w:t xml:space="preserve">2020 until 2060, with convergence to net-zero total flows by 2100. </w:t>
      </w:r>
    </w:p>
    <w:p w14:paraId="3E860A9D" w14:textId="78934F46" w:rsidR="00B3651E" w:rsidRPr="00822434" w:rsidRDefault="00B3651E" w:rsidP="003C5D34">
      <w:pPr>
        <w:pStyle w:val="PRPRManIndent"/>
        <w:rPr>
          <w:rFonts w:asciiTheme="minorHAnsi" w:hAnsiTheme="minorHAnsi" w:cstheme="minorHAnsi"/>
          <w:color w:val="000000" w:themeColor="text1"/>
        </w:rPr>
      </w:pPr>
      <w:r w:rsidRPr="00822434">
        <w:rPr>
          <w:rFonts w:asciiTheme="minorHAnsi" w:hAnsiTheme="minorHAnsi" w:cstheme="minorHAnsi"/>
          <w:color w:val="000000" w:themeColor="text1"/>
        </w:rPr>
        <w:lastRenderedPageBreak/>
        <w:t>For education, final educational attainment (attained at age 30</w:t>
      </w:r>
      <w:r w:rsidR="00822434">
        <w:rPr>
          <w:rFonts w:asciiTheme="minorHAnsi" w:hAnsiTheme="minorHAnsi" w:cstheme="minorHAnsi"/>
          <w:color w:val="000000" w:themeColor="text1"/>
        </w:rPr>
        <w:t>–</w:t>
      </w:r>
      <w:r w:rsidRPr="00822434">
        <w:rPr>
          <w:rFonts w:asciiTheme="minorHAnsi" w:hAnsiTheme="minorHAnsi" w:cstheme="minorHAnsi"/>
          <w:color w:val="000000" w:themeColor="text1"/>
        </w:rPr>
        <w:t>34) is extrapolated by gender from country-specific estimates for 1970</w:t>
      </w:r>
      <w:r w:rsidR="00822434">
        <w:rPr>
          <w:rFonts w:asciiTheme="minorHAnsi" w:hAnsiTheme="minorHAnsi" w:cstheme="minorHAnsi"/>
          <w:color w:val="000000" w:themeColor="text1"/>
        </w:rPr>
        <w:t>–</w:t>
      </w:r>
      <w:r w:rsidRPr="00822434">
        <w:rPr>
          <w:rFonts w:asciiTheme="minorHAnsi" w:hAnsiTheme="minorHAnsi" w:cstheme="minorHAnsi"/>
          <w:color w:val="000000" w:themeColor="text1"/>
        </w:rPr>
        <w:t>2010 with a long-term world convergence. For those with a high level of education, lower levels are imputed at younger ages based on the country's high school graduation age. In this projection, the educational attainment variable is categorical rather than in years of schooling. Therefore, productivity weights are calculated based on the normal number of years of education for each level (see data source and sample selection). In Figure S4 we show the average years of schooling of the population aged 25</w:t>
      </w:r>
      <w:r w:rsidR="00822434">
        <w:rPr>
          <w:rFonts w:asciiTheme="minorHAnsi" w:hAnsiTheme="minorHAnsi" w:cstheme="minorHAnsi"/>
          <w:color w:val="000000" w:themeColor="text1"/>
        </w:rPr>
        <w:t>–</w:t>
      </w:r>
      <w:r w:rsidRPr="00822434">
        <w:rPr>
          <w:rFonts w:asciiTheme="minorHAnsi" w:hAnsiTheme="minorHAnsi" w:cstheme="minorHAnsi"/>
          <w:color w:val="000000" w:themeColor="text1"/>
        </w:rPr>
        <w:t xml:space="preserve">54, which is used in </w:t>
      </w:r>
      <w:r w:rsidR="00677148">
        <w:rPr>
          <w:rFonts w:asciiTheme="minorHAnsi" w:hAnsiTheme="minorHAnsi" w:cstheme="minorHAnsi"/>
          <w:color w:val="000000" w:themeColor="text1"/>
        </w:rPr>
        <w:t>E</w:t>
      </w:r>
      <w:r w:rsidR="000D25D0" w:rsidRPr="00822434">
        <w:rPr>
          <w:rFonts w:asciiTheme="minorHAnsi" w:hAnsiTheme="minorHAnsi" w:cstheme="minorHAnsi"/>
          <w:color w:val="000000" w:themeColor="text1"/>
        </w:rPr>
        <w:t>quation (4)</w:t>
      </w:r>
      <w:r w:rsidRPr="00822434">
        <w:rPr>
          <w:rFonts w:asciiTheme="minorHAnsi" w:hAnsiTheme="minorHAnsi" w:cstheme="minorHAnsi"/>
          <w:color w:val="000000" w:themeColor="text1"/>
        </w:rPr>
        <w:t xml:space="preserve"> in the calculation of the productivity weights.</w:t>
      </w:r>
      <w:r w:rsidR="006602D9" w:rsidRPr="00822434">
        <w:rPr>
          <w:rFonts w:asciiTheme="minorHAnsi" w:hAnsiTheme="minorHAnsi" w:cstheme="minorHAnsi"/>
          <w:color w:val="000000" w:themeColor="text1"/>
        </w:rPr>
        <w:t xml:space="preserve"> The "average trend" assumption presumes that the pace of progress will continue, while the "plateau" variant assumes that the enrollment rate will remain constant at 2020 levels.</w:t>
      </w:r>
      <w:r w:rsidR="00A15C96" w:rsidRPr="00822434">
        <w:rPr>
          <w:rFonts w:asciiTheme="minorHAnsi" w:hAnsiTheme="minorHAnsi" w:cstheme="minorHAnsi"/>
          <w:color w:val="000000" w:themeColor="text1"/>
        </w:rPr>
        <w:t xml:space="preserve"> </w:t>
      </w:r>
      <w:r w:rsidR="00A15C96" w:rsidRPr="00822434">
        <w:rPr>
          <w:rFonts w:asciiTheme="minorHAnsi" w:hAnsiTheme="minorHAnsi" w:cstheme="minorHAnsi"/>
          <w:color w:val="000000" w:themeColor="text1"/>
          <w:lang w:val="en-GB"/>
        </w:rPr>
        <w:t>This assumption still yields a slight increase in the average years of schooling (Fig</w:t>
      </w:r>
      <w:r w:rsidR="000D25D0" w:rsidRPr="00822434">
        <w:rPr>
          <w:rFonts w:asciiTheme="minorHAnsi" w:hAnsiTheme="minorHAnsi" w:cstheme="minorHAnsi"/>
          <w:color w:val="000000" w:themeColor="text1"/>
          <w:lang w:val="en-GB"/>
        </w:rPr>
        <w:t xml:space="preserve">ure </w:t>
      </w:r>
      <w:r w:rsidR="00A15C96" w:rsidRPr="00822434">
        <w:rPr>
          <w:rFonts w:asciiTheme="minorHAnsi" w:hAnsiTheme="minorHAnsi" w:cstheme="minorHAnsi"/>
          <w:color w:val="000000" w:themeColor="text1"/>
          <w:lang w:val="en-GB"/>
        </w:rPr>
        <w:t xml:space="preserve">S4), as </w:t>
      </w:r>
      <w:r w:rsidR="000D25D0" w:rsidRPr="00822434">
        <w:rPr>
          <w:rFonts w:asciiTheme="minorHAnsi" w:hAnsiTheme="minorHAnsi" w:cstheme="minorHAnsi"/>
          <w:color w:val="000000" w:themeColor="text1"/>
          <w:lang w:val="en-GB"/>
        </w:rPr>
        <w:t>earlier-born</w:t>
      </w:r>
      <w:r w:rsidR="00A15C96" w:rsidRPr="00822434">
        <w:rPr>
          <w:rFonts w:asciiTheme="minorHAnsi" w:hAnsiTheme="minorHAnsi" w:cstheme="minorHAnsi"/>
          <w:color w:val="000000" w:themeColor="text1"/>
          <w:lang w:val="en-GB"/>
        </w:rPr>
        <w:t xml:space="preserve"> cohorts with less education are replaced by </w:t>
      </w:r>
      <w:r w:rsidR="000D25D0" w:rsidRPr="00822434">
        <w:rPr>
          <w:rFonts w:asciiTheme="minorHAnsi" w:hAnsiTheme="minorHAnsi" w:cstheme="minorHAnsi"/>
          <w:color w:val="000000" w:themeColor="text1"/>
          <w:lang w:val="en-GB"/>
        </w:rPr>
        <w:t>more recent</w:t>
      </w:r>
      <w:r w:rsidR="00A15C96" w:rsidRPr="00822434">
        <w:rPr>
          <w:rFonts w:asciiTheme="minorHAnsi" w:hAnsiTheme="minorHAnsi" w:cstheme="minorHAnsi"/>
          <w:color w:val="000000" w:themeColor="text1"/>
          <w:lang w:val="en-GB"/>
        </w:rPr>
        <w:t xml:space="preserve"> ones.</w:t>
      </w:r>
    </w:p>
    <w:tbl>
      <w:tblPr>
        <w:tblStyle w:val="TableGrid"/>
        <w:tblpPr w:leftFromText="187" w:rightFromText="187" w:topFromText="216" w:vertAnchor="text" w:horzAnchor="margin" w:tblpXSpec="center" w:tblpY="-13"/>
        <w:tblOverlap w:val="never"/>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6"/>
      </w:tblGrid>
      <w:tr w:rsidR="003C5D34" w:rsidRPr="00822434" w14:paraId="5149F3B6" w14:textId="77777777" w:rsidTr="00822434">
        <w:tc>
          <w:tcPr>
            <w:tcW w:w="9216" w:type="dxa"/>
            <w:tcBorders>
              <w:bottom w:val="single" w:sz="8" w:space="0" w:color="auto"/>
            </w:tcBorders>
          </w:tcPr>
          <w:p w14:paraId="0B90E911" w14:textId="70008BEB" w:rsidR="003C5D34" w:rsidRPr="00822434" w:rsidRDefault="003C5D34" w:rsidP="00822434">
            <w:pPr>
              <w:tabs>
                <w:tab w:val="left" w:pos="915"/>
              </w:tabs>
              <w:spacing w:line="240" w:lineRule="auto"/>
              <w:ind w:right="-82" w:firstLine="0"/>
              <w:rPr>
                <w:rFonts w:cstheme="minorHAnsi"/>
                <w:noProof/>
                <w:color w:val="000000" w:themeColor="text1"/>
              </w:rPr>
            </w:pPr>
            <w:r w:rsidRPr="00822434">
              <w:rPr>
                <w:rFonts w:cstheme="minorHAnsi"/>
                <w:b/>
                <w:bCs/>
                <w:color w:val="000000" w:themeColor="text1"/>
                <w:sz w:val="24"/>
                <w:szCs w:val="24"/>
              </w:rPr>
              <w:t xml:space="preserve">Figure S4. </w:t>
            </w:r>
            <w:r w:rsidRPr="00822434">
              <w:rPr>
                <w:rFonts w:cstheme="minorHAnsi"/>
                <w:i/>
                <w:iCs/>
                <w:color w:val="000000" w:themeColor="text1"/>
                <w:sz w:val="24"/>
                <w:szCs w:val="24"/>
              </w:rPr>
              <w:t>Projected Average Years of Schooling of the Population Aged 25–54, 2020–2100</w:t>
            </w:r>
          </w:p>
        </w:tc>
      </w:tr>
      <w:tr w:rsidR="003C5D34" w:rsidRPr="00822434" w14:paraId="2519D74C" w14:textId="77777777" w:rsidTr="00822434">
        <w:trPr>
          <w:trHeight w:hRule="exact" w:val="4896"/>
        </w:trPr>
        <w:tc>
          <w:tcPr>
            <w:tcW w:w="9216" w:type="dxa"/>
            <w:tcBorders>
              <w:top w:val="single" w:sz="8" w:space="0" w:color="auto"/>
            </w:tcBorders>
          </w:tcPr>
          <w:p w14:paraId="7FA9832A" w14:textId="77777777" w:rsidR="003C5D34" w:rsidRPr="00822434" w:rsidRDefault="003C5D34" w:rsidP="00822434">
            <w:pPr>
              <w:tabs>
                <w:tab w:val="left" w:pos="915"/>
              </w:tabs>
              <w:ind w:firstLine="0"/>
              <w:jc w:val="center"/>
              <w:rPr>
                <w:rFonts w:cstheme="minorHAnsi"/>
                <w:color w:val="000000" w:themeColor="text1"/>
              </w:rPr>
            </w:pPr>
            <w:r w:rsidRPr="00822434">
              <w:rPr>
                <w:rFonts w:cstheme="minorHAnsi"/>
                <w:noProof/>
                <w:color w:val="000000" w:themeColor="text1"/>
              </w:rPr>
              <w:drawing>
                <wp:inline distT="0" distB="0" distL="0" distR="0" wp14:anchorId="6B654DF5" wp14:editId="3EB50E59">
                  <wp:extent cx="5647267" cy="3114040"/>
                  <wp:effectExtent l="0" t="0" r="0" b="0"/>
                  <wp:docPr id="1221518490" name="Chart 1">
                    <a:extLst xmlns:a="http://schemas.openxmlformats.org/drawingml/2006/main">
                      <a:ext uri="{FF2B5EF4-FFF2-40B4-BE49-F238E27FC236}">
                        <a16:creationId xmlns:a16="http://schemas.microsoft.com/office/drawing/2014/main" id="{93337A62-05C2-4B23-9A4C-7A2ECC86D2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bl>
    <w:p w14:paraId="097D5040" w14:textId="7FE0544A" w:rsidR="00A15C96" w:rsidRPr="00822434" w:rsidRDefault="00B3651E" w:rsidP="003C5D34">
      <w:pPr>
        <w:pStyle w:val="PRPRManIndent"/>
        <w:rPr>
          <w:rFonts w:asciiTheme="minorHAnsi" w:hAnsiTheme="minorHAnsi" w:cstheme="minorHAnsi"/>
          <w:color w:val="000000" w:themeColor="text1"/>
          <w:lang w:val="en-GB"/>
        </w:rPr>
      </w:pPr>
      <w:r w:rsidRPr="00822434">
        <w:rPr>
          <w:rFonts w:asciiTheme="minorHAnsi" w:hAnsiTheme="minorHAnsi" w:cstheme="minorHAnsi"/>
          <w:color w:val="000000" w:themeColor="text1"/>
        </w:rPr>
        <w:t xml:space="preserve">The future age-specific fertility rates are determined </w:t>
      </w:r>
      <w:proofErr w:type="gramStart"/>
      <w:r w:rsidRPr="00822434">
        <w:rPr>
          <w:rFonts w:asciiTheme="minorHAnsi" w:hAnsiTheme="minorHAnsi" w:cstheme="minorHAnsi"/>
          <w:color w:val="000000" w:themeColor="text1"/>
        </w:rPr>
        <w:t>on the basis of</w:t>
      </w:r>
      <w:proofErr w:type="gramEnd"/>
      <w:r w:rsidRPr="00822434">
        <w:rPr>
          <w:rFonts w:asciiTheme="minorHAnsi" w:hAnsiTheme="minorHAnsi" w:cstheme="minorHAnsi"/>
          <w:color w:val="000000" w:themeColor="text1"/>
        </w:rPr>
        <w:t xml:space="preserve"> the combination of a large expert survey in the field of fertility studies (Basten, Sobotka, and Zeman 2014; Fuchs and Goujon 2014) and a model of historical analogy. The model assumed a trend </w:t>
      </w:r>
      <w:r w:rsidRPr="00822434">
        <w:rPr>
          <w:rFonts w:asciiTheme="minorHAnsi" w:hAnsiTheme="minorHAnsi" w:cstheme="minorHAnsi"/>
          <w:color w:val="000000" w:themeColor="text1"/>
        </w:rPr>
        <w:lastRenderedPageBreak/>
        <w:t>towards global convergence in the very long term, resulting in a continuation of the declining trend in India until the completion of the demographic transition</w:t>
      </w:r>
      <w:r w:rsidR="00575EE3" w:rsidRPr="00822434">
        <w:rPr>
          <w:rFonts w:asciiTheme="minorHAnsi" w:hAnsiTheme="minorHAnsi" w:cstheme="minorHAnsi"/>
          <w:color w:val="000000" w:themeColor="text1"/>
        </w:rPr>
        <w:t>, and</w:t>
      </w:r>
      <w:r w:rsidRPr="00822434">
        <w:rPr>
          <w:rFonts w:asciiTheme="minorHAnsi" w:hAnsiTheme="minorHAnsi" w:cstheme="minorHAnsi"/>
          <w:color w:val="000000" w:themeColor="text1"/>
        </w:rPr>
        <w:t xml:space="preserve"> a slow recovery in China from the historically low level of recent years. By 2100, total fertility rates are projected to be 1.5 in China</w:t>
      </w:r>
      <w:r w:rsidR="00575EE3" w:rsidRPr="00822434">
        <w:rPr>
          <w:rFonts w:asciiTheme="minorHAnsi" w:hAnsiTheme="minorHAnsi" w:cstheme="minorHAnsi"/>
          <w:color w:val="000000" w:themeColor="text1"/>
        </w:rPr>
        <w:t xml:space="preserve"> and</w:t>
      </w:r>
      <w:r w:rsidRPr="00822434">
        <w:rPr>
          <w:rFonts w:asciiTheme="minorHAnsi" w:hAnsiTheme="minorHAnsi" w:cstheme="minorHAnsi"/>
          <w:color w:val="000000" w:themeColor="text1"/>
        </w:rPr>
        <w:t xml:space="preserve"> 1.6 i</w:t>
      </w:r>
      <w:r w:rsidR="00575EE3" w:rsidRPr="00822434">
        <w:rPr>
          <w:rFonts w:asciiTheme="minorHAnsi" w:hAnsiTheme="minorHAnsi" w:cstheme="minorHAnsi"/>
          <w:color w:val="000000" w:themeColor="text1"/>
        </w:rPr>
        <w:t>n India</w:t>
      </w:r>
      <w:r w:rsidRPr="00822434">
        <w:rPr>
          <w:rFonts w:asciiTheme="minorHAnsi" w:hAnsiTheme="minorHAnsi" w:cstheme="minorHAnsi"/>
          <w:color w:val="000000" w:themeColor="text1"/>
        </w:rPr>
        <w:t>.</w:t>
      </w:r>
      <w:r w:rsidR="00A15C96" w:rsidRPr="00822434">
        <w:rPr>
          <w:rFonts w:asciiTheme="minorHAnsi" w:hAnsiTheme="minorHAnsi" w:cstheme="minorHAnsi"/>
          <w:color w:val="000000" w:themeColor="text1"/>
        </w:rPr>
        <w:t xml:space="preserve"> Fertility, mortality and migration are assumed to be independent of education and labor force participation, so that the size and composition of the population by age and sex are the same in all scenarios.</w:t>
      </w:r>
    </w:p>
    <w:p w14:paraId="3769278D" w14:textId="365DB861" w:rsidR="00B3651E" w:rsidRDefault="00B3651E" w:rsidP="003C5D34">
      <w:pPr>
        <w:pStyle w:val="PRPRManIndent"/>
        <w:rPr>
          <w:rFonts w:asciiTheme="minorHAnsi" w:hAnsiTheme="minorHAnsi" w:cstheme="minorHAnsi"/>
          <w:color w:val="000000" w:themeColor="text1"/>
        </w:rPr>
      </w:pPr>
      <w:r w:rsidRPr="00822434">
        <w:rPr>
          <w:rFonts w:asciiTheme="minorHAnsi" w:hAnsiTheme="minorHAnsi" w:cstheme="minorHAnsi"/>
          <w:color w:val="000000" w:themeColor="text1"/>
        </w:rPr>
        <w:t xml:space="preserve">To estimate the labor force size, we </w:t>
      </w:r>
      <w:r w:rsidRPr="00822434">
        <w:rPr>
          <w:rFonts w:asciiTheme="minorHAnsi" w:hAnsiTheme="minorHAnsi" w:cstheme="minorHAnsi"/>
          <w:color w:val="000000" w:themeColor="text1"/>
          <w:lang w:val="en-GB"/>
        </w:rPr>
        <w:t xml:space="preserve">follow the state-of-the-art approach of superimposing group-specific participation rates at </w:t>
      </w:r>
      <w:r w:rsidRPr="00822434">
        <w:rPr>
          <w:rFonts w:asciiTheme="minorHAnsi" w:hAnsiTheme="minorHAnsi" w:cstheme="minorHAnsi"/>
          <w:i/>
          <w:iCs/>
          <w:color w:val="000000" w:themeColor="text1"/>
          <w:lang w:val="en-GB"/>
        </w:rPr>
        <w:t>t</w:t>
      </w:r>
      <w:r w:rsidRPr="00822434">
        <w:rPr>
          <w:rFonts w:asciiTheme="minorHAnsi" w:hAnsiTheme="minorHAnsi" w:cstheme="minorHAnsi"/>
          <w:color w:val="000000" w:themeColor="text1"/>
          <w:lang w:val="en-GB"/>
        </w:rPr>
        <w:t xml:space="preserve"> on the population outputs </w:t>
      </w:r>
      <w:r w:rsidRPr="00822434">
        <w:rPr>
          <w:rFonts w:asciiTheme="minorHAnsi" w:hAnsiTheme="minorHAnsi" w:cstheme="minorHAnsi"/>
          <w:color w:val="000000" w:themeColor="text1"/>
        </w:rPr>
        <w:t xml:space="preserve">(Marois, Gietel-Basten, and Lutz 2021; Van Hook et al. 2020; Marois, Bélanger, and Lutz 2020; </w:t>
      </w:r>
      <w:proofErr w:type="spellStart"/>
      <w:r w:rsidRPr="00822434">
        <w:rPr>
          <w:rFonts w:asciiTheme="minorHAnsi" w:hAnsiTheme="minorHAnsi" w:cstheme="minorHAnsi"/>
          <w:color w:val="000000" w:themeColor="text1"/>
        </w:rPr>
        <w:t>Loichinger</w:t>
      </w:r>
      <w:proofErr w:type="spellEnd"/>
      <w:r w:rsidRPr="00822434">
        <w:rPr>
          <w:rFonts w:asciiTheme="minorHAnsi" w:hAnsiTheme="minorHAnsi" w:cstheme="minorHAnsi"/>
          <w:color w:val="000000" w:themeColor="text1"/>
        </w:rPr>
        <w:t xml:space="preserve"> 2015; European Commission 2015). </w:t>
      </w:r>
      <w:r w:rsidRPr="00822434">
        <w:rPr>
          <w:rFonts w:asciiTheme="minorHAnsi" w:hAnsiTheme="minorHAnsi" w:cstheme="minorHAnsi"/>
          <w:color w:val="000000" w:themeColor="text1"/>
          <w:lang w:val="en-CA"/>
        </w:rPr>
        <w:t>In our case, the projection started in 2020 with</w:t>
      </w:r>
      <w:r w:rsidRPr="00822434">
        <w:rPr>
          <w:rFonts w:asciiTheme="minorHAnsi" w:hAnsiTheme="minorHAnsi" w:cstheme="minorHAnsi"/>
          <w:color w:val="000000" w:themeColor="text1"/>
        </w:rPr>
        <w:t xml:space="preserve"> country-specific labor force participation rates by age, sex, and education calculated from the China General Social Survey 2010</w:t>
      </w:r>
      <w:r w:rsidR="00822434">
        <w:rPr>
          <w:rFonts w:asciiTheme="minorHAnsi" w:hAnsiTheme="minorHAnsi" w:cstheme="minorHAnsi"/>
          <w:color w:val="000000" w:themeColor="text1"/>
        </w:rPr>
        <w:t>–</w:t>
      </w:r>
      <w:r w:rsidRPr="00822434">
        <w:rPr>
          <w:rFonts w:asciiTheme="minorHAnsi" w:hAnsiTheme="minorHAnsi" w:cstheme="minorHAnsi"/>
          <w:color w:val="000000" w:themeColor="text1"/>
        </w:rPr>
        <w:t xml:space="preserve">2017, </w:t>
      </w:r>
      <w:r w:rsidR="005E6721" w:rsidRPr="00822434">
        <w:rPr>
          <w:rFonts w:asciiTheme="minorHAnsi" w:hAnsiTheme="minorHAnsi" w:cstheme="minorHAnsi"/>
          <w:color w:val="000000" w:themeColor="text1"/>
        </w:rPr>
        <w:t xml:space="preserve">and </w:t>
      </w:r>
      <w:r w:rsidRPr="00822434">
        <w:rPr>
          <w:rFonts w:asciiTheme="minorHAnsi" w:hAnsiTheme="minorHAnsi" w:cstheme="minorHAnsi"/>
          <w:color w:val="000000" w:themeColor="text1"/>
        </w:rPr>
        <w:t xml:space="preserve">the </w:t>
      </w:r>
      <w:r w:rsidRPr="00822434">
        <w:rPr>
          <w:rFonts w:asciiTheme="minorHAnsi" w:hAnsiTheme="minorHAnsi" w:cstheme="minorHAnsi"/>
          <w:color w:val="000000" w:themeColor="text1"/>
          <w:lang w:val="en-GB"/>
        </w:rPr>
        <w:t>Periodic Labour Force Survey (2017/18) of India</w:t>
      </w:r>
      <w:r w:rsidRPr="00822434">
        <w:rPr>
          <w:rFonts w:asciiTheme="minorHAnsi" w:hAnsiTheme="minorHAnsi" w:cstheme="minorHAnsi"/>
          <w:color w:val="000000" w:themeColor="text1"/>
        </w:rPr>
        <w:t>. Figure S5 shows these estimates.</w:t>
      </w:r>
      <w:r w:rsidR="00DD5AC7" w:rsidRPr="00822434">
        <w:rPr>
          <w:rFonts w:asciiTheme="minorHAnsi" w:hAnsiTheme="minorHAnsi" w:cstheme="minorHAnsi"/>
          <w:color w:val="000000" w:themeColor="text1"/>
        </w:rPr>
        <w:t xml:space="preserve"> </w:t>
      </w:r>
    </w:p>
    <w:p w14:paraId="15220CAD" w14:textId="1743C225" w:rsidR="00822434" w:rsidRPr="00822434" w:rsidRDefault="00822434" w:rsidP="00822434">
      <w:pPr>
        <w:pStyle w:val="PRPRManIndent"/>
        <w:rPr>
          <w:rFonts w:asciiTheme="minorHAnsi" w:hAnsiTheme="minorHAnsi" w:cstheme="minorHAnsi"/>
          <w:color w:val="000000" w:themeColor="text1"/>
          <w:lang w:val="en-GB"/>
        </w:rPr>
      </w:pPr>
      <w:r w:rsidRPr="00822434">
        <w:rPr>
          <w:rFonts w:asciiTheme="minorHAnsi" w:hAnsiTheme="minorHAnsi" w:cstheme="minorHAnsi"/>
          <w:color w:val="000000" w:themeColor="text1"/>
          <w:lang w:val="en-GB"/>
        </w:rPr>
        <w:t xml:space="preserve">We then developed two scenarios in terms of futures force participation rates. In the first one (“Constant LFP rates”), participation rates remain constant over time, as do most other </w:t>
      </w:r>
      <w:proofErr w:type="spellStart"/>
      <w:r w:rsidRPr="00822434">
        <w:rPr>
          <w:rFonts w:asciiTheme="minorHAnsi" w:hAnsiTheme="minorHAnsi" w:cstheme="minorHAnsi"/>
          <w:color w:val="000000" w:themeColor="text1"/>
          <w:lang w:val="en-GB"/>
        </w:rPr>
        <w:t>labor</w:t>
      </w:r>
      <w:proofErr w:type="spellEnd"/>
      <w:r w:rsidRPr="00822434">
        <w:rPr>
          <w:rFonts w:asciiTheme="minorHAnsi" w:hAnsiTheme="minorHAnsi" w:cstheme="minorHAnsi"/>
          <w:color w:val="000000" w:themeColor="text1"/>
          <w:lang w:val="en-GB"/>
        </w:rPr>
        <w:t xml:space="preserve"> force projections (Van Hook et al. 2020; European Commission 2015). Although group-specific rates are assumed to remain constant over the projection period, rates at the aggregate level change due to the compositional effects (such as increasing educational attainment among </w:t>
      </w:r>
      <w:r>
        <w:rPr>
          <w:rFonts w:asciiTheme="minorHAnsi" w:hAnsiTheme="minorHAnsi" w:cstheme="minorHAnsi"/>
          <w:color w:val="000000" w:themeColor="text1"/>
          <w:lang w:val="en-GB"/>
        </w:rPr>
        <w:t>more recent</w:t>
      </w:r>
      <w:r w:rsidRPr="00822434">
        <w:rPr>
          <w:rFonts w:asciiTheme="minorHAnsi" w:hAnsiTheme="minorHAnsi" w:cstheme="minorHAnsi"/>
          <w:color w:val="000000" w:themeColor="text1"/>
          <w:lang w:val="en-GB"/>
        </w:rPr>
        <w:t xml:space="preserve"> cohorts of women). In the second one (“Convergence to U.S. in LFP rates”), rates converge to those of the United States by 2100. For India, this scenario translates into a substantial increase in female </w:t>
      </w:r>
      <w:proofErr w:type="spellStart"/>
      <w:r w:rsidRPr="00822434">
        <w:rPr>
          <w:rFonts w:asciiTheme="minorHAnsi" w:hAnsiTheme="minorHAnsi" w:cstheme="minorHAnsi"/>
          <w:color w:val="000000" w:themeColor="text1"/>
          <w:lang w:val="en-GB"/>
        </w:rPr>
        <w:t>labor</w:t>
      </w:r>
      <w:proofErr w:type="spellEnd"/>
      <w:r w:rsidRPr="00822434">
        <w:rPr>
          <w:rFonts w:asciiTheme="minorHAnsi" w:hAnsiTheme="minorHAnsi" w:cstheme="minorHAnsi"/>
          <w:color w:val="000000" w:themeColor="text1"/>
          <w:lang w:val="en-GB"/>
        </w:rPr>
        <w:t xml:space="preserve"> force participation, which is among the lowest in the world (World Bank 2025). For China, it mainly means an increase in the participation rate of women aged 50 and over and men 55 and over, as current pension system regulations still encourage early retirement</w:t>
      </w:r>
    </w:p>
    <w:tbl>
      <w:tblPr>
        <w:tblStyle w:val="TableGrid"/>
        <w:tblpPr w:leftFromText="187" w:rightFromText="187" w:topFromText="144" w:bottomFromText="144" w:vertAnchor="page" w:horzAnchor="margin" w:tblpY="1441"/>
        <w:tblOverlap w:val="never"/>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822434" w:rsidRPr="00822434" w14:paraId="228FA846" w14:textId="77777777" w:rsidTr="00822434">
        <w:tc>
          <w:tcPr>
            <w:tcW w:w="9360" w:type="dxa"/>
            <w:gridSpan w:val="2"/>
            <w:tcBorders>
              <w:bottom w:val="single" w:sz="8" w:space="0" w:color="auto"/>
            </w:tcBorders>
          </w:tcPr>
          <w:p w14:paraId="0EEC83F9" w14:textId="77777777" w:rsidR="00822434" w:rsidRPr="00822434" w:rsidRDefault="00822434" w:rsidP="00822434">
            <w:pPr>
              <w:tabs>
                <w:tab w:val="left" w:pos="915"/>
              </w:tabs>
              <w:spacing w:line="240" w:lineRule="auto"/>
              <w:ind w:firstLine="0"/>
              <w:jc w:val="both"/>
              <w:rPr>
                <w:rFonts w:cstheme="minorHAnsi"/>
                <w:noProof/>
                <w:color w:val="000000" w:themeColor="text1"/>
              </w:rPr>
            </w:pPr>
            <w:r w:rsidRPr="00822434">
              <w:rPr>
                <w:rFonts w:cstheme="minorHAnsi"/>
                <w:b/>
                <w:bCs/>
                <w:color w:val="000000" w:themeColor="text1"/>
                <w:sz w:val="24"/>
                <w:szCs w:val="24"/>
              </w:rPr>
              <w:lastRenderedPageBreak/>
              <w:t xml:space="preserve">Figure S5. </w:t>
            </w:r>
            <w:r w:rsidRPr="00822434">
              <w:rPr>
                <w:rFonts w:cstheme="minorHAnsi"/>
                <w:i/>
                <w:iCs/>
                <w:color w:val="000000" w:themeColor="text1"/>
                <w:sz w:val="24"/>
                <w:szCs w:val="24"/>
              </w:rPr>
              <w:t>Labor Force Participation Rates by Age, Sex, and Education, China, India, and U.S.</w:t>
            </w:r>
          </w:p>
        </w:tc>
      </w:tr>
      <w:tr w:rsidR="00822434" w:rsidRPr="00822434" w14:paraId="6E3E4610" w14:textId="77777777" w:rsidTr="00822434">
        <w:trPr>
          <w:trHeight w:val="144"/>
        </w:trPr>
        <w:tc>
          <w:tcPr>
            <w:tcW w:w="9360" w:type="dxa"/>
            <w:gridSpan w:val="2"/>
            <w:tcBorders>
              <w:top w:val="single" w:sz="8" w:space="0" w:color="auto"/>
            </w:tcBorders>
          </w:tcPr>
          <w:p w14:paraId="7C373D79" w14:textId="77777777" w:rsidR="00822434" w:rsidRPr="00822434" w:rsidRDefault="00822434" w:rsidP="00822434">
            <w:pPr>
              <w:tabs>
                <w:tab w:val="left" w:pos="915"/>
              </w:tabs>
              <w:spacing w:after="0"/>
              <w:jc w:val="center"/>
              <w:rPr>
                <w:rFonts w:cstheme="minorHAnsi"/>
                <w:b/>
                <w:bCs/>
                <w:i/>
                <w:iCs/>
                <w:color w:val="000000" w:themeColor="text1"/>
              </w:rPr>
            </w:pPr>
            <w:r w:rsidRPr="00822434">
              <w:rPr>
                <w:rFonts w:cstheme="minorHAnsi"/>
                <w:noProof/>
                <w:color w:val="000000" w:themeColor="text1"/>
              </w:rPr>
              <w:drawing>
                <wp:inline distT="0" distB="0" distL="0" distR="0" wp14:anchorId="2604FC4F" wp14:editId="272E224E">
                  <wp:extent cx="4181475" cy="266700"/>
                  <wp:effectExtent l="0" t="0" r="0" b="0"/>
                  <wp:docPr id="6" name="Chart 6">
                    <a:extLst xmlns:a="http://schemas.openxmlformats.org/drawingml/2006/main">
                      <a:ext uri="{FF2B5EF4-FFF2-40B4-BE49-F238E27FC236}">
                        <a16:creationId xmlns:a16="http://schemas.microsoft.com/office/drawing/2014/main" id="{49814D9C-EEBA-44CD-89A5-5AAD1A2DD8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822434" w:rsidRPr="00822434" w14:paraId="14EBB761" w14:textId="77777777" w:rsidTr="00822434">
        <w:trPr>
          <w:trHeight w:val="432"/>
        </w:trPr>
        <w:tc>
          <w:tcPr>
            <w:tcW w:w="4680" w:type="dxa"/>
            <w:vAlign w:val="center"/>
          </w:tcPr>
          <w:p w14:paraId="6612BE6F" w14:textId="77777777" w:rsidR="00822434" w:rsidRPr="00822434" w:rsidRDefault="00822434" w:rsidP="00822434">
            <w:pPr>
              <w:tabs>
                <w:tab w:val="left" w:pos="915"/>
              </w:tabs>
              <w:spacing w:after="0" w:line="240" w:lineRule="auto"/>
              <w:ind w:firstLine="72"/>
              <w:jc w:val="center"/>
              <w:rPr>
                <w:rFonts w:cstheme="minorHAnsi"/>
                <w:i/>
                <w:iCs/>
                <w:color w:val="000000" w:themeColor="text1"/>
              </w:rPr>
            </w:pPr>
            <w:r w:rsidRPr="00822434">
              <w:rPr>
                <w:rFonts w:cstheme="minorHAnsi"/>
                <w:i/>
                <w:iCs/>
                <w:color w:val="000000" w:themeColor="text1"/>
              </w:rPr>
              <w:t>Female</w:t>
            </w:r>
          </w:p>
        </w:tc>
        <w:tc>
          <w:tcPr>
            <w:tcW w:w="4680" w:type="dxa"/>
            <w:vAlign w:val="center"/>
          </w:tcPr>
          <w:p w14:paraId="78209471" w14:textId="77777777" w:rsidR="00822434" w:rsidRPr="00822434" w:rsidRDefault="00822434" w:rsidP="00822434">
            <w:pPr>
              <w:tabs>
                <w:tab w:val="left" w:pos="915"/>
              </w:tabs>
              <w:spacing w:after="0" w:line="240" w:lineRule="auto"/>
              <w:ind w:firstLine="72"/>
              <w:jc w:val="center"/>
              <w:rPr>
                <w:rFonts w:cstheme="minorHAnsi"/>
                <w:i/>
                <w:iCs/>
                <w:color w:val="000000" w:themeColor="text1"/>
              </w:rPr>
            </w:pPr>
            <w:r w:rsidRPr="00822434">
              <w:rPr>
                <w:rFonts w:cstheme="minorHAnsi"/>
                <w:i/>
                <w:iCs/>
                <w:color w:val="000000" w:themeColor="text1"/>
              </w:rPr>
              <w:t>Male</w:t>
            </w:r>
          </w:p>
        </w:tc>
      </w:tr>
      <w:tr w:rsidR="00822434" w:rsidRPr="00822434" w14:paraId="79E0C7A2" w14:textId="77777777" w:rsidTr="00822434">
        <w:trPr>
          <w:trHeight w:val="432"/>
        </w:trPr>
        <w:tc>
          <w:tcPr>
            <w:tcW w:w="9360" w:type="dxa"/>
            <w:gridSpan w:val="2"/>
            <w:vAlign w:val="center"/>
          </w:tcPr>
          <w:p w14:paraId="31E6AF53" w14:textId="77777777" w:rsidR="00822434" w:rsidRPr="00822434" w:rsidRDefault="00822434" w:rsidP="00822434">
            <w:pPr>
              <w:spacing w:after="0" w:line="240" w:lineRule="auto"/>
              <w:ind w:firstLine="0"/>
              <w:jc w:val="center"/>
              <w:rPr>
                <w:rFonts w:cstheme="minorHAnsi"/>
                <w:b/>
                <w:bCs/>
                <w:i/>
                <w:iCs/>
                <w:color w:val="000000" w:themeColor="text1"/>
              </w:rPr>
            </w:pPr>
            <w:r w:rsidRPr="00822434">
              <w:rPr>
                <w:rFonts w:cstheme="minorHAnsi"/>
                <w:b/>
                <w:bCs/>
                <w:i/>
                <w:iCs/>
                <w:color w:val="000000" w:themeColor="text1"/>
              </w:rPr>
              <w:t>China</w:t>
            </w:r>
          </w:p>
        </w:tc>
      </w:tr>
      <w:tr w:rsidR="00822434" w:rsidRPr="00822434" w14:paraId="459F92A5" w14:textId="77777777" w:rsidTr="00822434">
        <w:trPr>
          <w:trHeight w:hRule="exact" w:val="2304"/>
        </w:trPr>
        <w:tc>
          <w:tcPr>
            <w:tcW w:w="4680" w:type="dxa"/>
          </w:tcPr>
          <w:p w14:paraId="3F5792CE" w14:textId="77777777" w:rsidR="00822434" w:rsidRPr="00822434" w:rsidRDefault="00822434" w:rsidP="00822434">
            <w:pPr>
              <w:tabs>
                <w:tab w:val="left" w:pos="915"/>
              </w:tabs>
              <w:spacing w:after="0"/>
              <w:ind w:firstLine="0"/>
              <w:jc w:val="center"/>
              <w:rPr>
                <w:rFonts w:cstheme="minorHAnsi"/>
                <w:color w:val="000000" w:themeColor="text1"/>
              </w:rPr>
            </w:pPr>
            <w:r w:rsidRPr="00822434">
              <w:rPr>
                <w:rFonts w:cstheme="minorHAnsi"/>
                <w:noProof/>
                <w:color w:val="000000" w:themeColor="text1"/>
              </w:rPr>
              <w:drawing>
                <wp:inline distT="0" distB="0" distL="0" distR="0" wp14:anchorId="267A8AF9" wp14:editId="0013BBC1">
                  <wp:extent cx="2571750" cy="1440000"/>
                  <wp:effectExtent l="0" t="0" r="0" b="8255"/>
                  <wp:docPr id="7" name="Chart 7">
                    <a:extLst xmlns:a="http://schemas.openxmlformats.org/drawingml/2006/main">
                      <a:ext uri="{FF2B5EF4-FFF2-40B4-BE49-F238E27FC236}">
                        <a16:creationId xmlns:a16="http://schemas.microsoft.com/office/drawing/2014/main" id="{0741EFBB-D204-94A9-4EF1-790BF34AAC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4680" w:type="dxa"/>
          </w:tcPr>
          <w:p w14:paraId="1DA7B38B" w14:textId="77777777" w:rsidR="00822434" w:rsidRPr="00822434" w:rsidRDefault="00822434" w:rsidP="00822434">
            <w:pPr>
              <w:tabs>
                <w:tab w:val="left" w:pos="915"/>
              </w:tabs>
              <w:spacing w:after="0"/>
              <w:ind w:firstLine="0"/>
              <w:jc w:val="center"/>
              <w:rPr>
                <w:rFonts w:cstheme="minorHAnsi"/>
                <w:color w:val="000000" w:themeColor="text1"/>
              </w:rPr>
            </w:pPr>
            <w:r w:rsidRPr="00822434">
              <w:rPr>
                <w:rFonts w:cstheme="minorHAnsi"/>
                <w:noProof/>
                <w:color w:val="000000" w:themeColor="text1"/>
              </w:rPr>
              <w:drawing>
                <wp:inline distT="0" distB="0" distL="0" distR="0" wp14:anchorId="11F0B96F" wp14:editId="691FB29A">
                  <wp:extent cx="2571750" cy="1440000"/>
                  <wp:effectExtent l="0" t="0" r="0" b="8255"/>
                  <wp:docPr id="23" name="Chart 23">
                    <a:extLst xmlns:a="http://schemas.openxmlformats.org/drawingml/2006/main">
                      <a:ext uri="{FF2B5EF4-FFF2-40B4-BE49-F238E27FC236}">
                        <a16:creationId xmlns:a16="http://schemas.microsoft.com/office/drawing/2014/main" id="{F8BC126F-1DD2-44D9-A806-FB7722244E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822434" w:rsidRPr="00822434" w14:paraId="70EAE804" w14:textId="77777777" w:rsidTr="00822434">
        <w:trPr>
          <w:trHeight w:val="432"/>
        </w:trPr>
        <w:tc>
          <w:tcPr>
            <w:tcW w:w="9360" w:type="dxa"/>
            <w:gridSpan w:val="2"/>
            <w:vAlign w:val="center"/>
          </w:tcPr>
          <w:p w14:paraId="15C991CB" w14:textId="77777777" w:rsidR="00822434" w:rsidRPr="00822434" w:rsidRDefault="00822434" w:rsidP="00822434">
            <w:pPr>
              <w:tabs>
                <w:tab w:val="left" w:pos="915"/>
              </w:tabs>
              <w:spacing w:after="0" w:line="240" w:lineRule="auto"/>
              <w:ind w:firstLine="0"/>
              <w:jc w:val="center"/>
              <w:rPr>
                <w:rFonts w:cstheme="minorHAnsi"/>
                <w:b/>
                <w:bCs/>
                <w:i/>
                <w:iCs/>
                <w:color w:val="000000" w:themeColor="text1"/>
              </w:rPr>
            </w:pPr>
            <w:r w:rsidRPr="00822434">
              <w:rPr>
                <w:rFonts w:cstheme="minorHAnsi"/>
                <w:b/>
                <w:bCs/>
                <w:i/>
                <w:iCs/>
                <w:color w:val="000000" w:themeColor="text1"/>
              </w:rPr>
              <w:t>India</w:t>
            </w:r>
          </w:p>
        </w:tc>
      </w:tr>
      <w:tr w:rsidR="00822434" w:rsidRPr="00822434" w14:paraId="40E5DBE3" w14:textId="77777777" w:rsidTr="00822434">
        <w:trPr>
          <w:trHeight w:hRule="exact" w:val="2304"/>
        </w:trPr>
        <w:tc>
          <w:tcPr>
            <w:tcW w:w="4680" w:type="dxa"/>
          </w:tcPr>
          <w:p w14:paraId="7ED3E865" w14:textId="77777777" w:rsidR="00822434" w:rsidRPr="00822434" w:rsidRDefault="00822434" w:rsidP="00822434">
            <w:pPr>
              <w:tabs>
                <w:tab w:val="left" w:pos="915"/>
              </w:tabs>
              <w:spacing w:after="0"/>
              <w:ind w:firstLine="0"/>
              <w:jc w:val="center"/>
              <w:rPr>
                <w:rFonts w:cstheme="minorHAnsi"/>
                <w:color w:val="000000" w:themeColor="text1"/>
              </w:rPr>
            </w:pPr>
            <w:r w:rsidRPr="00822434">
              <w:rPr>
                <w:rFonts w:cstheme="minorHAnsi"/>
                <w:noProof/>
                <w:color w:val="000000" w:themeColor="text1"/>
              </w:rPr>
              <w:drawing>
                <wp:inline distT="0" distB="0" distL="0" distR="0" wp14:anchorId="23A05C50" wp14:editId="10D8C323">
                  <wp:extent cx="2571750" cy="1440000"/>
                  <wp:effectExtent l="0" t="0" r="0" b="8255"/>
                  <wp:docPr id="24" name="Chart 24">
                    <a:extLst xmlns:a="http://schemas.openxmlformats.org/drawingml/2006/main">
                      <a:ext uri="{FF2B5EF4-FFF2-40B4-BE49-F238E27FC236}">
                        <a16:creationId xmlns:a16="http://schemas.microsoft.com/office/drawing/2014/main" id="{94853BB2-06B1-4F5D-ABB1-AB25692671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c>
          <w:tcPr>
            <w:tcW w:w="4680" w:type="dxa"/>
          </w:tcPr>
          <w:p w14:paraId="22877024" w14:textId="77777777" w:rsidR="00822434" w:rsidRPr="00822434" w:rsidRDefault="00822434" w:rsidP="00822434">
            <w:pPr>
              <w:tabs>
                <w:tab w:val="left" w:pos="915"/>
              </w:tabs>
              <w:spacing w:after="0"/>
              <w:ind w:firstLine="0"/>
              <w:jc w:val="center"/>
              <w:rPr>
                <w:rFonts w:cstheme="minorHAnsi"/>
                <w:color w:val="000000" w:themeColor="text1"/>
              </w:rPr>
            </w:pPr>
            <w:r w:rsidRPr="00822434">
              <w:rPr>
                <w:rFonts w:cstheme="minorHAnsi"/>
                <w:noProof/>
                <w:color w:val="000000" w:themeColor="text1"/>
              </w:rPr>
              <w:drawing>
                <wp:inline distT="0" distB="0" distL="0" distR="0" wp14:anchorId="2071F043" wp14:editId="7B0641E1">
                  <wp:extent cx="2571750" cy="1440000"/>
                  <wp:effectExtent l="0" t="0" r="0" b="8255"/>
                  <wp:docPr id="25" name="Chart 25">
                    <a:extLst xmlns:a="http://schemas.openxmlformats.org/drawingml/2006/main">
                      <a:ext uri="{FF2B5EF4-FFF2-40B4-BE49-F238E27FC236}">
                        <a16:creationId xmlns:a16="http://schemas.microsoft.com/office/drawing/2014/main" id="{25634F8B-3EE9-42C2-9496-ED4066501A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r w:rsidR="00822434" w:rsidRPr="00822434" w14:paraId="7A389227" w14:textId="77777777" w:rsidTr="00822434">
        <w:trPr>
          <w:trHeight w:val="288"/>
        </w:trPr>
        <w:tc>
          <w:tcPr>
            <w:tcW w:w="9360" w:type="dxa"/>
            <w:gridSpan w:val="2"/>
            <w:vAlign w:val="center"/>
          </w:tcPr>
          <w:p w14:paraId="4D315FE4" w14:textId="77777777" w:rsidR="00822434" w:rsidRPr="00822434" w:rsidRDefault="00822434" w:rsidP="00822434">
            <w:pPr>
              <w:tabs>
                <w:tab w:val="left" w:pos="915"/>
              </w:tabs>
              <w:spacing w:after="0" w:line="240" w:lineRule="auto"/>
              <w:ind w:firstLine="0"/>
              <w:jc w:val="center"/>
              <w:rPr>
                <w:rFonts w:cstheme="minorHAnsi"/>
                <w:b/>
                <w:bCs/>
                <w:i/>
                <w:iCs/>
                <w:color w:val="000000" w:themeColor="text1"/>
              </w:rPr>
            </w:pPr>
            <w:r w:rsidRPr="00822434">
              <w:rPr>
                <w:rFonts w:cstheme="minorHAnsi"/>
                <w:b/>
                <w:bCs/>
                <w:i/>
                <w:iCs/>
                <w:color w:val="000000" w:themeColor="text1"/>
              </w:rPr>
              <w:t>U.S.</w:t>
            </w:r>
          </w:p>
        </w:tc>
      </w:tr>
      <w:tr w:rsidR="00822434" w:rsidRPr="00822434" w14:paraId="06F81613" w14:textId="77777777" w:rsidTr="00822434">
        <w:trPr>
          <w:trHeight w:hRule="exact" w:val="2304"/>
        </w:trPr>
        <w:tc>
          <w:tcPr>
            <w:tcW w:w="4680" w:type="dxa"/>
          </w:tcPr>
          <w:p w14:paraId="674BEAAF" w14:textId="77777777" w:rsidR="00822434" w:rsidRPr="00822434" w:rsidRDefault="00822434" w:rsidP="00822434">
            <w:pPr>
              <w:tabs>
                <w:tab w:val="left" w:pos="915"/>
              </w:tabs>
              <w:spacing w:after="0"/>
              <w:ind w:firstLine="0"/>
              <w:jc w:val="center"/>
              <w:rPr>
                <w:rFonts w:cstheme="minorHAnsi"/>
                <w:color w:val="000000" w:themeColor="text1"/>
              </w:rPr>
            </w:pPr>
            <w:r w:rsidRPr="00822434">
              <w:rPr>
                <w:rFonts w:cstheme="minorHAnsi"/>
                <w:noProof/>
                <w:color w:val="000000" w:themeColor="text1"/>
              </w:rPr>
              <w:drawing>
                <wp:inline distT="0" distB="0" distL="0" distR="0" wp14:anchorId="7AC0557B" wp14:editId="638E7E0E">
                  <wp:extent cx="2571750" cy="1440000"/>
                  <wp:effectExtent l="0" t="0" r="0" b="8255"/>
                  <wp:docPr id="26" name="Chart 26">
                    <a:extLst xmlns:a="http://schemas.openxmlformats.org/drawingml/2006/main">
                      <a:ext uri="{FF2B5EF4-FFF2-40B4-BE49-F238E27FC236}">
                        <a16:creationId xmlns:a16="http://schemas.microsoft.com/office/drawing/2014/main" id="{CDD6008C-8276-4184-B177-A3368CF080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c>
          <w:tcPr>
            <w:tcW w:w="4680" w:type="dxa"/>
          </w:tcPr>
          <w:p w14:paraId="667739FA" w14:textId="77777777" w:rsidR="00822434" w:rsidRPr="00822434" w:rsidRDefault="00822434" w:rsidP="00822434">
            <w:pPr>
              <w:tabs>
                <w:tab w:val="left" w:pos="915"/>
              </w:tabs>
              <w:spacing w:after="0"/>
              <w:ind w:firstLine="0"/>
              <w:jc w:val="center"/>
              <w:rPr>
                <w:rFonts w:cstheme="minorHAnsi"/>
                <w:color w:val="000000" w:themeColor="text1"/>
              </w:rPr>
            </w:pPr>
            <w:r w:rsidRPr="00822434">
              <w:rPr>
                <w:rFonts w:cstheme="minorHAnsi"/>
                <w:noProof/>
                <w:color w:val="000000" w:themeColor="text1"/>
              </w:rPr>
              <w:drawing>
                <wp:inline distT="0" distB="0" distL="0" distR="0" wp14:anchorId="6B2763D5" wp14:editId="6779936E">
                  <wp:extent cx="2571750" cy="1440000"/>
                  <wp:effectExtent l="0" t="0" r="0" b="8255"/>
                  <wp:docPr id="27" name="Chart 27">
                    <a:extLst xmlns:a="http://schemas.openxmlformats.org/drawingml/2006/main">
                      <a:ext uri="{FF2B5EF4-FFF2-40B4-BE49-F238E27FC236}">
                        <a16:creationId xmlns:a16="http://schemas.microsoft.com/office/drawing/2014/main" id="{59217822-80C8-4403-A78F-22CA7A77F9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822434" w:rsidRPr="00822434" w14:paraId="4712599F" w14:textId="77777777" w:rsidTr="00822434">
        <w:tc>
          <w:tcPr>
            <w:tcW w:w="9360" w:type="dxa"/>
            <w:gridSpan w:val="2"/>
          </w:tcPr>
          <w:p w14:paraId="767379BE" w14:textId="77777777" w:rsidR="00822434" w:rsidRPr="00822434" w:rsidRDefault="00822434" w:rsidP="00822434">
            <w:pPr>
              <w:pStyle w:val="PRPRTabNote"/>
              <w:rPr>
                <w:rFonts w:asciiTheme="minorHAnsi" w:hAnsiTheme="minorHAnsi" w:cstheme="minorHAnsi"/>
                <w:noProof/>
                <w:color w:val="000000" w:themeColor="text1"/>
              </w:rPr>
            </w:pPr>
            <w:r w:rsidRPr="00822434">
              <w:rPr>
                <w:rFonts w:asciiTheme="minorHAnsi" w:hAnsiTheme="minorHAnsi" w:cstheme="minorHAnsi"/>
                <w:i/>
                <w:color w:val="000000" w:themeColor="text1"/>
              </w:rPr>
              <w:t>Source</w:t>
            </w:r>
            <w:r w:rsidRPr="00822434">
              <w:rPr>
                <w:rFonts w:asciiTheme="minorHAnsi" w:hAnsiTheme="minorHAnsi" w:cstheme="minorHAnsi"/>
                <w:color w:val="000000" w:themeColor="text1"/>
              </w:rPr>
              <w:t>: Authors' calculations based on WIC projections, Periodic Labor Force Survey, and China General Social Survey, and U.S. Censuses.</w:t>
            </w:r>
          </w:p>
        </w:tc>
      </w:tr>
    </w:tbl>
    <w:p w14:paraId="4A3DD0F2" w14:textId="390DAB4A" w:rsidR="00B3651E" w:rsidRPr="00822434" w:rsidRDefault="00554C3E" w:rsidP="003C5D34">
      <w:pPr>
        <w:pStyle w:val="L2Head"/>
        <w:rPr>
          <w:rFonts w:asciiTheme="minorHAnsi" w:hAnsiTheme="minorHAnsi" w:cstheme="minorHAnsi"/>
          <w:color w:val="000000" w:themeColor="text1"/>
        </w:rPr>
      </w:pPr>
      <w:bookmarkStart w:id="10" w:name="_Toc160711497"/>
      <w:r w:rsidRPr="00822434">
        <w:rPr>
          <w:rFonts w:asciiTheme="minorHAnsi" w:hAnsiTheme="minorHAnsi" w:cstheme="minorHAnsi"/>
          <w:i w:val="0"/>
          <w:iCs w:val="0"/>
          <w:color w:val="000000" w:themeColor="text1"/>
        </w:rPr>
        <w:t>B.4</w:t>
      </w:r>
      <w:r w:rsidRPr="00822434">
        <w:rPr>
          <w:rFonts w:asciiTheme="minorHAnsi" w:hAnsiTheme="minorHAnsi" w:cstheme="minorHAnsi"/>
          <w:color w:val="000000" w:themeColor="text1"/>
        </w:rPr>
        <w:t xml:space="preserve"> </w:t>
      </w:r>
      <w:r w:rsidR="00B3651E" w:rsidRPr="00822434">
        <w:rPr>
          <w:rFonts w:asciiTheme="minorHAnsi" w:hAnsiTheme="minorHAnsi" w:cstheme="minorHAnsi"/>
          <w:color w:val="000000" w:themeColor="text1"/>
        </w:rPr>
        <w:t xml:space="preserve">Calculation of the </w:t>
      </w:r>
      <w:r w:rsidR="003C5D34" w:rsidRPr="00822434">
        <w:rPr>
          <w:rFonts w:asciiTheme="minorHAnsi" w:hAnsiTheme="minorHAnsi" w:cstheme="minorHAnsi"/>
          <w:color w:val="000000" w:themeColor="text1"/>
        </w:rPr>
        <w:t>Productivity-Weighted Labor Force Size</w:t>
      </w:r>
      <w:bookmarkEnd w:id="10"/>
    </w:p>
    <w:p w14:paraId="4085B6AB" w14:textId="77777777" w:rsidR="00B3651E" w:rsidRPr="00822434" w:rsidRDefault="00B3651E" w:rsidP="003C5D34">
      <w:pPr>
        <w:pStyle w:val="PRPRManIndent"/>
        <w:rPr>
          <w:rFonts w:asciiTheme="minorHAnsi" w:hAnsiTheme="minorHAnsi" w:cstheme="minorHAnsi"/>
          <w:color w:val="000000" w:themeColor="text1"/>
          <w:lang w:val="en-CA"/>
        </w:rPr>
      </w:pPr>
      <w:r w:rsidRPr="00822434">
        <w:rPr>
          <w:rFonts w:asciiTheme="minorHAnsi" w:hAnsiTheme="minorHAnsi" w:cstheme="minorHAnsi"/>
          <w:color w:val="000000" w:themeColor="text1"/>
          <w:lang w:val="en-CA"/>
        </w:rPr>
        <w:t xml:space="preserve">For a country </w:t>
      </w:r>
      <w:r w:rsidRPr="00822434">
        <w:rPr>
          <w:rFonts w:asciiTheme="minorHAnsi" w:hAnsiTheme="minorHAnsi" w:cstheme="minorHAnsi"/>
          <w:i/>
          <w:color w:val="000000" w:themeColor="text1"/>
          <w:lang w:val="en-CA"/>
        </w:rPr>
        <w:t>c</w:t>
      </w:r>
      <w:r w:rsidRPr="00822434">
        <w:rPr>
          <w:rFonts w:asciiTheme="minorHAnsi" w:hAnsiTheme="minorHAnsi" w:cstheme="minorHAnsi"/>
          <w:color w:val="000000" w:themeColor="text1"/>
          <w:lang w:val="en-CA"/>
        </w:rPr>
        <w:t xml:space="preserve"> at time </w:t>
      </w:r>
      <w:r w:rsidRPr="00822434">
        <w:rPr>
          <w:rFonts w:asciiTheme="minorHAnsi" w:hAnsiTheme="minorHAnsi" w:cstheme="minorHAnsi"/>
          <w:i/>
          <w:color w:val="000000" w:themeColor="text1"/>
          <w:lang w:val="en-CA"/>
        </w:rPr>
        <w:t>t</w:t>
      </w:r>
      <w:r w:rsidRPr="00822434">
        <w:rPr>
          <w:rFonts w:asciiTheme="minorHAnsi" w:hAnsiTheme="minorHAnsi" w:cstheme="minorHAnsi"/>
          <w:color w:val="000000" w:themeColor="text1"/>
          <w:lang w:val="en-CA"/>
        </w:rPr>
        <w:t>, the productivity-weighted labor force size (PWLF) is calculated as follows:</w:t>
      </w:r>
    </w:p>
    <w:p w14:paraId="64BDA765" w14:textId="5DBA275F" w:rsidR="00B3651E" w:rsidRPr="00822434" w:rsidRDefault="003C5D34" w:rsidP="003C5D34">
      <w:pPr>
        <w:pStyle w:val="PRPREquation"/>
        <w:rPr>
          <w:rFonts w:asciiTheme="minorHAnsi" w:hAnsiTheme="minorHAnsi" w:cstheme="minorHAnsi"/>
        </w:rPr>
      </w:pPr>
      <w:r w:rsidRPr="00822434">
        <w:rPr>
          <w:rFonts w:asciiTheme="minorHAnsi" w:eastAsiaTheme="minorEastAsia" w:hAnsiTheme="minorHAnsi" w:cstheme="minorHAnsi"/>
        </w:rPr>
        <w:tab/>
      </w:r>
      <m:oMath>
        <m:sSub>
          <m:sSubPr>
            <m:ctrlPr>
              <w:rPr>
                <w:rFonts w:ascii="Cambria Math" w:hAnsi="Cambria Math" w:cstheme="minorHAnsi"/>
              </w:rPr>
            </m:ctrlPr>
          </m:sSubPr>
          <m:e>
            <m:r>
              <w:rPr>
                <w:rFonts w:ascii="Cambria Math" w:hAnsi="Cambria Math" w:cstheme="minorHAnsi"/>
              </w:rPr>
              <m:t>PWLF</m:t>
            </m:r>
          </m:e>
          <m:sub>
            <m:r>
              <w:rPr>
                <w:rFonts w:ascii="Cambria Math" w:hAnsi="Cambria Math" w:cstheme="minorHAnsi"/>
              </w:rPr>
              <m:t>c</m:t>
            </m:r>
            <m:r>
              <m:rPr>
                <m:sty m:val="p"/>
              </m:rPr>
              <w:rPr>
                <w:rFonts w:ascii="Cambria Math" w:hAnsi="Cambria Math" w:cstheme="minorHAnsi"/>
              </w:rPr>
              <m:t>,</m:t>
            </m:r>
            <m:r>
              <w:rPr>
                <w:rFonts w:ascii="Cambria Math" w:hAnsi="Cambria Math" w:cstheme="minorHAnsi"/>
              </w:rPr>
              <m:t>t</m:t>
            </m:r>
          </m:sub>
        </m:sSub>
        <m:r>
          <m:rPr>
            <m:sty m:val="p"/>
          </m:rP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SAF</m:t>
            </m:r>
          </m:e>
          <m:sub>
            <m:r>
              <w:rPr>
                <w:rFonts w:ascii="Cambria Math" w:hAnsi="Cambria Math" w:cstheme="minorHAnsi"/>
              </w:rPr>
              <m:t>c</m:t>
            </m:r>
            <m:r>
              <m:rPr>
                <m:sty m:val="p"/>
              </m:rPr>
              <w:rPr>
                <w:rFonts w:ascii="Cambria Math" w:hAnsi="Cambria Math" w:cstheme="minorHAnsi"/>
              </w:rPr>
              <m:t>,</m:t>
            </m:r>
            <m:r>
              <w:rPr>
                <w:rFonts w:ascii="Cambria Math" w:hAnsi="Cambria Math" w:cstheme="minorHAnsi"/>
              </w:rPr>
              <m:t>t</m:t>
            </m:r>
          </m:sub>
        </m:sSub>
        <m:nary>
          <m:naryPr>
            <m:chr m:val="∑"/>
            <m:limLoc m:val="undOvr"/>
            <m:ctrlPr>
              <w:rPr>
                <w:rFonts w:ascii="Cambria Math" w:hAnsi="Cambria Math" w:cstheme="minorHAnsi"/>
              </w:rPr>
            </m:ctrlPr>
          </m:naryPr>
          <m:sub>
            <m:r>
              <w:rPr>
                <w:rFonts w:ascii="Cambria Math" w:hAnsi="Cambria Math" w:cstheme="minorHAnsi"/>
              </w:rPr>
              <m:t>e</m:t>
            </m:r>
            <m:r>
              <m:rPr>
                <m:sty m:val="p"/>
              </m:rPr>
              <w:rPr>
                <w:rFonts w:ascii="Cambria Math" w:hAnsi="Cambria Math" w:cstheme="minorHAnsi"/>
              </w:rPr>
              <m:t>=1</m:t>
            </m:r>
          </m:sub>
          <m:sup>
            <m:r>
              <w:rPr>
                <w:rFonts w:ascii="Cambria Math" w:hAnsi="Cambria Math" w:cstheme="minorHAnsi"/>
              </w:rPr>
              <m:t>k</m:t>
            </m:r>
          </m:sup>
          <m:e>
            <m:sSubSup>
              <m:sSubSupPr>
                <m:ctrlPr>
                  <w:rPr>
                    <w:rFonts w:ascii="Cambria Math" w:hAnsi="Cambria Math" w:cstheme="minorHAnsi"/>
                  </w:rPr>
                </m:ctrlPr>
              </m:sSubSupPr>
              <m:e>
                <m:r>
                  <w:rPr>
                    <w:rFonts w:ascii="Cambria Math" w:hAnsi="Cambria Math" w:cstheme="minorHAnsi"/>
                  </w:rPr>
                  <m:t>(</m:t>
                </m:r>
                <m:r>
                  <w:rPr>
                    <w:rFonts w:ascii="Cambria Math" w:hAnsi="Cambria Math" w:cstheme="minorHAnsi"/>
                  </w:rPr>
                  <m:t>W</m:t>
                </m:r>
              </m:e>
              <m:sub>
                <m:r>
                  <w:rPr>
                    <w:rFonts w:ascii="Cambria Math" w:hAnsi="Cambria Math" w:cstheme="minorHAnsi"/>
                  </w:rPr>
                  <m:t>e</m:t>
                </m:r>
                <m:r>
                  <m:rPr>
                    <m:sty m:val="p"/>
                  </m:rPr>
                  <w:rPr>
                    <w:rFonts w:ascii="Cambria Math" w:hAnsi="Cambria Math" w:cstheme="minorHAnsi"/>
                  </w:rPr>
                  <m:t>,</m:t>
                </m:r>
                <m:r>
                  <w:rPr>
                    <w:rFonts w:ascii="Cambria Math" w:hAnsi="Cambria Math" w:cstheme="minorHAnsi"/>
                  </w:rPr>
                  <m:t>c</m:t>
                </m:r>
                <m:r>
                  <m:rPr>
                    <m:sty m:val="p"/>
                  </m:rPr>
                  <w:rPr>
                    <w:rFonts w:ascii="Cambria Math" w:hAnsi="Cambria Math" w:cstheme="minorHAnsi"/>
                  </w:rPr>
                  <m:t>,</m:t>
                </m:r>
                <m:r>
                  <w:rPr>
                    <w:rFonts w:ascii="Cambria Math" w:hAnsi="Cambria Math" w:cstheme="minorHAnsi"/>
                  </w:rPr>
                  <m:t>t</m:t>
                </m:r>
              </m:sub>
              <m:sup/>
            </m:sSubSup>
            <m:r>
              <w:rPr>
                <w:rFonts w:ascii="Cambria Math" w:hAnsi="Cambria Math" w:cstheme="minorHAnsi"/>
              </w:rPr>
              <m:t xml:space="preserve"> </m:t>
            </m:r>
            <m:r>
              <m:rPr>
                <m:sty m:val="p"/>
              </m:rPr>
              <w:rPr>
                <w:rFonts w:ascii="Cambria Math" w:hAnsi="Cambria Math" w:cstheme="minorHAnsi"/>
              </w:rPr>
              <m:t>×</m:t>
            </m:r>
            <m:r>
              <w:rPr>
                <w:rFonts w:ascii="Cambria Math" w:hAnsi="Cambria Math" w:cstheme="minorHAnsi"/>
              </w:rPr>
              <m:t xml:space="preserve"> </m:t>
            </m:r>
            <m:sSub>
              <m:sSubPr>
                <m:ctrlPr>
                  <w:rPr>
                    <w:rFonts w:ascii="Cambria Math" w:hAnsi="Cambria Math" w:cstheme="minorHAnsi"/>
                  </w:rPr>
                </m:ctrlPr>
              </m:sSubPr>
              <m:e>
                <m:r>
                  <w:rPr>
                    <w:rFonts w:ascii="Cambria Math" w:hAnsi="Cambria Math" w:cstheme="minorHAnsi"/>
                  </w:rPr>
                  <m:t>LABOR</m:t>
                </m:r>
              </m:e>
              <m:sub>
                <m:r>
                  <w:rPr>
                    <w:rFonts w:ascii="Cambria Math" w:hAnsi="Cambria Math" w:cstheme="minorHAnsi"/>
                  </w:rPr>
                  <m:t>e</m:t>
                </m:r>
                <m:r>
                  <m:rPr>
                    <m:sty m:val="p"/>
                  </m:rPr>
                  <w:rPr>
                    <w:rFonts w:ascii="Cambria Math" w:hAnsi="Cambria Math" w:cstheme="minorHAnsi"/>
                  </w:rPr>
                  <m:t>,</m:t>
                </m:r>
                <m:r>
                  <w:rPr>
                    <w:rFonts w:ascii="Cambria Math" w:hAnsi="Cambria Math" w:cstheme="minorHAnsi"/>
                  </w:rPr>
                  <m:t>c</m:t>
                </m:r>
                <m:r>
                  <m:rPr>
                    <m:sty m:val="p"/>
                  </m:rPr>
                  <w:rPr>
                    <w:rFonts w:ascii="Cambria Math" w:hAnsi="Cambria Math" w:cstheme="minorHAnsi"/>
                  </w:rPr>
                  <m:t>,</m:t>
                </m:r>
                <m:r>
                  <w:rPr>
                    <w:rFonts w:ascii="Cambria Math" w:hAnsi="Cambria Math" w:cstheme="minorHAnsi"/>
                  </w:rPr>
                  <m:t>t</m:t>
                </m:r>
              </m:sub>
            </m:sSub>
          </m:e>
        </m:nary>
        <m:r>
          <w:rPr>
            <w:rFonts w:ascii="Cambria Math" w:hAnsi="Cambria Math" w:cstheme="minorHAnsi"/>
          </w:rPr>
          <m:t>)</m:t>
        </m:r>
      </m:oMath>
      <w:r w:rsidRPr="00822434">
        <w:rPr>
          <w:rFonts w:asciiTheme="minorHAnsi" w:eastAsiaTheme="minorEastAsia" w:hAnsiTheme="minorHAnsi" w:cstheme="minorHAnsi"/>
        </w:rPr>
        <w:tab/>
        <w:t>(5)</w:t>
      </w:r>
    </w:p>
    <w:p w14:paraId="5ACBAF66" w14:textId="77777777" w:rsidR="00B3651E" w:rsidRPr="00822434" w:rsidRDefault="00000000" w:rsidP="003C5D34">
      <w:pPr>
        <w:pStyle w:val="PRPRManIndent"/>
        <w:rPr>
          <w:rFonts w:asciiTheme="minorHAnsi" w:hAnsiTheme="minorHAnsi" w:cstheme="minorHAnsi"/>
          <w:color w:val="000000" w:themeColor="text1"/>
        </w:rPr>
      </w:pPr>
      <m:oMath>
        <m:sSubSup>
          <m:sSubSupPr>
            <m:ctrlPr>
              <w:rPr>
                <w:rFonts w:ascii="Cambria Math" w:hAnsi="Cambria Math" w:cstheme="minorHAnsi"/>
                <w:i/>
                <w:color w:val="000000" w:themeColor="text1"/>
              </w:rPr>
            </m:ctrlPr>
          </m:sSubSupPr>
          <m:e>
            <m:r>
              <w:rPr>
                <w:rFonts w:ascii="Cambria Math" w:hAnsi="Cambria Math" w:cstheme="minorHAnsi"/>
                <w:color w:val="000000" w:themeColor="text1"/>
              </w:rPr>
              <m:t>W</m:t>
            </m:r>
          </m:e>
          <m:sub>
            <m:r>
              <w:rPr>
                <w:rFonts w:ascii="Cambria Math" w:hAnsi="Cambria Math" w:cstheme="minorHAnsi"/>
                <w:color w:val="000000" w:themeColor="text1"/>
              </w:rPr>
              <m:t>e,c,t</m:t>
            </m:r>
          </m:sub>
          <m:sup/>
        </m:sSubSup>
      </m:oMath>
      <w:r w:rsidR="00B3651E" w:rsidRPr="00822434">
        <w:rPr>
          <w:rFonts w:asciiTheme="minorHAnsi" w:hAnsiTheme="minorHAnsi" w:cstheme="minorHAnsi"/>
          <w:color w:val="000000" w:themeColor="text1"/>
        </w:rPr>
        <w:t xml:space="preserve">corresponds to the productivity-weights by education level </w:t>
      </w:r>
      <w:r w:rsidR="00B3651E" w:rsidRPr="00822434">
        <w:rPr>
          <w:rFonts w:asciiTheme="minorHAnsi" w:hAnsiTheme="minorHAnsi" w:cstheme="minorHAnsi"/>
          <w:i/>
          <w:color w:val="000000" w:themeColor="text1"/>
        </w:rPr>
        <w:t>e</w:t>
      </w:r>
      <w:r w:rsidR="00B3651E" w:rsidRPr="00822434">
        <w:rPr>
          <w:rFonts w:asciiTheme="minorHAnsi" w:hAnsiTheme="minorHAnsi" w:cstheme="minorHAnsi"/>
          <w:color w:val="000000" w:themeColor="text1"/>
        </w:rPr>
        <w:t xml:space="preserve"> specific to the </w:t>
      </w:r>
      <w:r w:rsidR="00B3651E" w:rsidRPr="00822434">
        <w:rPr>
          <w:rFonts w:asciiTheme="minorHAnsi" w:hAnsiTheme="minorHAnsi" w:cstheme="minorHAnsi"/>
          <w:color w:val="000000" w:themeColor="text1"/>
        </w:rPr>
        <w:lastRenderedPageBreak/>
        <w:t xml:space="preserve">average educational group of the country </w:t>
      </w:r>
      <w:proofErr w:type="spellStart"/>
      <w:r w:rsidR="00B3651E" w:rsidRPr="00822434">
        <w:rPr>
          <w:rFonts w:asciiTheme="minorHAnsi" w:hAnsiTheme="minorHAnsi" w:cstheme="minorHAnsi"/>
          <w:i/>
          <w:color w:val="000000" w:themeColor="text1"/>
        </w:rPr>
        <w:t>c</w:t>
      </w:r>
      <w:r w:rsidR="00B3651E" w:rsidRPr="00822434">
        <w:rPr>
          <w:rFonts w:asciiTheme="minorHAnsi" w:hAnsiTheme="minorHAnsi" w:cstheme="minorHAnsi"/>
          <w:color w:val="000000" w:themeColor="text1"/>
        </w:rPr>
        <w:t xml:space="preserve"> at</w:t>
      </w:r>
      <w:proofErr w:type="spellEnd"/>
      <w:r w:rsidR="00B3651E" w:rsidRPr="00822434">
        <w:rPr>
          <w:rFonts w:asciiTheme="minorHAnsi" w:hAnsiTheme="minorHAnsi" w:cstheme="minorHAnsi"/>
          <w:color w:val="000000" w:themeColor="text1"/>
        </w:rPr>
        <w:t xml:space="preserve"> time </w:t>
      </w:r>
      <w:r w:rsidR="00B3651E" w:rsidRPr="00822434">
        <w:rPr>
          <w:rFonts w:asciiTheme="minorHAnsi" w:hAnsiTheme="minorHAnsi" w:cstheme="minorHAnsi"/>
          <w:i/>
          <w:color w:val="000000" w:themeColor="text1"/>
        </w:rPr>
        <w:t>t</w:t>
      </w:r>
      <w:r w:rsidR="00B3651E" w:rsidRPr="00822434">
        <w:rPr>
          <w:rFonts w:asciiTheme="minorHAnsi" w:hAnsiTheme="minorHAnsi" w:cstheme="minorHAnsi"/>
          <w:color w:val="000000" w:themeColor="text1"/>
        </w:rPr>
        <w:t xml:space="preserve"> as calculated in the previous section. LABOR</w:t>
      </w:r>
      <w:r w:rsidR="00B3651E" w:rsidRPr="00822434">
        <w:rPr>
          <w:rFonts w:asciiTheme="minorHAnsi" w:hAnsiTheme="minorHAnsi" w:cstheme="minorHAnsi"/>
          <w:color w:val="000000" w:themeColor="text1"/>
          <w:vertAlign w:val="subscript"/>
        </w:rPr>
        <w:t xml:space="preserve"> </w:t>
      </w:r>
      <w:proofErr w:type="spellStart"/>
      <w:proofErr w:type="gramStart"/>
      <w:r w:rsidR="00B3651E" w:rsidRPr="00822434">
        <w:rPr>
          <w:rFonts w:asciiTheme="minorHAnsi" w:hAnsiTheme="minorHAnsi" w:cstheme="minorHAnsi"/>
          <w:color w:val="000000" w:themeColor="text1"/>
          <w:vertAlign w:val="subscript"/>
        </w:rPr>
        <w:t>e,c</w:t>
      </w:r>
      <w:proofErr w:type="gramEnd"/>
      <w:r w:rsidR="00B3651E" w:rsidRPr="00822434">
        <w:rPr>
          <w:rFonts w:asciiTheme="minorHAnsi" w:hAnsiTheme="minorHAnsi" w:cstheme="minorHAnsi"/>
          <w:color w:val="000000" w:themeColor="text1"/>
          <w:vertAlign w:val="subscript"/>
        </w:rPr>
        <w:t>,t</w:t>
      </w:r>
      <w:proofErr w:type="spellEnd"/>
      <w:r w:rsidR="00B3651E" w:rsidRPr="00822434">
        <w:rPr>
          <w:rFonts w:asciiTheme="minorHAnsi" w:hAnsiTheme="minorHAnsi" w:cstheme="minorHAnsi"/>
          <w:color w:val="000000" w:themeColor="text1"/>
        </w:rPr>
        <w:t xml:space="preserve"> is the population in the labor force. </w:t>
      </w:r>
      <w:proofErr w:type="spellStart"/>
      <w:proofErr w:type="gramStart"/>
      <w:r w:rsidR="00B3651E" w:rsidRPr="00822434">
        <w:rPr>
          <w:rFonts w:asciiTheme="minorHAnsi" w:hAnsiTheme="minorHAnsi" w:cstheme="minorHAnsi"/>
          <w:color w:val="000000" w:themeColor="text1"/>
        </w:rPr>
        <w:t>SAF</w:t>
      </w:r>
      <w:r w:rsidR="00B3651E" w:rsidRPr="00822434">
        <w:rPr>
          <w:rFonts w:asciiTheme="minorHAnsi" w:hAnsiTheme="minorHAnsi" w:cstheme="minorHAnsi"/>
          <w:color w:val="000000" w:themeColor="text1"/>
          <w:vertAlign w:val="subscript"/>
        </w:rPr>
        <w:t>c,t</w:t>
      </w:r>
      <w:proofErr w:type="spellEnd"/>
      <w:proofErr w:type="gramEnd"/>
      <w:r w:rsidR="00B3651E" w:rsidRPr="00822434">
        <w:rPr>
          <w:rFonts w:asciiTheme="minorHAnsi" w:hAnsiTheme="minorHAnsi" w:cstheme="minorHAnsi"/>
          <w:color w:val="000000" w:themeColor="text1"/>
        </w:rPr>
        <w:t xml:space="preserve"> is the Skill-adjustment factor specific to country </w:t>
      </w:r>
      <w:proofErr w:type="spellStart"/>
      <w:r w:rsidR="00B3651E" w:rsidRPr="00822434">
        <w:rPr>
          <w:rFonts w:asciiTheme="minorHAnsi" w:hAnsiTheme="minorHAnsi" w:cstheme="minorHAnsi"/>
          <w:i/>
          <w:color w:val="000000" w:themeColor="text1"/>
        </w:rPr>
        <w:t>c</w:t>
      </w:r>
      <w:r w:rsidR="00B3651E" w:rsidRPr="00822434">
        <w:rPr>
          <w:rFonts w:asciiTheme="minorHAnsi" w:hAnsiTheme="minorHAnsi" w:cstheme="minorHAnsi"/>
          <w:color w:val="000000" w:themeColor="text1"/>
        </w:rPr>
        <w:t xml:space="preserve"> at</w:t>
      </w:r>
      <w:proofErr w:type="spellEnd"/>
      <w:r w:rsidR="00B3651E" w:rsidRPr="00822434">
        <w:rPr>
          <w:rFonts w:asciiTheme="minorHAnsi" w:hAnsiTheme="minorHAnsi" w:cstheme="minorHAnsi"/>
          <w:color w:val="000000" w:themeColor="text1"/>
        </w:rPr>
        <w:t xml:space="preserve"> time </w:t>
      </w:r>
      <w:r w:rsidR="00B3651E" w:rsidRPr="00822434">
        <w:rPr>
          <w:rFonts w:asciiTheme="minorHAnsi" w:hAnsiTheme="minorHAnsi" w:cstheme="minorHAnsi"/>
          <w:i/>
          <w:color w:val="000000" w:themeColor="text1"/>
        </w:rPr>
        <w:t>t</w:t>
      </w:r>
      <w:r w:rsidR="00B3651E" w:rsidRPr="00822434">
        <w:rPr>
          <w:rFonts w:asciiTheme="minorHAnsi" w:hAnsiTheme="minorHAnsi" w:cstheme="minorHAnsi"/>
          <w:color w:val="000000" w:themeColor="text1"/>
        </w:rPr>
        <w:t>.</w:t>
      </w:r>
    </w:p>
    <w:p w14:paraId="5314B07F" w14:textId="6C076844" w:rsidR="00B3651E" w:rsidRPr="00822434" w:rsidRDefault="00B3651E" w:rsidP="003C5D34">
      <w:pPr>
        <w:pStyle w:val="PRPRManIndent"/>
        <w:rPr>
          <w:rFonts w:asciiTheme="minorHAnsi" w:hAnsiTheme="minorHAnsi" w:cstheme="minorHAnsi"/>
          <w:color w:val="000000" w:themeColor="text1"/>
        </w:rPr>
      </w:pPr>
      <w:r w:rsidRPr="00822434">
        <w:rPr>
          <w:rFonts w:asciiTheme="minorHAnsi" w:hAnsiTheme="minorHAnsi" w:cstheme="minorHAnsi"/>
          <w:color w:val="000000" w:themeColor="text1"/>
        </w:rPr>
        <w:t>For instance, there were 7</w:t>
      </w:r>
      <w:r w:rsidR="00E223B4" w:rsidRPr="00822434">
        <w:rPr>
          <w:rFonts w:asciiTheme="minorHAnsi" w:hAnsiTheme="minorHAnsi" w:cstheme="minorHAnsi"/>
          <w:color w:val="000000" w:themeColor="text1"/>
        </w:rPr>
        <w:t>7</w:t>
      </w:r>
      <w:r w:rsidR="000D25D0" w:rsidRPr="00822434">
        <w:rPr>
          <w:rFonts w:asciiTheme="minorHAnsi" w:hAnsiTheme="minorHAnsi" w:cstheme="minorHAnsi"/>
          <w:color w:val="000000" w:themeColor="text1"/>
        </w:rPr>
        <w:t xml:space="preserve"> million</w:t>
      </w:r>
      <w:r w:rsidRPr="00822434">
        <w:rPr>
          <w:rFonts w:asciiTheme="minorHAnsi" w:hAnsiTheme="minorHAnsi" w:cstheme="minorHAnsi"/>
          <w:color w:val="000000" w:themeColor="text1"/>
        </w:rPr>
        <w:t xml:space="preserve"> workers with a postsecondary education in </w:t>
      </w:r>
      <w:r w:rsidR="00E223B4" w:rsidRPr="00822434">
        <w:rPr>
          <w:rFonts w:asciiTheme="minorHAnsi" w:hAnsiTheme="minorHAnsi" w:cstheme="minorHAnsi"/>
          <w:color w:val="000000" w:themeColor="text1"/>
        </w:rPr>
        <w:t>India</w:t>
      </w:r>
      <w:r w:rsidRPr="00822434">
        <w:rPr>
          <w:rFonts w:asciiTheme="minorHAnsi" w:hAnsiTheme="minorHAnsi" w:cstheme="minorHAnsi"/>
          <w:color w:val="000000" w:themeColor="text1"/>
        </w:rPr>
        <w:t xml:space="preserve"> in 2020 (LABOR</w:t>
      </w:r>
      <w:r w:rsidRPr="00822434">
        <w:rPr>
          <w:rFonts w:asciiTheme="minorHAnsi" w:hAnsiTheme="minorHAnsi" w:cstheme="minorHAnsi"/>
          <w:color w:val="000000" w:themeColor="text1"/>
          <w:vertAlign w:val="subscript"/>
        </w:rPr>
        <w:t>e</w:t>
      </w:r>
      <w:proofErr w:type="gramStart"/>
      <w:r w:rsidR="0069188E" w:rsidRPr="00822434">
        <w:rPr>
          <w:rFonts w:asciiTheme="minorHAnsi" w:hAnsiTheme="minorHAnsi" w:cstheme="minorHAnsi"/>
          <w:color w:val="000000" w:themeColor="text1"/>
          <w:vertAlign w:val="subscript"/>
        </w:rPr>
        <w:t>5</w:t>
      </w:r>
      <w:r w:rsidRPr="00822434">
        <w:rPr>
          <w:rFonts w:asciiTheme="minorHAnsi" w:hAnsiTheme="minorHAnsi" w:cstheme="minorHAnsi"/>
          <w:color w:val="000000" w:themeColor="text1"/>
          <w:vertAlign w:val="subscript"/>
        </w:rPr>
        <w:t>,</w:t>
      </w:r>
      <w:r w:rsidR="00E223B4" w:rsidRPr="00822434">
        <w:rPr>
          <w:rFonts w:asciiTheme="minorHAnsi" w:hAnsiTheme="minorHAnsi" w:cstheme="minorHAnsi"/>
          <w:color w:val="000000" w:themeColor="text1"/>
          <w:vertAlign w:val="subscript"/>
        </w:rPr>
        <w:t>India</w:t>
      </w:r>
      <w:proofErr w:type="gramEnd"/>
      <w:r w:rsidRPr="00822434">
        <w:rPr>
          <w:rFonts w:asciiTheme="minorHAnsi" w:hAnsiTheme="minorHAnsi" w:cstheme="minorHAnsi"/>
          <w:color w:val="000000" w:themeColor="text1"/>
          <w:vertAlign w:val="subscript"/>
        </w:rPr>
        <w:t>,2020</w:t>
      </w:r>
      <w:r w:rsidRPr="00822434">
        <w:rPr>
          <w:rFonts w:asciiTheme="minorHAnsi" w:hAnsiTheme="minorHAnsi" w:cstheme="minorHAnsi"/>
          <w:color w:val="000000" w:themeColor="text1"/>
        </w:rPr>
        <w:t xml:space="preserve">), which corresponds to 16 years of schooling. As the average number of years of schooling in 2020 was </w:t>
      </w:r>
      <w:r w:rsidR="00E223B4" w:rsidRPr="00822434">
        <w:rPr>
          <w:rFonts w:asciiTheme="minorHAnsi" w:hAnsiTheme="minorHAnsi" w:cstheme="minorHAnsi"/>
          <w:color w:val="000000" w:themeColor="text1"/>
        </w:rPr>
        <w:t>7.63</w:t>
      </w:r>
      <w:r w:rsidRPr="00822434">
        <w:rPr>
          <w:rFonts w:asciiTheme="minorHAnsi" w:hAnsiTheme="minorHAnsi" w:cstheme="minorHAnsi"/>
          <w:color w:val="000000" w:themeColor="text1"/>
        </w:rPr>
        <w:t>, the value of W</w:t>
      </w:r>
      <w:r w:rsidRPr="00822434">
        <w:rPr>
          <w:rFonts w:asciiTheme="minorHAnsi" w:hAnsiTheme="minorHAnsi" w:cstheme="minorHAnsi"/>
          <w:color w:val="000000" w:themeColor="text1"/>
          <w:vertAlign w:val="subscript"/>
        </w:rPr>
        <w:t>e</w:t>
      </w:r>
      <w:proofErr w:type="gramStart"/>
      <w:r w:rsidR="0069188E" w:rsidRPr="00822434">
        <w:rPr>
          <w:rFonts w:asciiTheme="minorHAnsi" w:hAnsiTheme="minorHAnsi" w:cstheme="minorHAnsi"/>
          <w:color w:val="000000" w:themeColor="text1"/>
          <w:vertAlign w:val="subscript"/>
        </w:rPr>
        <w:t>5</w:t>
      </w:r>
      <w:r w:rsidRPr="00822434">
        <w:rPr>
          <w:rFonts w:asciiTheme="minorHAnsi" w:hAnsiTheme="minorHAnsi" w:cstheme="minorHAnsi"/>
          <w:color w:val="000000" w:themeColor="text1"/>
          <w:vertAlign w:val="subscript"/>
        </w:rPr>
        <w:t>,</w:t>
      </w:r>
      <w:r w:rsidR="00E223B4" w:rsidRPr="00822434">
        <w:rPr>
          <w:rFonts w:asciiTheme="minorHAnsi" w:hAnsiTheme="minorHAnsi" w:cstheme="minorHAnsi"/>
          <w:color w:val="000000" w:themeColor="text1"/>
          <w:vertAlign w:val="subscript"/>
        </w:rPr>
        <w:t>India</w:t>
      </w:r>
      <w:proofErr w:type="gramEnd"/>
      <w:r w:rsidRPr="00822434">
        <w:rPr>
          <w:rFonts w:asciiTheme="minorHAnsi" w:hAnsiTheme="minorHAnsi" w:cstheme="minorHAnsi"/>
          <w:color w:val="000000" w:themeColor="text1"/>
          <w:vertAlign w:val="subscript"/>
        </w:rPr>
        <w:t>,2020</w:t>
      </w:r>
      <w:r w:rsidRPr="00822434">
        <w:rPr>
          <w:rFonts w:asciiTheme="minorHAnsi" w:hAnsiTheme="minorHAnsi" w:cstheme="minorHAnsi"/>
          <w:color w:val="000000" w:themeColor="text1"/>
        </w:rPr>
        <w:t xml:space="preserve"> is </w:t>
      </w:r>
      <w:r w:rsidR="001F73C3" w:rsidRPr="00822434">
        <w:rPr>
          <w:rFonts w:asciiTheme="minorHAnsi" w:hAnsiTheme="minorHAnsi" w:cstheme="minorHAnsi"/>
          <w:color w:val="000000" w:themeColor="text1"/>
        </w:rPr>
        <w:t>3.</w:t>
      </w:r>
      <w:r w:rsidR="00575AAA" w:rsidRPr="00822434">
        <w:rPr>
          <w:rFonts w:asciiTheme="minorHAnsi" w:hAnsiTheme="minorHAnsi" w:cstheme="minorHAnsi"/>
          <w:color w:val="000000" w:themeColor="text1"/>
        </w:rPr>
        <w:t>0</w:t>
      </w:r>
      <w:r w:rsidR="001F73C3" w:rsidRPr="00822434">
        <w:rPr>
          <w:rFonts w:asciiTheme="minorHAnsi" w:hAnsiTheme="minorHAnsi" w:cstheme="minorHAnsi"/>
          <w:color w:val="000000" w:themeColor="text1"/>
        </w:rPr>
        <w:t>1</w:t>
      </w:r>
      <w:r w:rsidRPr="00822434">
        <w:rPr>
          <w:rFonts w:asciiTheme="minorHAnsi" w:hAnsiTheme="minorHAnsi" w:cstheme="minorHAnsi"/>
          <w:color w:val="000000" w:themeColor="text1"/>
        </w:rPr>
        <w:t>. When multiplying W</w:t>
      </w:r>
      <w:r w:rsidRPr="00822434">
        <w:rPr>
          <w:rFonts w:asciiTheme="minorHAnsi" w:hAnsiTheme="minorHAnsi" w:cstheme="minorHAnsi"/>
          <w:color w:val="000000" w:themeColor="text1"/>
          <w:vertAlign w:val="subscript"/>
        </w:rPr>
        <w:t>e</w:t>
      </w:r>
      <w:proofErr w:type="gramStart"/>
      <w:r w:rsidR="0069188E" w:rsidRPr="00822434">
        <w:rPr>
          <w:rFonts w:asciiTheme="minorHAnsi" w:hAnsiTheme="minorHAnsi" w:cstheme="minorHAnsi"/>
          <w:color w:val="000000" w:themeColor="text1"/>
          <w:vertAlign w:val="subscript"/>
        </w:rPr>
        <w:t>5</w:t>
      </w:r>
      <w:r w:rsidRPr="00822434">
        <w:rPr>
          <w:rFonts w:asciiTheme="minorHAnsi" w:hAnsiTheme="minorHAnsi" w:cstheme="minorHAnsi"/>
          <w:color w:val="000000" w:themeColor="text1"/>
          <w:vertAlign w:val="subscript"/>
        </w:rPr>
        <w:t>,</w:t>
      </w:r>
      <w:r w:rsidR="00E223B4" w:rsidRPr="00822434">
        <w:rPr>
          <w:rFonts w:asciiTheme="minorHAnsi" w:hAnsiTheme="minorHAnsi" w:cstheme="minorHAnsi"/>
          <w:color w:val="000000" w:themeColor="text1"/>
          <w:vertAlign w:val="subscript"/>
        </w:rPr>
        <w:t>India</w:t>
      </w:r>
      <w:proofErr w:type="gramEnd"/>
      <w:r w:rsidRPr="00822434">
        <w:rPr>
          <w:rFonts w:asciiTheme="minorHAnsi" w:hAnsiTheme="minorHAnsi" w:cstheme="minorHAnsi"/>
          <w:color w:val="000000" w:themeColor="text1"/>
          <w:vertAlign w:val="subscript"/>
        </w:rPr>
        <w:t>,2020</w:t>
      </w:r>
      <w:r w:rsidRPr="00822434">
        <w:rPr>
          <w:rFonts w:asciiTheme="minorHAnsi" w:hAnsiTheme="minorHAnsi" w:cstheme="minorHAnsi"/>
          <w:color w:val="000000" w:themeColor="text1"/>
        </w:rPr>
        <w:t xml:space="preserve"> by LABOR</w:t>
      </w:r>
      <w:r w:rsidRPr="00822434">
        <w:rPr>
          <w:rFonts w:asciiTheme="minorHAnsi" w:hAnsiTheme="minorHAnsi" w:cstheme="minorHAnsi"/>
          <w:color w:val="000000" w:themeColor="text1"/>
          <w:vertAlign w:val="subscript"/>
        </w:rPr>
        <w:t>e</w:t>
      </w:r>
      <w:proofErr w:type="gramStart"/>
      <w:r w:rsidR="0069188E" w:rsidRPr="00822434">
        <w:rPr>
          <w:rFonts w:asciiTheme="minorHAnsi" w:hAnsiTheme="minorHAnsi" w:cstheme="minorHAnsi"/>
          <w:color w:val="000000" w:themeColor="text1"/>
          <w:vertAlign w:val="subscript"/>
        </w:rPr>
        <w:t>5</w:t>
      </w:r>
      <w:r w:rsidRPr="00822434">
        <w:rPr>
          <w:rFonts w:asciiTheme="minorHAnsi" w:hAnsiTheme="minorHAnsi" w:cstheme="minorHAnsi"/>
          <w:color w:val="000000" w:themeColor="text1"/>
          <w:vertAlign w:val="subscript"/>
        </w:rPr>
        <w:t>,</w:t>
      </w:r>
      <w:r w:rsidR="00E223B4" w:rsidRPr="00822434">
        <w:rPr>
          <w:rFonts w:asciiTheme="minorHAnsi" w:hAnsiTheme="minorHAnsi" w:cstheme="minorHAnsi"/>
          <w:color w:val="000000" w:themeColor="text1"/>
          <w:vertAlign w:val="subscript"/>
        </w:rPr>
        <w:t>India</w:t>
      </w:r>
      <w:proofErr w:type="gramEnd"/>
      <w:r w:rsidRPr="00822434">
        <w:rPr>
          <w:rFonts w:asciiTheme="minorHAnsi" w:hAnsiTheme="minorHAnsi" w:cstheme="minorHAnsi"/>
          <w:color w:val="000000" w:themeColor="text1"/>
          <w:vertAlign w:val="subscript"/>
        </w:rPr>
        <w:t>,2020</w:t>
      </w:r>
      <w:r w:rsidRPr="00822434">
        <w:rPr>
          <w:rFonts w:asciiTheme="minorHAnsi" w:hAnsiTheme="minorHAnsi" w:cstheme="minorHAnsi"/>
          <w:color w:val="000000" w:themeColor="text1"/>
        </w:rPr>
        <w:t xml:space="preserve">, we obtain </w:t>
      </w:r>
      <w:r w:rsidR="001F73C3" w:rsidRPr="00822434">
        <w:rPr>
          <w:rFonts w:asciiTheme="minorHAnsi" w:hAnsiTheme="minorHAnsi" w:cstheme="minorHAnsi"/>
          <w:color w:val="000000" w:themeColor="text1"/>
        </w:rPr>
        <w:t>242</w:t>
      </w:r>
      <w:r w:rsidRPr="00822434">
        <w:rPr>
          <w:rFonts w:asciiTheme="minorHAnsi" w:hAnsiTheme="minorHAnsi" w:cstheme="minorHAnsi"/>
          <w:color w:val="000000" w:themeColor="text1"/>
        </w:rPr>
        <w:t>M, which means, in other words, that these 7</w:t>
      </w:r>
      <w:r w:rsidR="001F73C3" w:rsidRPr="00822434">
        <w:rPr>
          <w:rFonts w:asciiTheme="minorHAnsi" w:hAnsiTheme="minorHAnsi" w:cstheme="minorHAnsi"/>
          <w:color w:val="000000" w:themeColor="text1"/>
        </w:rPr>
        <w:t>7</w:t>
      </w:r>
      <w:r w:rsidR="000D25D0" w:rsidRPr="00822434">
        <w:rPr>
          <w:rFonts w:asciiTheme="minorHAnsi" w:hAnsiTheme="minorHAnsi" w:cstheme="minorHAnsi"/>
          <w:color w:val="000000" w:themeColor="text1"/>
        </w:rPr>
        <w:t xml:space="preserve"> million</w:t>
      </w:r>
      <w:r w:rsidRPr="00822434">
        <w:rPr>
          <w:rFonts w:asciiTheme="minorHAnsi" w:hAnsiTheme="minorHAnsi" w:cstheme="minorHAnsi"/>
          <w:color w:val="000000" w:themeColor="text1"/>
        </w:rPr>
        <w:t xml:space="preserve"> persons with postsecondary education would have a productivity equivalent to </w:t>
      </w:r>
      <w:r w:rsidR="003F5ED3" w:rsidRPr="00822434">
        <w:rPr>
          <w:rFonts w:asciiTheme="minorHAnsi" w:hAnsiTheme="minorHAnsi" w:cstheme="minorHAnsi"/>
          <w:color w:val="000000" w:themeColor="text1"/>
        </w:rPr>
        <w:t>242</w:t>
      </w:r>
      <w:r w:rsidR="000D25D0" w:rsidRPr="00822434">
        <w:rPr>
          <w:rFonts w:asciiTheme="minorHAnsi" w:hAnsiTheme="minorHAnsi" w:cstheme="minorHAnsi"/>
          <w:color w:val="000000" w:themeColor="text1"/>
        </w:rPr>
        <w:t xml:space="preserve"> million</w:t>
      </w:r>
      <w:r w:rsidR="003F5ED3" w:rsidRPr="00822434">
        <w:rPr>
          <w:rFonts w:asciiTheme="minorHAnsi" w:hAnsiTheme="minorHAnsi" w:cstheme="minorHAnsi"/>
          <w:color w:val="000000" w:themeColor="text1"/>
        </w:rPr>
        <w:t xml:space="preserve"> </w:t>
      </w:r>
      <w:r w:rsidR="001F73C3" w:rsidRPr="00822434">
        <w:rPr>
          <w:rFonts w:asciiTheme="minorHAnsi" w:hAnsiTheme="minorHAnsi" w:cstheme="minorHAnsi"/>
          <w:color w:val="000000" w:themeColor="text1"/>
        </w:rPr>
        <w:t>Indians</w:t>
      </w:r>
      <w:r w:rsidRPr="00822434">
        <w:rPr>
          <w:rFonts w:asciiTheme="minorHAnsi" w:hAnsiTheme="minorHAnsi" w:cstheme="minorHAnsi"/>
          <w:color w:val="000000" w:themeColor="text1"/>
        </w:rPr>
        <w:t xml:space="preserve"> who would have 9.3 years of schooling. The </w:t>
      </w:r>
      <w:r w:rsidR="001F73C3" w:rsidRPr="00822434">
        <w:rPr>
          <w:rFonts w:asciiTheme="minorHAnsi" w:hAnsiTheme="minorHAnsi" w:cstheme="minorHAnsi"/>
          <w:color w:val="000000" w:themeColor="text1"/>
        </w:rPr>
        <w:t xml:space="preserve">normalized </w:t>
      </w:r>
      <w:r w:rsidRPr="00822434">
        <w:rPr>
          <w:rFonts w:asciiTheme="minorHAnsi" w:hAnsiTheme="minorHAnsi" w:cstheme="minorHAnsi"/>
          <w:color w:val="000000" w:themeColor="text1"/>
        </w:rPr>
        <w:t xml:space="preserve">SAF value for </w:t>
      </w:r>
      <w:r w:rsidR="001F73C3" w:rsidRPr="00822434">
        <w:rPr>
          <w:rFonts w:asciiTheme="minorHAnsi" w:hAnsiTheme="minorHAnsi" w:cstheme="minorHAnsi"/>
          <w:color w:val="000000" w:themeColor="text1"/>
        </w:rPr>
        <w:t>India</w:t>
      </w:r>
      <w:r w:rsidRPr="00822434">
        <w:rPr>
          <w:rFonts w:asciiTheme="minorHAnsi" w:hAnsiTheme="minorHAnsi" w:cstheme="minorHAnsi"/>
          <w:color w:val="000000" w:themeColor="text1"/>
        </w:rPr>
        <w:t xml:space="preserve"> in 2020 i</w:t>
      </w:r>
      <w:r w:rsidR="001F73C3" w:rsidRPr="00822434">
        <w:rPr>
          <w:rFonts w:asciiTheme="minorHAnsi" w:hAnsiTheme="minorHAnsi" w:cstheme="minorHAnsi"/>
          <w:color w:val="000000" w:themeColor="text1"/>
        </w:rPr>
        <w:t>s</w:t>
      </w:r>
      <w:r w:rsidRPr="00822434">
        <w:rPr>
          <w:rFonts w:asciiTheme="minorHAnsi" w:hAnsiTheme="minorHAnsi" w:cstheme="minorHAnsi"/>
          <w:color w:val="000000" w:themeColor="text1"/>
        </w:rPr>
        <w:t xml:space="preserve"> then </w:t>
      </w:r>
      <w:r w:rsidR="001F73C3" w:rsidRPr="00822434">
        <w:rPr>
          <w:rFonts w:asciiTheme="minorHAnsi" w:hAnsiTheme="minorHAnsi" w:cstheme="minorHAnsi"/>
          <w:color w:val="000000" w:themeColor="text1"/>
        </w:rPr>
        <w:t>0.80</w:t>
      </w:r>
      <w:r w:rsidRPr="00822434">
        <w:rPr>
          <w:rFonts w:asciiTheme="minorHAnsi" w:hAnsiTheme="minorHAnsi" w:cstheme="minorHAnsi"/>
          <w:color w:val="000000" w:themeColor="text1"/>
        </w:rPr>
        <w:t xml:space="preserve">. When adjusting for this factor, we have </w:t>
      </w:r>
      <w:r w:rsidR="001F73C3" w:rsidRPr="00822434">
        <w:rPr>
          <w:rFonts w:asciiTheme="minorHAnsi" w:hAnsiTheme="minorHAnsi" w:cstheme="minorHAnsi"/>
          <w:color w:val="000000" w:themeColor="text1"/>
        </w:rPr>
        <w:t>195</w:t>
      </w:r>
      <w:r w:rsidR="000D25D0" w:rsidRPr="00822434">
        <w:rPr>
          <w:rFonts w:asciiTheme="minorHAnsi" w:hAnsiTheme="minorHAnsi" w:cstheme="minorHAnsi"/>
          <w:color w:val="000000" w:themeColor="text1"/>
        </w:rPr>
        <w:t xml:space="preserve"> million</w:t>
      </w:r>
      <w:r w:rsidRPr="00822434">
        <w:rPr>
          <w:rFonts w:asciiTheme="minorHAnsi" w:hAnsiTheme="minorHAnsi" w:cstheme="minorHAnsi"/>
          <w:color w:val="000000" w:themeColor="text1"/>
        </w:rPr>
        <w:t>, which would mean that after adjusting for their skills and productivity, these 7</w:t>
      </w:r>
      <w:r w:rsidR="001F73C3" w:rsidRPr="00822434">
        <w:rPr>
          <w:rFonts w:asciiTheme="minorHAnsi" w:hAnsiTheme="minorHAnsi" w:cstheme="minorHAnsi"/>
          <w:color w:val="000000" w:themeColor="text1"/>
        </w:rPr>
        <w:t>7</w:t>
      </w:r>
      <w:r w:rsidR="000D25D0" w:rsidRPr="00822434">
        <w:rPr>
          <w:rFonts w:asciiTheme="minorHAnsi" w:hAnsiTheme="minorHAnsi" w:cstheme="minorHAnsi"/>
          <w:color w:val="000000" w:themeColor="text1"/>
        </w:rPr>
        <w:t xml:space="preserve"> million</w:t>
      </w:r>
      <w:r w:rsidRPr="00822434">
        <w:rPr>
          <w:rFonts w:asciiTheme="minorHAnsi" w:hAnsiTheme="minorHAnsi" w:cstheme="minorHAnsi"/>
          <w:color w:val="000000" w:themeColor="text1"/>
        </w:rPr>
        <w:t xml:space="preserve"> </w:t>
      </w:r>
      <w:r w:rsidR="001F73C3" w:rsidRPr="00822434">
        <w:rPr>
          <w:rFonts w:asciiTheme="minorHAnsi" w:hAnsiTheme="minorHAnsi" w:cstheme="minorHAnsi"/>
          <w:color w:val="000000" w:themeColor="text1"/>
        </w:rPr>
        <w:t>Indians</w:t>
      </w:r>
      <w:r w:rsidRPr="00822434">
        <w:rPr>
          <w:rFonts w:asciiTheme="minorHAnsi" w:hAnsiTheme="minorHAnsi" w:cstheme="minorHAnsi"/>
          <w:color w:val="000000" w:themeColor="text1"/>
        </w:rPr>
        <w:t xml:space="preserve"> with postsecondary education are equivalent to </w:t>
      </w:r>
      <w:r w:rsidR="001F73C3" w:rsidRPr="00822434">
        <w:rPr>
          <w:rFonts w:asciiTheme="minorHAnsi" w:hAnsiTheme="minorHAnsi" w:cstheme="minorHAnsi"/>
          <w:color w:val="000000" w:themeColor="text1"/>
        </w:rPr>
        <w:t>195</w:t>
      </w:r>
      <w:r w:rsidR="000D25D0" w:rsidRPr="00822434">
        <w:rPr>
          <w:rFonts w:asciiTheme="minorHAnsi" w:hAnsiTheme="minorHAnsi" w:cstheme="minorHAnsi"/>
          <w:color w:val="000000" w:themeColor="text1"/>
        </w:rPr>
        <w:t xml:space="preserve"> million</w:t>
      </w:r>
      <w:r w:rsidRPr="00822434">
        <w:rPr>
          <w:rFonts w:asciiTheme="minorHAnsi" w:hAnsiTheme="minorHAnsi" w:cstheme="minorHAnsi"/>
          <w:color w:val="000000" w:themeColor="text1"/>
        </w:rPr>
        <w:t xml:space="preserve"> workers having the world average’s productivity and skills. The PWLF for </w:t>
      </w:r>
      <w:r w:rsidR="001F73C3" w:rsidRPr="00822434">
        <w:rPr>
          <w:rFonts w:asciiTheme="minorHAnsi" w:hAnsiTheme="minorHAnsi" w:cstheme="minorHAnsi"/>
          <w:color w:val="000000" w:themeColor="text1"/>
        </w:rPr>
        <w:t>India</w:t>
      </w:r>
      <w:r w:rsidRPr="00822434">
        <w:rPr>
          <w:rFonts w:asciiTheme="minorHAnsi" w:hAnsiTheme="minorHAnsi" w:cstheme="minorHAnsi"/>
          <w:color w:val="000000" w:themeColor="text1"/>
        </w:rPr>
        <w:t xml:space="preserve"> in 2020 is then the sum of this calculation for each education group.</w:t>
      </w:r>
    </w:p>
    <w:p w14:paraId="066EA68D" w14:textId="6FFC6CAF" w:rsidR="00B3651E" w:rsidRPr="00822434" w:rsidRDefault="00554C3E" w:rsidP="003C5D34">
      <w:pPr>
        <w:pStyle w:val="L2Head"/>
        <w:rPr>
          <w:rFonts w:asciiTheme="minorHAnsi" w:hAnsiTheme="minorHAnsi" w:cstheme="minorHAnsi"/>
          <w:color w:val="000000" w:themeColor="text1"/>
        </w:rPr>
      </w:pPr>
      <w:bookmarkStart w:id="11" w:name="_Toc160711498"/>
      <w:r w:rsidRPr="00822434">
        <w:rPr>
          <w:rFonts w:asciiTheme="minorHAnsi" w:hAnsiTheme="minorHAnsi" w:cstheme="minorHAnsi"/>
          <w:i w:val="0"/>
          <w:iCs w:val="0"/>
          <w:color w:val="000000" w:themeColor="text1"/>
          <w:lang w:val="en-CA"/>
        </w:rPr>
        <w:t>C.</w:t>
      </w:r>
      <w:r w:rsidRPr="00822434">
        <w:rPr>
          <w:rFonts w:asciiTheme="minorHAnsi" w:hAnsiTheme="minorHAnsi" w:cstheme="minorHAnsi"/>
          <w:color w:val="000000" w:themeColor="text1"/>
          <w:lang w:val="en-CA"/>
        </w:rPr>
        <w:t xml:space="preserve"> </w:t>
      </w:r>
      <w:r w:rsidR="00B3651E" w:rsidRPr="00822434">
        <w:rPr>
          <w:rFonts w:asciiTheme="minorHAnsi" w:hAnsiTheme="minorHAnsi" w:cstheme="minorHAnsi"/>
          <w:color w:val="000000" w:themeColor="text1"/>
          <w:lang w:val="en-CA"/>
        </w:rPr>
        <w:t>Validation</w:t>
      </w:r>
      <w:bookmarkEnd w:id="11"/>
    </w:p>
    <w:p w14:paraId="5DF82279" w14:textId="15072234" w:rsidR="00B3651E" w:rsidRPr="00822434" w:rsidRDefault="00B3651E" w:rsidP="003C5D34">
      <w:pPr>
        <w:pStyle w:val="PRPRManIndent"/>
        <w:rPr>
          <w:rFonts w:asciiTheme="minorHAnsi" w:hAnsiTheme="minorHAnsi" w:cstheme="minorHAnsi"/>
          <w:color w:val="000000" w:themeColor="text1"/>
        </w:rPr>
      </w:pPr>
      <w:r w:rsidRPr="00822434">
        <w:rPr>
          <w:rFonts w:asciiTheme="minorHAnsi" w:hAnsiTheme="minorHAnsi" w:cstheme="minorHAnsi"/>
          <w:color w:val="000000" w:themeColor="text1"/>
        </w:rPr>
        <w:t xml:space="preserve">To validate the analytical value of the PWLF, we used this indicator in the econometric model proposed by Crespo Cuaresma (2017) to predict 10-year GDP growth in a global sample of countries. We first constructed a panel dataset of 297 cross-sectional observations of countries/time periods of PWLF from 1970 to 2015 obtained by merging all IPUMS-I censuses (“Integrated Public Use Microdata Series, International: Version 7.3 [Dataset]” 2020) that provide labor force participation rates by age, sex, and education with their closest in time estimates from the Wittgenstein Data Explorer (WIC 2019). We then supplemented this dataset with GDP and capital stocks data from Penn World Table 10.1 (Feenstra, </w:t>
      </w:r>
      <w:proofErr w:type="spellStart"/>
      <w:r w:rsidRPr="00822434">
        <w:rPr>
          <w:rFonts w:asciiTheme="minorHAnsi" w:hAnsiTheme="minorHAnsi" w:cstheme="minorHAnsi"/>
          <w:color w:val="000000" w:themeColor="text1"/>
        </w:rPr>
        <w:t>Inklaar</w:t>
      </w:r>
      <w:proofErr w:type="spellEnd"/>
      <w:r w:rsidRPr="00822434">
        <w:rPr>
          <w:rFonts w:asciiTheme="minorHAnsi" w:hAnsiTheme="minorHAnsi" w:cstheme="minorHAnsi"/>
          <w:color w:val="000000" w:themeColor="text1"/>
        </w:rPr>
        <w:t>, and Timmer 2015). From this cross-sectional data, 145 observations of 10-</w:t>
      </w:r>
      <w:r w:rsidRPr="00822434">
        <w:rPr>
          <w:rFonts w:asciiTheme="minorHAnsi" w:hAnsiTheme="minorHAnsi" w:cstheme="minorHAnsi"/>
          <w:color w:val="000000" w:themeColor="text1"/>
        </w:rPr>
        <w:lastRenderedPageBreak/>
        <w:t xml:space="preserve">year changes are paired. </w:t>
      </w:r>
    </w:p>
    <w:p w14:paraId="66FFB4BE" w14:textId="55C1CB53" w:rsidR="00B3651E" w:rsidRPr="00822434" w:rsidRDefault="00B3651E" w:rsidP="003C5D34">
      <w:pPr>
        <w:pStyle w:val="PRPRManIndent"/>
        <w:rPr>
          <w:rFonts w:asciiTheme="minorHAnsi" w:hAnsiTheme="minorHAnsi" w:cstheme="minorHAnsi"/>
          <w:color w:val="000000" w:themeColor="text1"/>
        </w:rPr>
      </w:pPr>
      <w:r w:rsidRPr="00822434">
        <w:rPr>
          <w:rFonts w:asciiTheme="minorHAnsi" w:hAnsiTheme="minorHAnsi" w:cstheme="minorHAnsi"/>
          <w:color w:val="000000" w:themeColor="text1"/>
        </w:rPr>
        <w:t xml:space="preserve">We performed a </w:t>
      </w:r>
      <w:proofErr w:type="gramStart"/>
      <w:r w:rsidRPr="00822434">
        <w:rPr>
          <w:rFonts w:asciiTheme="minorHAnsi" w:hAnsiTheme="minorHAnsi" w:cstheme="minorHAnsi"/>
          <w:color w:val="000000" w:themeColor="text1"/>
        </w:rPr>
        <w:t>cross validation</w:t>
      </w:r>
      <w:proofErr w:type="gramEnd"/>
      <w:r w:rsidRPr="00822434">
        <w:rPr>
          <w:rFonts w:asciiTheme="minorHAnsi" w:hAnsiTheme="minorHAnsi" w:cstheme="minorHAnsi"/>
          <w:color w:val="000000" w:themeColor="text1"/>
        </w:rPr>
        <w:t xml:space="preserve"> exercise where the models are trained on a randomly chosen subsample containing 70% of the data to predict the remaining 30%. Pseudo out of sample measures of fit are then calculated (root mean squared error, RMSE, mean absolute error, MAE, and R-squared) and the process is repeated, 10,000 times. Subsequently, </w:t>
      </w:r>
      <w:proofErr w:type="gramStart"/>
      <w:r w:rsidRPr="00822434">
        <w:rPr>
          <w:rFonts w:asciiTheme="minorHAnsi" w:hAnsiTheme="minorHAnsi" w:cstheme="minorHAnsi"/>
          <w:color w:val="000000" w:themeColor="text1"/>
        </w:rPr>
        <w:t>the means of the</w:t>
      </w:r>
      <w:proofErr w:type="gramEnd"/>
      <w:r w:rsidRPr="00822434">
        <w:rPr>
          <w:rFonts w:asciiTheme="minorHAnsi" w:hAnsiTheme="minorHAnsi" w:cstheme="minorHAnsi"/>
          <w:color w:val="000000" w:themeColor="text1"/>
        </w:rPr>
        <w:t xml:space="preserve"> measures of </w:t>
      </w:r>
      <w:proofErr w:type="gramStart"/>
      <w:r w:rsidRPr="00822434">
        <w:rPr>
          <w:rFonts w:asciiTheme="minorHAnsi" w:hAnsiTheme="minorHAnsi" w:cstheme="minorHAnsi"/>
          <w:color w:val="000000" w:themeColor="text1"/>
        </w:rPr>
        <w:t>fit</w:t>
      </w:r>
      <w:proofErr w:type="gramEnd"/>
      <w:r w:rsidRPr="00822434">
        <w:rPr>
          <w:rFonts w:asciiTheme="minorHAnsi" w:hAnsiTheme="minorHAnsi" w:cstheme="minorHAnsi"/>
          <w:color w:val="000000" w:themeColor="text1"/>
        </w:rPr>
        <w:t xml:space="preserve"> of the 10,000 iterations are calculated.</w:t>
      </w:r>
    </w:p>
    <w:p w14:paraId="11DC21BB" w14:textId="77777777" w:rsidR="00B3651E" w:rsidRPr="00822434" w:rsidRDefault="00B3651E" w:rsidP="003C5D34">
      <w:pPr>
        <w:pStyle w:val="PRPRManIndent"/>
        <w:rPr>
          <w:rFonts w:asciiTheme="minorHAnsi" w:hAnsiTheme="minorHAnsi" w:cstheme="minorHAnsi"/>
          <w:color w:val="000000" w:themeColor="text1"/>
        </w:rPr>
      </w:pPr>
      <w:r w:rsidRPr="00822434">
        <w:rPr>
          <w:rFonts w:asciiTheme="minorHAnsi" w:hAnsiTheme="minorHAnsi" w:cstheme="minorHAnsi"/>
          <w:color w:val="000000" w:themeColor="text1"/>
        </w:rPr>
        <w:t>The models under consideration are aimed to explain GDP growth rate for 10-year periods and differ by the population related variables, either the population size (</w:t>
      </w:r>
      <w:proofErr w:type="spellStart"/>
      <w:r w:rsidRPr="00822434">
        <w:rPr>
          <w:rFonts w:asciiTheme="minorHAnsi" w:hAnsiTheme="minorHAnsi" w:cstheme="minorHAnsi"/>
          <w:color w:val="000000" w:themeColor="text1"/>
        </w:rPr>
        <w:t>p_POP</w:t>
      </w:r>
      <w:proofErr w:type="spellEnd"/>
      <w:r w:rsidRPr="00822434">
        <w:rPr>
          <w:rFonts w:asciiTheme="minorHAnsi" w:hAnsiTheme="minorHAnsi" w:cstheme="minorHAnsi"/>
          <w:color w:val="000000" w:themeColor="text1"/>
        </w:rPr>
        <w:t>), the working-age population size (</w:t>
      </w:r>
      <w:proofErr w:type="spellStart"/>
      <w:r w:rsidRPr="00822434">
        <w:rPr>
          <w:rFonts w:asciiTheme="minorHAnsi" w:hAnsiTheme="minorHAnsi" w:cstheme="minorHAnsi"/>
          <w:color w:val="000000" w:themeColor="text1"/>
        </w:rPr>
        <w:t>p_WA</w:t>
      </w:r>
      <w:proofErr w:type="spellEnd"/>
      <w:r w:rsidRPr="00822434">
        <w:rPr>
          <w:rFonts w:asciiTheme="minorHAnsi" w:hAnsiTheme="minorHAnsi" w:cstheme="minorHAnsi"/>
          <w:color w:val="000000" w:themeColor="text1"/>
        </w:rPr>
        <w:t>), the labor force size (</w:t>
      </w:r>
      <w:proofErr w:type="spellStart"/>
      <w:r w:rsidRPr="00822434">
        <w:rPr>
          <w:rFonts w:asciiTheme="minorHAnsi" w:hAnsiTheme="minorHAnsi" w:cstheme="minorHAnsi"/>
          <w:color w:val="000000" w:themeColor="text1"/>
        </w:rPr>
        <w:t>p_LF</w:t>
      </w:r>
      <w:proofErr w:type="spellEnd"/>
      <w:r w:rsidRPr="00822434">
        <w:rPr>
          <w:rFonts w:asciiTheme="minorHAnsi" w:hAnsiTheme="minorHAnsi" w:cstheme="minorHAnsi"/>
          <w:color w:val="000000" w:themeColor="text1"/>
        </w:rPr>
        <w:t>) and the PWLF size (</w:t>
      </w:r>
      <w:proofErr w:type="spellStart"/>
      <w:r w:rsidRPr="00822434">
        <w:rPr>
          <w:rFonts w:asciiTheme="minorHAnsi" w:hAnsiTheme="minorHAnsi" w:cstheme="minorHAnsi"/>
          <w:color w:val="000000" w:themeColor="text1"/>
        </w:rPr>
        <w:t>p_PWLF</w:t>
      </w:r>
      <w:proofErr w:type="spellEnd"/>
      <w:r w:rsidRPr="00822434">
        <w:rPr>
          <w:rFonts w:asciiTheme="minorHAnsi" w:hAnsiTheme="minorHAnsi" w:cstheme="minorHAnsi"/>
          <w:color w:val="000000" w:themeColor="text1"/>
        </w:rPr>
        <w:t xml:space="preserve">). Models are estimated with and without the inclusion of time and country specific fixed effects. Each of them </w:t>
      </w:r>
      <w:proofErr w:type="gramStart"/>
      <w:r w:rsidRPr="00822434">
        <w:rPr>
          <w:rFonts w:asciiTheme="minorHAnsi" w:hAnsiTheme="minorHAnsi" w:cstheme="minorHAnsi"/>
          <w:color w:val="000000" w:themeColor="text1"/>
        </w:rPr>
        <w:t>controls for</w:t>
      </w:r>
      <w:proofErr w:type="gramEnd"/>
      <w:r w:rsidRPr="00822434">
        <w:rPr>
          <w:rFonts w:asciiTheme="minorHAnsi" w:hAnsiTheme="minorHAnsi" w:cstheme="minorHAnsi"/>
          <w:color w:val="000000" w:themeColor="text1"/>
        </w:rPr>
        <w:t xml:space="preserve"> the initial GDP of the respective period and the capital growth in addition to the population-based covariates.</w:t>
      </w:r>
    </w:p>
    <w:p w14:paraId="2F009B44" w14:textId="11316A98" w:rsidR="00B3651E" w:rsidRPr="00822434" w:rsidRDefault="00B3651E" w:rsidP="003C5D34">
      <w:pPr>
        <w:pStyle w:val="PRPRManIndent"/>
        <w:rPr>
          <w:rFonts w:asciiTheme="minorHAnsi" w:hAnsiTheme="minorHAnsi" w:cstheme="minorHAnsi"/>
          <w:color w:val="000000" w:themeColor="text1"/>
        </w:rPr>
      </w:pPr>
      <w:r w:rsidRPr="00822434">
        <w:rPr>
          <w:rFonts w:asciiTheme="minorHAnsi" w:hAnsiTheme="minorHAnsi" w:cstheme="minorHAnsi"/>
          <w:color w:val="000000" w:themeColor="text1"/>
        </w:rPr>
        <w:t xml:space="preserve">The results are presented in Table </w:t>
      </w:r>
      <w:r w:rsidR="00621EA8" w:rsidRPr="00822434">
        <w:rPr>
          <w:rFonts w:asciiTheme="minorHAnsi" w:hAnsiTheme="minorHAnsi" w:cstheme="minorHAnsi"/>
          <w:color w:val="000000" w:themeColor="text1"/>
        </w:rPr>
        <w:t>S</w:t>
      </w:r>
      <w:r w:rsidRPr="00822434">
        <w:rPr>
          <w:rFonts w:asciiTheme="minorHAnsi" w:hAnsiTheme="minorHAnsi" w:cstheme="minorHAnsi"/>
          <w:color w:val="000000" w:themeColor="text1"/>
        </w:rPr>
        <w:t xml:space="preserve">3, which shows that </w:t>
      </w:r>
      <w:proofErr w:type="spellStart"/>
      <w:r w:rsidRPr="00822434">
        <w:rPr>
          <w:rFonts w:asciiTheme="minorHAnsi" w:hAnsiTheme="minorHAnsi" w:cstheme="minorHAnsi"/>
          <w:color w:val="000000" w:themeColor="text1"/>
        </w:rPr>
        <w:t>p_PWLF</w:t>
      </w:r>
      <w:proofErr w:type="spellEnd"/>
      <w:r w:rsidRPr="00822434">
        <w:rPr>
          <w:rFonts w:asciiTheme="minorHAnsi" w:hAnsiTheme="minorHAnsi" w:cstheme="minorHAnsi"/>
          <w:color w:val="000000" w:themeColor="text1"/>
        </w:rPr>
        <w:t xml:space="preserve"> models yield the lowest root </w:t>
      </w:r>
      <w:proofErr w:type="gramStart"/>
      <w:r w:rsidRPr="00822434">
        <w:rPr>
          <w:rFonts w:asciiTheme="minorHAnsi" w:hAnsiTheme="minorHAnsi" w:cstheme="minorHAnsi"/>
          <w:color w:val="000000" w:themeColor="text1"/>
        </w:rPr>
        <w:t>mean</w:t>
      </w:r>
      <w:proofErr w:type="gramEnd"/>
      <w:r w:rsidRPr="00822434">
        <w:rPr>
          <w:rFonts w:asciiTheme="minorHAnsi" w:hAnsiTheme="minorHAnsi" w:cstheme="minorHAnsi"/>
          <w:color w:val="000000" w:themeColor="text1"/>
        </w:rPr>
        <w:t xml:space="preserve"> square error (RMSE) and mean absolute error (MAE) values, while having higher R2, suggesting a higher superior predictive ability for economic growth compared to the other population variables. The improved performance highlights potential informative value of the PWLF as a predictor of the productive capacity of a country.</w:t>
      </w:r>
    </w:p>
    <w:tbl>
      <w:tblPr>
        <w:tblStyle w:val="TableGridLight"/>
        <w:tblpPr w:leftFromText="187" w:rightFromText="187" w:topFromText="144" w:bottomFromText="144" w:vertAnchor="text" w:horzAnchor="margin" w:tblpY="1"/>
        <w:tblOverlap w:val="never"/>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1983"/>
        <w:gridCol w:w="1313"/>
        <w:gridCol w:w="1313"/>
        <w:gridCol w:w="1313"/>
        <w:gridCol w:w="1314"/>
      </w:tblGrid>
      <w:tr w:rsidR="003C5D34" w:rsidRPr="00822434" w14:paraId="2B7FDA79" w14:textId="77777777" w:rsidTr="00822434">
        <w:trPr>
          <w:trHeight w:val="300"/>
        </w:trPr>
        <w:tc>
          <w:tcPr>
            <w:tcW w:w="9216" w:type="dxa"/>
            <w:gridSpan w:val="6"/>
            <w:tcBorders>
              <w:bottom w:val="single" w:sz="8" w:space="0" w:color="auto"/>
            </w:tcBorders>
            <w:noWrap/>
          </w:tcPr>
          <w:p w14:paraId="1462C081" w14:textId="2881AE59" w:rsidR="003C5D34" w:rsidRPr="00822434" w:rsidRDefault="003C5D34" w:rsidP="000D25D0">
            <w:pPr>
              <w:pStyle w:val="SMText"/>
              <w:spacing w:after="120" w:line="240" w:lineRule="auto"/>
              <w:ind w:firstLine="0"/>
              <w:rPr>
                <w:rFonts w:asciiTheme="minorHAnsi" w:hAnsiTheme="minorHAnsi" w:cstheme="minorHAnsi"/>
                <w:b/>
                <w:bCs/>
                <w:color w:val="000000" w:themeColor="text1"/>
                <w:sz w:val="18"/>
                <w:szCs w:val="18"/>
              </w:rPr>
            </w:pPr>
            <w:r w:rsidRPr="00822434">
              <w:rPr>
                <w:rFonts w:asciiTheme="minorHAnsi" w:hAnsiTheme="minorHAnsi" w:cstheme="minorHAnsi"/>
                <w:b/>
                <w:bCs/>
                <w:color w:val="000000" w:themeColor="text1"/>
                <w:szCs w:val="24"/>
              </w:rPr>
              <w:t xml:space="preserve">Table S3. </w:t>
            </w:r>
            <w:r w:rsidRPr="00822434">
              <w:rPr>
                <w:rFonts w:asciiTheme="minorHAnsi" w:hAnsiTheme="minorHAnsi" w:cstheme="minorHAnsi"/>
                <w:i/>
                <w:iCs/>
                <w:color w:val="000000" w:themeColor="text1"/>
                <w:szCs w:val="24"/>
              </w:rPr>
              <w:t>Validation Results Based on Predictive Ability for 10-Year GDP Growth.</w:t>
            </w:r>
            <w:r w:rsidRPr="00822434">
              <w:rPr>
                <w:rFonts w:asciiTheme="minorHAnsi" w:hAnsiTheme="minorHAnsi" w:cstheme="minorHAnsi"/>
                <w:b/>
                <w:bCs/>
                <w:color w:val="000000" w:themeColor="text1"/>
                <w:szCs w:val="24"/>
              </w:rPr>
              <w:t xml:space="preserve"> </w:t>
            </w:r>
          </w:p>
        </w:tc>
      </w:tr>
      <w:tr w:rsidR="003C5D34" w:rsidRPr="00822434" w14:paraId="511FFA95" w14:textId="77777777" w:rsidTr="00822434">
        <w:trPr>
          <w:trHeight w:val="300"/>
        </w:trPr>
        <w:tc>
          <w:tcPr>
            <w:tcW w:w="1980" w:type="dxa"/>
            <w:vMerge w:val="restart"/>
            <w:tcBorders>
              <w:top w:val="single" w:sz="8" w:space="0" w:color="auto"/>
            </w:tcBorders>
            <w:noWrap/>
            <w:hideMark/>
          </w:tcPr>
          <w:p w14:paraId="0A07643D" w14:textId="77777777" w:rsidR="00B3651E" w:rsidRPr="00822434" w:rsidRDefault="00B3651E" w:rsidP="000D25D0">
            <w:pPr>
              <w:spacing w:after="0" w:line="240" w:lineRule="auto"/>
              <w:ind w:firstLine="0"/>
              <w:rPr>
                <w:rFonts w:asciiTheme="minorHAnsi" w:hAnsiTheme="minorHAnsi" w:cstheme="minorHAnsi"/>
                <w:color w:val="000000" w:themeColor="text1"/>
                <w:sz w:val="22"/>
                <w:szCs w:val="22"/>
              </w:rPr>
            </w:pPr>
          </w:p>
        </w:tc>
        <w:tc>
          <w:tcPr>
            <w:tcW w:w="1983" w:type="dxa"/>
            <w:vMerge w:val="restart"/>
            <w:tcBorders>
              <w:top w:val="single" w:sz="8" w:space="0" w:color="auto"/>
              <w:bottom w:val="single" w:sz="4" w:space="0" w:color="auto"/>
            </w:tcBorders>
            <w:noWrap/>
            <w:vAlign w:val="bottom"/>
            <w:hideMark/>
          </w:tcPr>
          <w:p w14:paraId="589D3C45" w14:textId="77777777" w:rsidR="00B3651E" w:rsidRPr="00822434" w:rsidRDefault="00B3651E" w:rsidP="000D25D0">
            <w:pPr>
              <w:spacing w:after="0" w:line="240" w:lineRule="auto"/>
              <w:ind w:firstLine="0"/>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Measure</w:t>
            </w:r>
          </w:p>
        </w:tc>
        <w:tc>
          <w:tcPr>
            <w:tcW w:w="5253" w:type="dxa"/>
            <w:gridSpan w:val="4"/>
            <w:tcBorders>
              <w:top w:val="single" w:sz="8" w:space="0" w:color="auto"/>
              <w:bottom w:val="single" w:sz="4" w:space="0" w:color="auto"/>
            </w:tcBorders>
            <w:noWrap/>
            <w:vAlign w:val="center"/>
            <w:hideMark/>
          </w:tcPr>
          <w:p w14:paraId="231E012E"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Model</w:t>
            </w:r>
          </w:p>
        </w:tc>
      </w:tr>
      <w:tr w:rsidR="003C5D34" w:rsidRPr="00822434" w14:paraId="0112B93F" w14:textId="77777777" w:rsidTr="00822434">
        <w:trPr>
          <w:trHeight w:val="300"/>
        </w:trPr>
        <w:tc>
          <w:tcPr>
            <w:tcW w:w="1980" w:type="dxa"/>
            <w:vMerge/>
            <w:tcBorders>
              <w:top w:val="single" w:sz="4" w:space="0" w:color="auto"/>
              <w:bottom w:val="single" w:sz="4" w:space="0" w:color="auto"/>
            </w:tcBorders>
            <w:noWrap/>
            <w:hideMark/>
          </w:tcPr>
          <w:p w14:paraId="52DCFACC"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p>
        </w:tc>
        <w:tc>
          <w:tcPr>
            <w:tcW w:w="1983" w:type="dxa"/>
            <w:vMerge/>
            <w:tcBorders>
              <w:top w:val="single" w:sz="4" w:space="0" w:color="auto"/>
              <w:bottom w:val="single" w:sz="4" w:space="0" w:color="auto"/>
            </w:tcBorders>
            <w:noWrap/>
            <w:hideMark/>
          </w:tcPr>
          <w:p w14:paraId="028E47B1" w14:textId="77777777" w:rsidR="00B3651E" w:rsidRPr="00822434" w:rsidRDefault="00B3651E" w:rsidP="000D25D0">
            <w:pPr>
              <w:spacing w:after="0" w:line="240" w:lineRule="auto"/>
              <w:ind w:firstLine="0"/>
              <w:rPr>
                <w:rFonts w:asciiTheme="minorHAnsi" w:hAnsiTheme="minorHAnsi" w:cstheme="minorHAnsi"/>
                <w:b/>
                <w:bCs/>
                <w:color w:val="000000" w:themeColor="text1"/>
                <w:sz w:val="22"/>
                <w:szCs w:val="22"/>
              </w:rPr>
            </w:pPr>
          </w:p>
        </w:tc>
        <w:tc>
          <w:tcPr>
            <w:tcW w:w="1313" w:type="dxa"/>
            <w:tcBorders>
              <w:top w:val="single" w:sz="4" w:space="0" w:color="auto"/>
              <w:bottom w:val="single" w:sz="4" w:space="0" w:color="auto"/>
            </w:tcBorders>
            <w:noWrap/>
            <w:hideMark/>
          </w:tcPr>
          <w:p w14:paraId="27611423" w14:textId="77777777" w:rsidR="00B3651E" w:rsidRPr="00822434" w:rsidRDefault="00B3651E" w:rsidP="000D25D0">
            <w:pPr>
              <w:spacing w:after="0" w:line="240" w:lineRule="auto"/>
              <w:ind w:firstLine="0"/>
              <w:jc w:val="center"/>
              <w:rPr>
                <w:rFonts w:asciiTheme="minorHAnsi" w:hAnsiTheme="minorHAnsi" w:cstheme="minorHAnsi"/>
                <w:i/>
                <w:iCs/>
                <w:color w:val="000000" w:themeColor="text1"/>
                <w:sz w:val="22"/>
                <w:szCs w:val="22"/>
              </w:rPr>
            </w:pPr>
            <w:proofErr w:type="spellStart"/>
            <w:r w:rsidRPr="00822434">
              <w:rPr>
                <w:rFonts w:asciiTheme="minorHAnsi" w:hAnsiTheme="minorHAnsi" w:cstheme="minorHAnsi"/>
                <w:i/>
                <w:iCs/>
                <w:color w:val="000000" w:themeColor="text1"/>
                <w:sz w:val="22"/>
                <w:szCs w:val="22"/>
              </w:rPr>
              <w:t>p_WA</w:t>
            </w:r>
            <w:proofErr w:type="spellEnd"/>
          </w:p>
        </w:tc>
        <w:tc>
          <w:tcPr>
            <w:tcW w:w="1313" w:type="dxa"/>
            <w:tcBorders>
              <w:top w:val="single" w:sz="4" w:space="0" w:color="auto"/>
              <w:bottom w:val="single" w:sz="4" w:space="0" w:color="auto"/>
            </w:tcBorders>
            <w:noWrap/>
            <w:hideMark/>
          </w:tcPr>
          <w:p w14:paraId="524E5D74" w14:textId="77777777" w:rsidR="00B3651E" w:rsidRPr="00822434" w:rsidRDefault="00B3651E" w:rsidP="000D25D0">
            <w:pPr>
              <w:spacing w:after="0" w:line="240" w:lineRule="auto"/>
              <w:ind w:firstLine="0"/>
              <w:jc w:val="center"/>
              <w:rPr>
                <w:rFonts w:asciiTheme="minorHAnsi" w:hAnsiTheme="minorHAnsi" w:cstheme="minorHAnsi"/>
                <w:i/>
                <w:iCs/>
                <w:color w:val="000000" w:themeColor="text1"/>
                <w:sz w:val="22"/>
                <w:szCs w:val="22"/>
              </w:rPr>
            </w:pPr>
            <w:proofErr w:type="spellStart"/>
            <w:r w:rsidRPr="00822434">
              <w:rPr>
                <w:rFonts w:asciiTheme="minorHAnsi" w:hAnsiTheme="minorHAnsi" w:cstheme="minorHAnsi"/>
                <w:i/>
                <w:iCs/>
                <w:color w:val="000000" w:themeColor="text1"/>
                <w:sz w:val="22"/>
                <w:szCs w:val="22"/>
              </w:rPr>
              <w:t>p_LF</w:t>
            </w:r>
            <w:proofErr w:type="spellEnd"/>
          </w:p>
        </w:tc>
        <w:tc>
          <w:tcPr>
            <w:tcW w:w="1313" w:type="dxa"/>
            <w:tcBorders>
              <w:top w:val="single" w:sz="4" w:space="0" w:color="auto"/>
              <w:bottom w:val="single" w:sz="4" w:space="0" w:color="auto"/>
            </w:tcBorders>
            <w:noWrap/>
            <w:hideMark/>
          </w:tcPr>
          <w:p w14:paraId="23641AB6" w14:textId="77777777" w:rsidR="00B3651E" w:rsidRPr="00822434" w:rsidRDefault="00B3651E" w:rsidP="000D25D0">
            <w:pPr>
              <w:spacing w:after="0" w:line="240" w:lineRule="auto"/>
              <w:ind w:firstLine="0"/>
              <w:jc w:val="center"/>
              <w:rPr>
                <w:rFonts w:asciiTheme="minorHAnsi" w:hAnsiTheme="minorHAnsi" w:cstheme="minorHAnsi"/>
                <w:i/>
                <w:iCs/>
                <w:color w:val="000000" w:themeColor="text1"/>
                <w:sz w:val="22"/>
                <w:szCs w:val="22"/>
              </w:rPr>
            </w:pPr>
            <w:proofErr w:type="spellStart"/>
            <w:r w:rsidRPr="00822434">
              <w:rPr>
                <w:rFonts w:asciiTheme="minorHAnsi" w:hAnsiTheme="minorHAnsi" w:cstheme="minorHAnsi"/>
                <w:i/>
                <w:iCs/>
                <w:color w:val="000000" w:themeColor="text1"/>
                <w:sz w:val="22"/>
                <w:szCs w:val="22"/>
              </w:rPr>
              <w:t>p_PWLF</w:t>
            </w:r>
            <w:proofErr w:type="spellEnd"/>
          </w:p>
        </w:tc>
        <w:tc>
          <w:tcPr>
            <w:tcW w:w="1314" w:type="dxa"/>
            <w:tcBorders>
              <w:top w:val="single" w:sz="4" w:space="0" w:color="auto"/>
              <w:bottom w:val="single" w:sz="4" w:space="0" w:color="auto"/>
            </w:tcBorders>
            <w:noWrap/>
            <w:vAlign w:val="center"/>
            <w:hideMark/>
          </w:tcPr>
          <w:p w14:paraId="52617D5A" w14:textId="77777777" w:rsidR="00B3651E" w:rsidRPr="00822434" w:rsidRDefault="00B3651E" w:rsidP="000D25D0">
            <w:pPr>
              <w:spacing w:after="0" w:line="240" w:lineRule="auto"/>
              <w:ind w:firstLine="0"/>
              <w:jc w:val="center"/>
              <w:rPr>
                <w:rFonts w:asciiTheme="minorHAnsi" w:hAnsiTheme="minorHAnsi" w:cstheme="minorHAnsi"/>
                <w:i/>
                <w:iCs/>
                <w:color w:val="000000" w:themeColor="text1"/>
                <w:sz w:val="22"/>
                <w:szCs w:val="22"/>
              </w:rPr>
            </w:pPr>
            <w:proofErr w:type="spellStart"/>
            <w:r w:rsidRPr="00822434">
              <w:rPr>
                <w:rFonts w:asciiTheme="minorHAnsi" w:hAnsiTheme="minorHAnsi" w:cstheme="minorHAnsi"/>
                <w:i/>
                <w:iCs/>
                <w:color w:val="000000" w:themeColor="text1"/>
                <w:sz w:val="22"/>
                <w:szCs w:val="22"/>
              </w:rPr>
              <w:t>p_POP</w:t>
            </w:r>
            <w:proofErr w:type="spellEnd"/>
          </w:p>
        </w:tc>
      </w:tr>
      <w:tr w:rsidR="003C5D34" w:rsidRPr="00822434" w14:paraId="4414046E" w14:textId="77777777" w:rsidTr="00822434">
        <w:trPr>
          <w:trHeight w:val="288"/>
        </w:trPr>
        <w:tc>
          <w:tcPr>
            <w:tcW w:w="1980" w:type="dxa"/>
            <w:vMerge w:val="restart"/>
            <w:tcBorders>
              <w:top w:val="single" w:sz="4" w:space="0" w:color="auto"/>
            </w:tcBorders>
            <w:noWrap/>
            <w:hideMark/>
          </w:tcPr>
          <w:p w14:paraId="4659474E" w14:textId="77777777" w:rsidR="00B3651E" w:rsidRPr="00822434" w:rsidRDefault="00B3651E" w:rsidP="00822434">
            <w:pPr>
              <w:spacing w:after="0" w:line="240" w:lineRule="auto"/>
              <w:ind w:firstLine="0"/>
              <w:rPr>
                <w:rFonts w:asciiTheme="minorHAnsi" w:hAnsiTheme="minorHAnsi" w:cstheme="minorHAnsi"/>
                <w:i/>
                <w:iCs/>
                <w:color w:val="000000" w:themeColor="text1"/>
                <w:sz w:val="22"/>
                <w:szCs w:val="22"/>
              </w:rPr>
            </w:pPr>
            <w:r w:rsidRPr="00822434">
              <w:rPr>
                <w:rFonts w:asciiTheme="minorHAnsi" w:hAnsiTheme="minorHAnsi" w:cstheme="minorHAnsi"/>
                <w:i/>
                <w:iCs/>
                <w:color w:val="000000" w:themeColor="text1"/>
                <w:sz w:val="22"/>
                <w:szCs w:val="22"/>
              </w:rPr>
              <w:t xml:space="preserve">With fixed effects for country and </w:t>
            </w:r>
            <w:proofErr w:type="gramStart"/>
            <w:r w:rsidRPr="00822434">
              <w:rPr>
                <w:rFonts w:asciiTheme="minorHAnsi" w:hAnsiTheme="minorHAnsi" w:cstheme="minorHAnsi"/>
                <w:i/>
                <w:iCs/>
                <w:color w:val="000000" w:themeColor="text1"/>
                <w:sz w:val="22"/>
                <w:szCs w:val="22"/>
              </w:rPr>
              <w:t>time period</w:t>
            </w:r>
            <w:proofErr w:type="gramEnd"/>
          </w:p>
        </w:tc>
        <w:tc>
          <w:tcPr>
            <w:tcW w:w="1983" w:type="dxa"/>
            <w:tcBorders>
              <w:top w:val="single" w:sz="4" w:space="0" w:color="auto"/>
            </w:tcBorders>
            <w:noWrap/>
            <w:hideMark/>
          </w:tcPr>
          <w:p w14:paraId="6A1155A0" w14:textId="77777777" w:rsidR="00B3651E" w:rsidRPr="00822434" w:rsidRDefault="00B3651E" w:rsidP="000D25D0">
            <w:pPr>
              <w:spacing w:after="0" w:line="240" w:lineRule="auto"/>
              <w:ind w:left="380" w:firstLine="0"/>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RMSE</w:t>
            </w:r>
          </w:p>
        </w:tc>
        <w:tc>
          <w:tcPr>
            <w:tcW w:w="1313" w:type="dxa"/>
            <w:tcBorders>
              <w:top w:val="single" w:sz="4" w:space="0" w:color="auto"/>
            </w:tcBorders>
            <w:noWrap/>
            <w:hideMark/>
          </w:tcPr>
          <w:p w14:paraId="360EBBB5"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1.053</w:t>
            </w:r>
          </w:p>
        </w:tc>
        <w:tc>
          <w:tcPr>
            <w:tcW w:w="1313" w:type="dxa"/>
            <w:tcBorders>
              <w:top w:val="single" w:sz="4" w:space="0" w:color="auto"/>
            </w:tcBorders>
            <w:noWrap/>
            <w:hideMark/>
          </w:tcPr>
          <w:p w14:paraId="6E43EDC3"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1.026</w:t>
            </w:r>
          </w:p>
        </w:tc>
        <w:tc>
          <w:tcPr>
            <w:tcW w:w="1313" w:type="dxa"/>
            <w:tcBorders>
              <w:top w:val="single" w:sz="4" w:space="0" w:color="auto"/>
            </w:tcBorders>
            <w:noWrap/>
            <w:hideMark/>
          </w:tcPr>
          <w:p w14:paraId="3F0537F8" w14:textId="77777777" w:rsidR="00B3651E" w:rsidRPr="00822434" w:rsidRDefault="00B3651E" w:rsidP="000D25D0">
            <w:pPr>
              <w:spacing w:after="0" w:line="240" w:lineRule="auto"/>
              <w:ind w:firstLine="0"/>
              <w:jc w:val="center"/>
              <w:rPr>
                <w:rFonts w:asciiTheme="minorHAnsi" w:hAnsiTheme="minorHAnsi" w:cstheme="minorHAnsi"/>
                <w:b/>
                <w:bCs/>
                <w:color w:val="000000" w:themeColor="text1"/>
                <w:sz w:val="22"/>
                <w:szCs w:val="22"/>
              </w:rPr>
            </w:pPr>
            <w:r w:rsidRPr="00822434">
              <w:rPr>
                <w:rFonts w:asciiTheme="minorHAnsi" w:hAnsiTheme="minorHAnsi" w:cstheme="minorHAnsi"/>
                <w:b/>
                <w:bCs/>
                <w:color w:val="000000" w:themeColor="text1"/>
                <w:sz w:val="22"/>
                <w:szCs w:val="22"/>
              </w:rPr>
              <w:t>1.000</w:t>
            </w:r>
          </w:p>
        </w:tc>
        <w:tc>
          <w:tcPr>
            <w:tcW w:w="1314" w:type="dxa"/>
            <w:tcBorders>
              <w:top w:val="single" w:sz="4" w:space="0" w:color="auto"/>
            </w:tcBorders>
            <w:noWrap/>
            <w:hideMark/>
          </w:tcPr>
          <w:p w14:paraId="4640EEC0" w14:textId="77777777" w:rsidR="00B3651E" w:rsidRPr="00822434" w:rsidRDefault="00B3651E" w:rsidP="000D25D0">
            <w:pPr>
              <w:spacing w:after="0" w:line="240" w:lineRule="auto"/>
              <w:ind w:firstLine="0"/>
              <w:jc w:val="center"/>
              <w:rPr>
                <w:rFonts w:asciiTheme="minorHAnsi" w:hAnsiTheme="minorHAnsi" w:cstheme="minorHAnsi"/>
                <w:b/>
                <w:bCs/>
                <w:color w:val="000000" w:themeColor="text1"/>
                <w:sz w:val="22"/>
                <w:szCs w:val="22"/>
              </w:rPr>
            </w:pPr>
            <w:r w:rsidRPr="00822434">
              <w:rPr>
                <w:rFonts w:asciiTheme="minorHAnsi" w:hAnsiTheme="minorHAnsi" w:cstheme="minorHAnsi"/>
                <w:b/>
                <w:bCs/>
                <w:color w:val="000000" w:themeColor="text1"/>
                <w:sz w:val="22"/>
                <w:szCs w:val="22"/>
              </w:rPr>
              <w:t>1.000</w:t>
            </w:r>
          </w:p>
        </w:tc>
      </w:tr>
      <w:tr w:rsidR="003C5D34" w:rsidRPr="00822434" w14:paraId="77B9F367" w14:textId="77777777" w:rsidTr="00822434">
        <w:trPr>
          <w:trHeight w:val="288"/>
        </w:trPr>
        <w:tc>
          <w:tcPr>
            <w:tcW w:w="1980" w:type="dxa"/>
            <w:vMerge/>
            <w:hideMark/>
          </w:tcPr>
          <w:p w14:paraId="4EFAD124" w14:textId="77777777" w:rsidR="00B3651E" w:rsidRPr="00822434" w:rsidRDefault="00B3651E" w:rsidP="00822434">
            <w:pPr>
              <w:spacing w:after="0" w:line="240" w:lineRule="auto"/>
              <w:ind w:firstLine="0"/>
              <w:rPr>
                <w:rFonts w:asciiTheme="minorHAnsi" w:hAnsiTheme="minorHAnsi" w:cstheme="minorHAnsi"/>
                <w:i/>
                <w:iCs/>
                <w:color w:val="000000" w:themeColor="text1"/>
                <w:sz w:val="22"/>
                <w:szCs w:val="22"/>
              </w:rPr>
            </w:pPr>
          </w:p>
        </w:tc>
        <w:tc>
          <w:tcPr>
            <w:tcW w:w="1983" w:type="dxa"/>
            <w:noWrap/>
            <w:hideMark/>
          </w:tcPr>
          <w:p w14:paraId="07364279" w14:textId="77777777" w:rsidR="00B3651E" w:rsidRPr="00822434" w:rsidRDefault="00B3651E" w:rsidP="000D25D0">
            <w:pPr>
              <w:spacing w:after="0" w:line="240" w:lineRule="auto"/>
              <w:ind w:left="380" w:firstLine="0"/>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MAE</w:t>
            </w:r>
          </w:p>
        </w:tc>
        <w:tc>
          <w:tcPr>
            <w:tcW w:w="1313" w:type="dxa"/>
            <w:noWrap/>
            <w:hideMark/>
          </w:tcPr>
          <w:p w14:paraId="47A0E11E"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1.013</w:t>
            </w:r>
          </w:p>
        </w:tc>
        <w:tc>
          <w:tcPr>
            <w:tcW w:w="1313" w:type="dxa"/>
            <w:noWrap/>
            <w:hideMark/>
          </w:tcPr>
          <w:p w14:paraId="01E9087B"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1.016</w:t>
            </w:r>
          </w:p>
        </w:tc>
        <w:tc>
          <w:tcPr>
            <w:tcW w:w="1313" w:type="dxa"/>
            <w:noWrap/>
            <w:hideMark/>
          </w:tcPr>
          <w:p w14:paraId="63F6FC39" w14:textId="77777777" w:rsidR="00B3651E" w:rsidRPr="00822434" w:rsidRDefault="00B3651E" w:rsidP="000D25D0">
            <w:pPr>
              <w:spacing w:after="0" w:line="240" w:lineRule="auto"/>
              <w:ind w:firstLine="0"/>
              <w:jc w:val="center"/>
              <w:rPr>
                <w:rFonts w:asciiTheme="minorHAnsi" w:hAnsiTheme="minorHAnsi" w:cstheme="minorHAnsi"/>
                <w:b/>
                <w:bCs/>
                <w:color w:val="000000" w:themeColor="text1"/>
                <w:sz w:val="22"/>
                <w:szCs w:val="22"/>
              </w:rPr>
            </w:pPr>
            <w:r w:rsidRPr="00822434">
              <w:rPr>
                <w:rFonts w:asciiTheme="minorHAnsi" w:hAnsiTheme="minorHAnsi" w:cstheme="minorHAnsi"/>
                <w:b/>
                <w:bCs/>
                <w:color w:val="000000" w:themeColor="text1"/>
                <w:sz w:val="22"/>
                <w:szCs w:val="22"/>
              </w:rPr>
              <w:t>1.000</w:t>
            </w:r>
          </w:p>
        </w:tc>
        <w:tc>
          <w:tcPr>
            <w:tcW w:w="1314" w:type="dxa"/>
            <w:noWrap/>
            <w:hideMark/>
          </w:tcPr>
          <w:p w14:paraId="1536F0A0"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1.008</w:t>
            </w:r>
          </w:p>
        </w:tc>
      </w:tr>
      <w:tr w:rsidR="003C5D34" w:rsidRPr="00822434" w14:paraId="08101E76" w14:textId="77777777" w:rsidTr="00822434">
        <w:trPr>
          <w:trHeight w:val="288"/>
        </w:trPr>
        <w:tc>
          <w:tcPr>
            <w:tcW w:w="1980" w:type="dxa"/>
            <w:vMerge/>
            <w:hideMark/>
          </w:tcPr>
          <w:p w14:paraId="33BBA8FC" w14:textId="77777777" w:rsidR="00B3651E" w:rsidRPr="00822434" w:rsidRDefault="00B3651E" w:rsidP="00822434">
            <w:pPr>
              <w:spacing w:after="0" w:line="240" w:lineRule="auto"/>
              <w:ind w:firstLine="0"/>
              <w:rPr>
                <w:rFonts w:asciiTheme="minorHAnsi" w:hAnsiTheme="minorHAnsi" w:cstheme="minorHAnsi"/>
                <w:i/>
                <w:iCs/>
                <w:color w:val="000000" w:themeColor="text1"/>
                <w:sz w:val="22"/>
                <w:szCs w:val="22"/>
              </w:rPr>
            </w:pPr>
          </w:p>
        </w:tc>
        <w:tc>
          <w:tcPr>
            <w:tcW w:w="1983" w:type="dxa"/>
            <w:noWrap/>
            <w:hideMark/>
          </w:tcPr>
          <w:p w14:paraId="414E9B0C" w14:textId="77777777" w:rsidR="00B3651E" w:rsidRPr="00822434" w:rsidRDefault="00B3651E" w:rsidP="000D25D0">
            <w:pPr>
              <w:spacing w:after="0" w:line="240" w:lineRule="auto"/>
              <w:ind w:left="380" w:firstLine="0"/>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R2</w:t>
            </w:r>
          </w:p>
        </w:tc>
        <w:tc>
          <w:tcPr>
            <w:tcW w:w="1313" w:type="dxa"/>
            <w:noWrap/>
          </w:tcPr>
          <w:p w14:paraId="7F9EEA7B"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0.697</w:t>
            </w:r>
          </w:p>
        </w:tc>
        <w:tc>
          <w:tcPr>
            <w:tcW w:w="1313" w:type="dxa"/>
            <w:noWrap/>
          </w:tcPr>
          <w:p w14:paraId="0E9669B2"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0.685</w:t>
            </w:r>
          </w:p>
        </w:tc>
        <w:tc>
          <w:tcPr>
            <w:tcW w:w="1313" w:type="dxa"/>
            <w:noWrap/>
          </w:tcPr>
          <w:p w14:paraId="3B6192A1" w14:textId="77777777" w:rsidR="00B3651E" w:rsidRPr="00822434" w:rsidRDefault="00B3651E" w:rsidP="000D25D0">
            <w:pPr>
              <w:spacing w:after="0" w:line="240" w:lineRule="auto"/>
              <w:ind w:firstLine="0"/>
              <w:jc w:val="center"/>
              <w:rPr>
                <w:rFonts w:asciiTheme="minorHAnsi" w:hAnsiTheme="minorHAnsi" w:cstheme="minorHAnsi"/>
                <w:b/>
                <w:bCs/>
                <w:color w:val="000000" w:themeColor="text1"/>
                <w:sz w:val="22"/>
                <w:szCs w:val="22"/>
              </w:rPr>
            </w:pPr>
            <w:r w:rsidRPr="00822434">
              <w:rPr>
                <w:rFonts w:asciiTheme="minorHAnsi" w:hAnsiTheme="minorHAnsi" w:cstheme="minorHAnsi"/>
                <w:b/>
                <w:bCs/>
                <w:color w:val="000000" w:themeColor="text1"/>
                <w:sz w:val="22"/>
                <w:szCs w:val="22"/>
              </w:rPr>
              <w:t>0.711</w:t>
            </w:r>
          </w:p>
        </w:tc>
        <w:tc>
          <w:tcPr>
            <w:tcW w:w="1314" w:type="dxa"/>
            <w:noWrap/>
          </w:tcPr>
          <w:p w14:paraId="2942F079"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0.680</w:t>
            </w:r>
          </w:p>
        </w:tc>
      </w:tr>
      <w:tr w:rsidR="003C5D34" w:rsidRPr="00822434" w14:paraId="450F27FA" w14:textId="77777777" w:rsidTr="00822434">
        <w:trPr>
          <w:trHeight w:val="288"/>
        </w:trPr>
        <w:tc>
          <w:tcPr>
            <w:tcW w:w="1980" w:type="dxa"/>
            <w:vMerge/>
            <w:tcBorders>
              <w:bottom w:val="single" w:sz="4" w:space="0" w:color="auto"/>
            </w:tcBorders>
            <w:hideMark/>
          </w:tcPr>
          <w:p w14:paraId="6D6D59CC" w14:textId="77777777" w:rsidR="00B3651E" w:rsidRPr="00822434" w:rsidRDefault="00B3651E" w:rsidP="00822434">
            <w:pPr>
              <w:spacing w:after="0" w:line="240" w:lineRule="auto"/>
              <w:ind w:firstLine="0"/>
              <w:rPr>
                <w:rFonts w:asciiTheme="minorHAnsi" w:hAnsiTheme="minorHAnsi" w:cstheme="minorHAnsi"/>
                <w:i/>
                <w:iCs/>
                <w:color w:val="000000" w:themeColor="text1"/>
                <w:sz w:val="22"/>
                <w:szCs w:val="22"/>
              </w:rPr>
            </w:pPr>
          </w:p>
        </w:tc>
        <w:tc>
          <w:tcPr>
            <w:tcW w:w="1983" w:type="dxa"/>
            <w:tcBorders>
              <w:bottom w:val="single" w:sz="4" w:space="0" w:color="auto"/>
            </w:tcBorders>
            <w:noWrap/>
            <w:hideMark/>
          </w:tcPr>
          <w:p w14:paraId="171AEB83" w14:textId="77777777" w:rsidR="00B3651E" w:rsidRPr="00822434" w:rsidRDefault="00B3651E" w:rsidP="000D25D0">
            <w:pPr>
              <w:spacing w:after="0" w:line="240" w:lineRule="auto"/>
              <w:ind w:left="380" w:firstLine="0"/>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Res. Std Error</w:t>
            </w:r>
          </w:p>
        </w:tc>
        <w:tc>
          <w:tcPr>
            <w:tcW w:w="1313" w:type="dxa"/>
            <w:tcBorders>
              <w:bottom w:val="single" w:sz="4" w:space="0" w:color="auto"/>
            </w:tcBorders>
            <w:noWrap/>
          </w:tcPr>
          <w:p w14:paraId="7EC9B290"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0.191</w:t>
            </w:r>
          </w:p>
        </w:tc>
        <w:tc>
          <w:tcPr>
            <w:tcW w:w="1313" w:type="dxa"/>
            <w:tcBorders>
              <w:bottom w:val="single" w:sz="4" w:space="0" w:color="auto"/>
            </w:tcBorders>
            <w:noWrap/>
          </w:tcPr>
          <w:p w14:paraId="1AD44470"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0.195</w:t>
            </w:r>
          </w:p>
        </w:tc>
        <w:tc>
          <w:tcPr>
            <w:tcW w:w="1313" w:type="dxa"/>
            <w:tcBorders>
              <w:bottom w:val="single" w:sz="4" w:space="0" w:color="auto"/>
            </w:tcBorders>
            <w:noWrap/>
          </w:tcPr>
          <w:p w14:paraId="5C52358F" w14:textId="77777777" w:rsidR="00B3651E" w:rsidRPr="00822434" w:rsidRDefault="00B3651E" w:rsidP="000D25D0">
            <w:pPr>
              <w:spacing w:after="0" w:line="240" w:lineRule="auto"/>
              <w:ind w:firstLine="0"/>
              <w:jc w:val="center"/>
              <w:rPr>
                <w:rFonts w:asciiTheme="minorHAnsi" w:hAnsiTheme="minorHAnsi" w:cstheme="minorHAnsi"/>
                <w:b/>
                <w:bCs/>
                <w:color w:val="000000" w:themeColor="text1"/>
                <w:sz w:val="22"/>
                <w:szCs w:val="22"/>
              </w:rPr>
            </w:pPr>
            <w:r w:rsidRPr="00822434">
              <w:rPr>
                <w:rFonts w:asciiTheme="minorHAnsi" w:hAnsiTheme="minorHAnsi" w:cstheme="minorHAnsi"/>
                <w:b/>
                <w:bCs/>
                <w:color w:val="000000" w:themeColor="text1"/>
                <w:sz w:val="22"/>
                <w:szCs w:val="22"/>
              </w:rPr>
              <w:t>0.186</w:t>
            </w:r>
          </w:p>
        </w:tc>
        <w:tc>
          <w:tcPr>
            <w:tcW w:w="1314" w:type="dxa"/>
            <w:tcBorders>
              <w:bottom w:val="single" w:sz="4" w:space="0" w:color="auto"/>
            </w:tcBorders>
            <w:noWrap/>
          </w:tcPr>
          <w:p w14:paraId="58DD839E"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0.195</w:t>
            </w:r>
          </w:p>
        </w:tc>
      </w:tr>
      <w:tr w:rsidR="003C5D34" w:rsidRPr="00822434" w14:paraId="282BDCE1" w14:textId="77777777" w:rsidTr="00822434">
        <w:trPr>
          <w:trHeight w:val="288"/>
        </w:trPr>
        <w:tc>
          <w:tcPr>
            <w:tcW w:w="1980" w:type="dxa"/>
            <w:vMerge w:val="restart"/>
            <w:tcBorders>
              <w:top w:val="single" w:sz="4" w:space="0" w:color="auto"/>
            </w:tcBorders>
            <w:noWrap/>
            <w:hideMark/>
          </w:tcPr>
          <w:p w14:paraId="717D8B04" w14:textId="77777777" w:rsidR="00B3651E" w:rsidRPr="00822434" w:rsidRDefault="00B3651E" w:rsidP="00822434">
            <w:pPr>
              <w:spacing w:after="0" w:line="240" w:lineRule="auto"/>
              <w:ind w:firstLine="0"/>
              <w:rPr>
                <w:rFonts w:asciiTheme="minorHAnsi" w:hAnsiTheme="minorHAnsi" w:cstheme="minorHAnsi"/>
                <w:i/>
                <w:iCs/>
                <w:color w:val="000000" w:themeColor="text1"/>
                <w:sz w:val="22"/>
                <w:szCs w:val="22"/>
              </w:rPr>
            </w:pPr>
            <w:r w:rsidRPr="00822434">
              <w:rPr>
                <w:rFonts w:asciiTheme="minorHAnsi" w:hAnsiTheme="minorHAnsi" w:cstheme="minorHAnsi"/>
                <w:i/>
                <w:iCs/>
                <w:color w:val="000000" w:themeColor="text1"/>
                <w:sz w:val="22"/>
                <w:szCs w:val="22"/>
              </w:rPr>
              <w:t xml:space="preserve">Without fixed effects for </w:t>
            </w:r>
            <w:proofErr w:type="gramStart"/>
            <w:r w:rsidRPr="00822434">
              <w:rPr>
                <w:rFonts w:asciiTheme="minorHAnsi" w:hAnsiTheme="minorHAnsi" w:cstheme="minorHAnsi"/>
                <w:i/>
                <w:iCs/>
                <w:color w:val="000000" w:themeColor="text1"/>
                <w:sz w:val="22"/>
                <w:szCs w:val="22"/>
              </w:rPr>
              <w:t>country</w:t>
            </w:r>
            <w:proofErr w:type="gramEnd"/>
            <w:r w:rsidRPr="00822434">
              <w:rPr>
                <w:rFonts w:asciiTheme="minorHAnsi" w:hAnsiTheme="minorHAnsi" w:cstheme="minorHAnsi"/>
                <w:i/>
                <w:iCs/>
                <w:color w:val="000000" w:themeColor="text1"/>
                <w:sz w:val="22"/>
                <w:szCs w:val="22"/>
              </w:rPr>
              <w:t xml:space="preserve"> and </w:t>
            </w:r>
            <w:proofErr w:type="gramStart"/>
            <w:r w:rsidRPr="00822434">
              <w:rPr>
                <w:rFonts w:asciiTheme="minorHAnsi" w:hAnsiTheme="minorHAnsi" w:cstheme="minorHAnsi"/>
                <w:i/>
                <w:iCs/>
                <w:color w:val="000000" w:themeColor="text1"/>
                <w:sz w:val="22"/>
                <w:szCs w:val="22"/>
              </w:rPr>
              <w:t>time period</w:t>
            </w:r>
            <w:proofErr w:type="gramEnd"/>
          </w:p>
        </w:tc>
        <w:tc>
          <w:tcPr>
            <w:tcW w:w="1983" w:type="dxa"/>
            <w:tcBorders>
              <w:top w:val="single" w:sz="4" w:space="0" w:color="auto"/>
            </w:tcBorders>
            <w:noWrap/>
            <w:hideMark/>
          </w:tcPr>
          <w:p w14:paraId="784B198D" w14:textId="77777777" w:rsidR="00B3651E" w:rsidRPr="00822434" w:rsidRDefault="00B3651E" w:rsidP="000D25D0">
            <w:pPr>
              <w:spacing w:after="0" w:line="240" w:lineRule="auto"/>
              <w:ind w:left="380" w:firstLine="0"/>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RMSE</w:t>
            </w:r>
          </w:p>
        </w:tc>
        <w:tc>
          <w:tcPr>
            <w:tcW w:w="1313" w:type="dxa"/>
            <w:tcBorders>
              <w:top w:val="single" w:sz="4" w:space="0" w:color="auto"/>
            </w:tcBorders>
            <w:noWrap/>
            <w:hideMark/>
          </w:tcPr>
          <w:p w14:paraId="74203539"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1.020</w:t>
            </w:r>
          </w:p>
        </w:tc>
        <w:tc>
          <w:tcPr>
            <w:tcW w:w="1313" w:type="dxa"/>
            <w:tcBorders>
              <w:top w:val="single" w:sz="4" w:space="0" w:color="auto"/>
            </w:tcBorders>
            <w:noWrap/>
            <w:hideMark/>
          </w:tcPr>
          <w:p w14:paraId="12A6C76B"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1.028</w:t>
            </w:r>
          </w:p>
        </w:tc>
        <w:tc>
          <w:tcPr>
            <w:tcW w:w="1313" w:type="dxa"/>
            <w:tcBorders>
              <w:top w:val="single" w:sz="4" w:space="0" w:color="auto"/>
            </w:tcBorders>
            <w:noWrap/>
            <w:hideMark/>
          </w:tcPr>
          <w:p w14:paraId="233D0327" w14:textId="77777777" w:rsidR="00B3651E" w:rsidRPr="00822434" w:rsidRDefault="00B3651E" w:rsidP="000D25D0">
            <w:pPr>
              <w:spacing w:after="0" w:line="240" w:lineRule="auto"/>
              <w:ind w:firstLine="0"/>
              <w:jc w:val="center"/>
              <w:rPr>
                <w:rFonts w:asciiTheme="minorHAnsi" w:hAnsiTheme="minorHAnsi" w:cstheme="minorHAnsi"/>
                <w:b/>
                <w:bCs/>
                <w:color w:val="000000" w:themeColor="text1"/>
                <w:sz w:val="22"/>
                <w:szCs w:val="22"/>
              </w:rPr>
            </w:pPr>
            <w:r w:rsidRPr="00822434">
              <w:rPr>
                <w:rFonts w:asciiTheme="minorHAnsi" w:hAnsiTheme="minorHAnsi" w:cstheme="minorHAnsi"/>
                <w:b/>
                <w:bCs/>
                <w:color w:val="000000" w:themeColor="text1"/>
                <w:sz w:val="22"/>
                <w:szCs w:val="22"/>
              </w:rPr>
              <w:t>1.000</w:t>
            </w:r>
          </w:p>
        </w:tc>
        <w:tc>
          <w:tcPr>
            <w:tcW w:w="1314" w:type="dxa"/>
            <w:tcBorders>
              <w:top w:val="single" w:sz="4" w:space="0" w:color="auto"/>
            </w:tcBorders>
            <w:noWrap/>
            <w:hideMark/>
          </w:tcPr>
          <w:p w14:paraId="76AEBA3E"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1.014</w:t>
            </w:r>
          </w:p>
        </w:tc>
      </w:tr>
      <w:tr w:rsidR="003C5D34" w:rsidRPr="00822434" w14:paraId="586D82C2" w14:textId="77777777" w:rsidTr="00822434">
        <w:trPr>
          <w:trHeight w:val="288"/>
        </w:trPr>
        <w:tc>
          <w:tcPr>
            <w:tcW w:w="1980" w:type="dxa"/>
            <w:vMerge/>
            <w:hideMark/>
          </w:tcPr>
          <w:p w14:paraId="35C55D0F" w14:textId="77777777" w:rsidR="00B3651E" w:rsidRPr="00822434" w:rsidRDefault="00B3651E" w:rsidP="000D25D0">
            <w:pPr>
              <w:spacing w:after="0" w:line="240" w:lineRule="auto"/>
              <w:ind w:firstLine="0"/>
              <w:rPr>
                <w:rFonts w:asciiTheme="minorHAnsi" w:hAnsiTheme="minorHAnsi" w:cstheme="minorHAnsi"/>
                <w:color w:val="000000" w:themeColor="text1"/>
                <w:sz w:val="22"/>
                <w:szCs w:val="22"/>
              </w:rPr>
            </w:pPr>
          </w:p>
        </w:tc>
        <w:tc>
          <w:tcPr>
            <w:tcW w:w="1983" w:type="dxa"/>
            <w:noWrap/>
            <w:hideMark/>
          </w:tcPr>
          <w:p w14:paraId="6F8FE090" w14:textId="77777777" w:rsidR="00B3651E" w:rsidRPr="00822434" w:rsidRDefault="00B3651E" w:rsidP="000D25D0">
            <w:pPr>
              <w:spacing w:after="0" w:line="240" w:lineRule="auto"/>
              <w:ind w:left="380" w:firstLine="0"/>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MAE</w:t>
            </w:r>
          </w:p>
        </w:tc>
        <w:tc>
          <w:tcPr>
            <w:tcW w:w="1313" w:type="dxa"/>
            <w:noWrap/>
            <w:hideMark/>
          </w:tcPr>
          <w:p w14:paraId="7DA6E587"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1.034</w:t>
            </w:r>
          </w:p>
        </w:tc>
        <w:tc>
          <w:tcPr>
            <w:tcW w:w="1313" w:type="dxa"/>
            <w:noWrap/>
            <w:hideMark/>
          </w:tcPr>
          <w:p w14:paraId="06C05792"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1.028</w:t>
            </w:r>
          </w:p>
        </w:tc>
        <w:tc>
          <w:tcPr>
            <w:tcW w:w="1313" w:type="dxa"/>
            <w:noWrap/>
            <w:hideMark/>
          </w:tcPr>
          <w:p w14:paraId="1BEC2254" w14:textId="77777777" w:rsidR="00B3651E" w:rsidRPr="00822434" w:rsidRDefault="00B3651E" w:rsidP="000D25D0">
            <w:pPr>
              <w:spacing w:after="0" w:line="240" w:lineRule="auto"/>
              <w:ind w:firstLine="0"/>
              <w:jc w:val="center"/>
              <w:rPr>
                <w:rFonts w:asciiTheme="minorHAnsi" w:hAnsiTheme="minorHAnsi" w:cstheme="minorHAnsi"/>
                <w:b/>
                <w:bCs/>
                <w:color w:val="000000" w:themeColor="text1"/>
                <w:sz w:val="22"/>
                <w:szCs w:val="22"/>
              </w:rPr>
            </w:pPr>
            <w:r w:rsidRPr="00822434">
              <w:rPr>
                <w:rFonts w:asciiTheme="minorHAnsi" w:hAnsiTheme="minorHAnsi" w:cstheme="minorHAnsi"/>
                <w:b/>
                <w:bCs/>
                <w:color w:val="000000" w:themeColor="text1"/>
                <w:sz w:val="22"/>
                <w:szCs w:val="22"/>
              </w:rPr>
              <w:t>1.000</w:t>
            </w:r>
          </w:p>
        </w:tc>
        <w:tc>
          <w:tcPr>
            <w:tcW w:w="1314" w:type="dxa"/>
            <w:noWrap/>
            <w:hideMark/>
          </w:tcPr>
          <w:p w14:paraId="4CEDC363"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1.010</w:t>
            </w:r>
          </w:p>
        </w:tc>
      </w:tr>
      <w:tr w:rsidR="003C5D34" w:rsidRPr="00822434" w14:paraId="01247C08" w14:textId="77777777" w:rsidTr="00822434">
        <w:trPr>
          <w:trHeight w:val="288"/>
        </w:trPr>
        <w:tc>
          <w:tcPr>
            <w:tcW w:w="1980" w:type="dxa"/>
            <w:vMerge/>
            <w:hideMark/>
          </w:tcPr>
          <w:p w14:paraId="7C3E257D" w14:textId="77777777" w:rsidR="00B3651E" w:rsidRPr="00822434" w:rsidRDefault="00B3651E" w:rsidP="000D25D0">
            <w:pPr>
              <w:spacing w:after="0" w:line="240" w:lineRule="auto"/>
              <w:ind w:firstLine="0"/>
              <w:rPr>
                <w:rFonts w:asciiTheme="minorHAnsi" w:hAnsiTheme="minorHAnsi" w:cstheme="minorHAnsi"/>
                <w:color w:val="000000" w:themeColor="text1"/>
                <w:sz w:val="22"/>
                <w:szCs w:val="22"/>
              </w:rPr>
            </w:pPr>
          </w:p>
        </w:tc>
        <w:tc>
          <w:tcPr>
            <w:tcW w:w="1983" w:type="dxa"/>
            <w:noWrap/>
            <w:hideMark/>
          </w:tcPr>
          <w:p w14:paraId="77312484" w14:textId="77777777" w:rsidR="00B3651E" w:rsidRPr="00822434" w:rsidRDefault="00B3651E" w:rsidP="000D25D0">
            <w:pPr>
              <w:spacing w:after="0" w:line="240" w:lineRule="auto"/>
              <w:ind w:left="380" w:firstLine="0"/>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R2</w:t>
            </w:r>
          </w:p>
        </w:tc>
        <w:tc>
          <w:tcPr>
            <w:tcW w:w="1313" w:type="dxa"/>
            <w:noWrap/>
          </w:tcPr>
          <w:p w14:paraId="3352E2C0"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0.429</w:t>
            </w:r>
          </w:p>
        </w:tc>
        <w:tc>
          <w:tcPr>
            <w:tcW w:w="1313" w:type="dxa"/>
            <w:noWrap/>
          </w:tcPr>
          <w:p w14:paraId="0DD1B0E7"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0.404</w:t>
            </w:r>
          </w:p>
        </w:tc>
        <w:tc>
          <w:tcPr>
            <w:tcW w:w="1313" w:type="dxa"/>
            <w:noWrap/>
          </w:tcPr>
          <w:p w14:paraId="407C3688" w14:textId="77777777" w:rsidR="00B3651E" w:rsidRPr="00822434" w:rsidRDefault="00B3651E" w:rsidP="000D25D0">
            <w:pPr>
              <w:spacing w:after="0" w:line="240" w:lineRule="auto"/>
              <w:ind w:firstLine="0"/>
              <w:jc w:val="center"/>
              <w:rPr>
                <w:rFonts w:asciiTheme="minorHAnsi" w:hAnsiTheme="minorHAnsi" w:cstheme="minorHAnsi"/>
                <w:b/>
                <w:bCs/>
                <w:color w:val="000000" w:themeColor="text1"/>
                <w:sz w:val="22"/>
                <w:szCs w:val="22"/>
              </w:rPr>
            </w:pPr>
            <w:r w:rsidRPr="00822434">
              <w:rPr>
                <w:rFonts w:asciiTheme="minorHAnsi" w:hAnsiTheme="minorHAnsi" w:cstheme="minorHAnsi"/>
                <w:b/>
                <w:bCs/>
                <w:color w:val="000000" w:themeColor="text1"/>
                <w:sz w:val="22"/>
                <w:szCs w:val="22"/>
              </w:rPr>
              <w:t>0.516</w:t>
            </w:r>
          </w:p>
        </w:tc>
        <w:tc>
          <w:tcPr>
            <w:tcW w:w="1314" w:type="dxa"/>
            <w:noWrap/>
          </w:tcPr>
          <w:p w14:paraId="7844C41D"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0.378</w:t>
            </w:r>
          </w:p>
        </w:tc>
      </w:tr>
      <w:tr w:rsidR="003C5D34" w:rsidRPr="00822434" w14:paraId="76F7F8E1" w14:textId="77777777" w:rsidTr="00822434">
        <w:trPr>
          <w:trHeight w:val="288"/>
        </w:trPr>
        <w:tc>
          <w:tcPr>
            <w:tcW w:w="1980" w:type="dxa"/>
            <w:vMerge/>
            <w:tcBorders>
              <w:bottom w:val="single" w:sz="4" w:space="0" w:color="auto"/>
            </w:tcBorders>
            <w:hideMark/>
          </w:tcPr>
          <w:p w14:paraId="6FB6FD2B" w14:textId="77777777" w:rsidR="00B3651E" w:rsidRPr="00822434" w:rsidRDefault="00B3651E" w:rsidP="000D25D0">
            <w:pPr>
              <w:spacing w:after="0" w:line="240" w:lineRule="auto"/>
              <w:ind w:firstLine="0"/>
              <w:rPr>
                <w:rFonts w:asciiTheme="minorHAnsi" w:hAnsiTheme="minorHAnsi" w:cstheme="minorHAnsi"/>
                <w:color w:val="000000" w:themeColor="text1"/>
                <w:sz w:val="22"/>
                <w:szCs w:val="22"/>
              </w:rPr>
            </w:pPr>
          </w:p>
        </w:tc>
        <w:tc>
          <w:tcPr>
            <w:tcW w:w="1983" w:type="dxa"/>
            <w:tcBorders>
              <w:bottom w:val="single" w:sz="4" w:space="0" w:color="auto"/>
            </w:tcBorders>
            <w:noWrap/>
            <w:hideMark/>
          </w:tcPr>
          <w:p w14:paraId="5A1B58A6" w14:textId="77777777" w:rsidR="00B3651E" w:rsidRPr="00822434" w:rsidRDefault="00B3651E" w:rsidP="000D25D0">
            <w:pPr>
              <w:spacing w:after="0" w:line="240" w:lineRule="auto"/>
              <w:ind w:left="380" w:firstLine="0"/>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Res. Std Error</w:t>
            </w:r>
          </w:p>
        </w:tc>
        <w:tc>
          <w:tcPr>
            <w:tcW w:w="1313" w:type="dxa"/>
            <w:tcBorders>
              <w:bottom w:val="single" w:sz="4" w:space="0" w:color="auto"/>
            </w:tcBorders>
            <w:noWrap/>
          </w:tcPr>
          <w:p w14:paraId="6624D19D"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0.204</w:t>
            </w:r>
          </w:p>
        </w:tc>
        <w:tc>
          <w:tcPr>
            <w:tcW w:w="1313" w:type="dxa"/>
            <w:tcBorders>
              <w:bottom w:val="single" w:sz="4" w:space="0" w:color="auto"/>
            </w:tcBorders>
            <w:noWrap/>
          </w:tcPr>
          <w:p w14:paraId="2D8A50CC"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0.209</w:t>
            </w:r>
          </w:p>
        </w:tc>
        <w:tc>
          <w:tcPr>
            <w:tcW w:w="1313" w:type="dxa"/>
            <w:tcBorders>
              <w:bottom w:val="single" w:sz="4" w:space="0" w:color="auto"/>
            </w:tcBorders>
            <w:noWrap/>
          </w:tcPr>
          <w:p w14:paraId="2E4A7701" w14:textId="77777777" w:rsidR="00B3651E" w:rsidRPr="00822434" w:rsidRDefault="00B3651E" w:rsidP="000D25D0">
            <w:pPr>
              <w:spacing w:after="0" w:line="240" w:lineRule="auto"/>
              <w:ind w:firstLine="0"/>
              <w:jc w:val="center"/>
              <w:rPr>
                <w:rFonts w:asciiTheme="minorHAnsi" w:hAnsiTheme="minorHAnsi" w:cstheme="minorHAnsi"/>
                <w:b/>
                <w:bCs/>
                <w:color w:val="000000" w:themeColor="text1"/>
                <w:sz w:val="22"/>
                <w:szCs w:val="22"/>
              </w:rPr>
            </w:pPr>
            <w:r w:rsidRPr="00822434">
              <w:rPr>
                <w:rFonts w:asciiTheme="minorHAnsi" w:hAnsiTheme="minorHAnsi" w:cstheme="minorHAnsi"/>
                <w:b/>
                <w:bCs/>
                <w:color w:val="000000" w:themeColor="text1"/>
                <w:sz w:val="22"/>
                <w:szCs w:val="22"/>
              </w:rPr>
              <w:t>0.188</w:t>
            </w:r>
          </w:p>
        </w:tc>
        <w:tc>
          <w:tcPr>
            <w:tcW w:w="1314" w:type="dxa"/>
            <w:tcBorders>
              <w:bottom w:val="single" w:sz="4" w:space="0" w:color="auto"/>
            </w:tcBorders>
            <w:noWrap/>
          </w:tcPr>
          <w:p w14:paraId="79C4337B" w14:textId="77777777" w:rsidR="00B3651E" w:rsidRPr="00822434" w:rsidRDefault="00B3651E" w:rsidP="000D25D0">
            <w:pPr>
              <w:spacing w:after="0" w:line="240" w:lineRule="auto"/>
              <w:ind w:firstLine="0"/>
              <w:jc w:val="center"/>
              <w:rPr>
                <w:rFonts w:asciiTheme="minorHAnsi" w:hAnsiTheme="minorHAnsi" w:cstheme="minorHAnsi"/>
                <w:color w:val="000000" w:themeColor="text1"/>
                <w:sz w:val="22"/>
                <w:szCs w:val="22"/>
              </w:rPr>
            </w:pPr>
            <w:r w:rsidRPr="00822434">
              <w:rPr>
                <w:rFonts w:asciiTheme="minorHAnsi" w:hAnsiTheme="minorHAnsi" w:cstheme="minorHAnsi"/>
                <w:color w:val="000000" w:themeColor="text1"/>
                <w:sz w:val="22"/>
                <w:szCs w:val="22"/>
              </w:rPr>
              <w:t>0.213</w:t>
            </w:r>
          </w:p>
        </w:tc>
      </w:tr>
      <w:tr w:rsidR="003C5D34" w:rsidRPr="00822434" w14:paraId="238B4279" w14:textId="77777777" w:rsidTr="00822434">
        <w:trPr>
          <w:trHeight w:val="576"/>
        </w:trPr>
        <w:tc>
          <w:tcPr>
            <w:tcW w:w="9216" w:type="dxa"/>
            <w:gridSpan w:val="6"/>
            <w:tcBorders>
              <w:top w:val="single" w:sz="4" w:space="0" w:color="auto"/>
            </w:tcBorders>
          </w:tcPr>
          <w:p w14:paraId="1C55D2F8" w14:textId="72B3B700" w:rsidR="003C5D34" w:rsidRPr="00822434" w:rsidRDefault="003C5D34" w:rsidP="000D25D0">
            <w:pPr>
              <w:pStyle w:val="PRPRTabNote"/>
              <w:rPr>
                <w:rFonts w:asciiTheme="minorHAnsi" w:hAnsiTheme="minorHAnsi" w:cstheme="minorHAnsi"/>
                <w:i/>
              </w:rPr>
            </w:pPr>
            <w:r w:rsidRPr="00822434">
              <w:rPr>
                <w:rFonts w:asciiTheme="minorHAnsi" w:hAnsiTheme="minorHAnsi" w:cstheme="minorHAnsi"/>
                <w:i/>
              </w:rPr>
              <w:t>Note.</w:t>
            </w:r>
            <w:r w:rsidRPr="00822434">
              <w:rPr>
                <w:rFonts w:asciiTheme="minorHAnsi" w:hAnsiTheme="minorHAnsi" w:cstheme="minorHAnsi"/>
              </w:rPr>
              <w:t xml:space="preserve"> Each model </w:t>
            </w:r>
            <w:proofErr w:type="gramStart"/>
            <w:r w:rsidRPr="00822434">
              <w:rPr>
                <w:rFonts w:asciiTheme="minorHAnsi" w:hAnsiTheme="minorHAnsi" w:cstheme="minorHAnsi"/>
              </w:rPr>
              <w:t>controls for</w:t>
            </w:r>
            <w:proofErr w:type="gramEnd"/>
            <w:r w:rsidRPr="00822434">
              <w:rPr>
                <w:rFonts w:asciiTheme="minorHAnsi" w:hAnsiTheme="minorHAnsi" w:cstheme="minorHAnsi"/>
              </w:rPr>
              <w:t xml:space="preserve"> the initial GDP and the capital growth. Root-mean-squared-errors (RMSE) and mean absolute errors (MAE) are normalized to 1 for the model using the PWLF. </w:t>
            </w:r>
            <w:r w:rsidRPr="00822434">
              <w:rPr>
                <w:rFonts w:asciiTheme="minorHAnsi" w:hAnsiTheme="minorHAnsi" w:cstheme="minorHAnsi"/>
                <w:b/>
                <w:bCs/>
              </w:rPr>
              <w:t>Bold</w:t>
            </w:r>
            <w:r w:rsidRPr="00822434">
              <w:rPr>
                <w:rFonts w:asciiTheme="minorHAnsi" w:hAnsiTheme="minorHAnsi" w:cstheme="minorHAnsi"/>
              </w:rPr>
              <w:t xml:space="preserve"> marks the best performer.</w:t>
            </w:r>
          </w:p>
        </w:tc>
      </w:tr>
    </w:tbl>
    <w:p w14:paraId="0C9F9CE7" w14:textId="27CD250B" w:rsidR="00B3651E" w:rsidRPr="00822434" w:rsidRDefault="00554C3E" w:rsidP="003C5D34">
      <w:pPr>
        <w:pStyle w:val="L2Head"/>
        <w:rPr>
          <w:rFonts w:asciiTheme="minorHAnsi" w:hAnsiTheme="minorHAnsi" w:cstheme="minorHAnsi"/>
          <w:color w:val="000000" w:themeColor="text1"/>
        </w:rPr>
      </w:pPr>
      <w:r w:rsidRPr="00822434">
        <w:rPr>
          <w:rFonts w:asciiTheme="minorHAnsi" w:hAnsiTheme="minorHAnsi" w:cstheme="minorHAnsi"/>
          <w:color w:val="000000" w:themeColor="text1"/>
        </w:rPr>
        <w:lastRenderedPageBreak/>
        <w:t xml:space="preserve">D. </w:t>
      </w:r>
      <w:r w:rsidR="00B3651E" w:rsidRPr="00822434">
        <w:rPr>
          <w:rFonts w:asciiTheme="minorHAnsi" w:hAnsiTheme="minorHAnsi" w:cstheme="minorHAnsi"/>
          <w:color w:val="000000" w:themeColor="text1"/>
        </w:rPr>
        <w:t>Limitations</w:t>
      </w:r>
    </w:p>
    <w:p w14:paraId="6252F24D" w14:textId="394D8C05" w:rsidR="00B3651E" w:rsidRPr="00822434" w:rsidRDefault="00B3651E" w:rsidP="003C5D34">
      <w:pPr>
        <w:pStyle w:val="PRPRManIndent"/>
        <w:rPr>
          <w:rFonts w:asciiTheme="minorHAnsi" w:hAnsiTheme="minorHAnsi" w:cstheme="minorHAnsi"/>
          <w:color w:val="000000" w:themeColor="text1"/>
        </w:rPr>
      </w:pPr>
      <w:r w:rsidRPr="00822434">
        <w:rPr>
          <w:rFonts w:asciiTheme="minorHAnsi" w:hAnsiTheme="minorHAnsi" w:cstheme="minorHAnsi"/>
          <w:color w:val="000000" w:themeColor="text1"/>
        </w:rPr>
        <w:t xml:space="preserve">The methodology used to estimate productivity weights based on education-specific indicators has several limitations that should be considered. The assumption of using income as a proxy for productivity might oversimplify the complex relationship between education, skills, and actual productivity levels. </w:t>
      </w:r>
      <w:bookmarkStart w:id="12" w:name="_Hlk194063751"/>
      <w:r w:rsidRPr="00822434">
        <w:rPr>
          <w:rFonts w:asciiTheme="minorHAnsi" w:hAnsiTheme="minorHAnsi" w:cstheme="minorHAnsi"/>
          <w:color w:val="000000" w:themeColor="text1"/>
        </w:rPr>
        <w:t>The productivity-</w:t>
      </w:r>
      <w:proofErr w:type="gramStart"/>
      <w:r w:rsidRPr="00822434">
        <w:rPr>
          <w:rFonts w:asciiTheme="minorHAnsi" w:hAnsiTheme="minorHAnsi" w:cstheme="minorHAnsi"/>
          <w:color w:val="000000" w:themeColor="text1"/>
        </w:rPr>
        <w:t>weighted</w:t>
      </w:r>
      <w:proofErr w:type="gramEnd"/>
      <w:r w:rsidRPr="00822434">
        <w:rPr>
          <w:rFonts w:asciiTheme="minorHAnsi" w:hAnsiTheme="minorHAnsi" w:cstheme="minorHAnsi"/>
          <w:color w:val="000000" w:themeColor="text1"/>
        </w:rPr>
        <w:t xml:space="preserve"> labor force (PWLF</w:t>
      </w:r>
      <w:proofErr w:type="gramStart"/>
      <w:r w:rsidRPr="00822434">
        <w:rPr>
          <w:rFonts w:asciiTheme="minorHAnsi" w:hAnsiTheme="minorHAnsi" w:cstheme="minorHAnsi"/>
          <w:color w:val="000000" w:themeColor="text1"/>
        </w:rPr>
        <w:t>) indeed</w:t>
      </w:r>
      <w:proofErr w:type="gramEnd"/>
      <w:r w:rsidRPr="00822434">
        <w:rPr>
          <w:rFonts w:asciiTheme="minorHAnsi" w:hAnsiTheme="minorHAnsi" w:cstheme="minorHAnsi"/>
          <w:color w:val="000000" w:themeColor="text1"/>
        </w:rPr>
        <w:t xml:space="preserve"> </w:t>
      </w:r>
      <w:proofErr w:type="gramStart"/>
      <w:r w:rsidRPr="00822434">
        <w:rPr>
          <w:rFonts w:asciiTheme="minorHAnsi" w:hAnsiTheme="minorHAnsi" w:cstheme="minorHAnsi"/>
          <w:color w:val="000000" w:themeColor="text1"/>
        </w:rPr>
        <w:t>takes into account</w:t>
      </w:r>
      <w:proofErr w:type="gramEnd"/>
      <w:r w:rsidRPr="00822434">
        <w:rPr>
          <w:rFonts w:asciiTheme="minorHAnsi" w:hAnsiTheme="minorHAnsi" w:cstheme="minorHAnsi"/>
          <w:color w:val="000000" w:themeColor="text1"/>
        </w:rPr>
        <w:t xml:space="preserve"> only the gain in productivity resulting from changes in education. Increases in productivity resulting from progress in technologies or improvements in institutional organization are not considered.</w:t>
      </w:r>
      <w:r w:rsidR="002D19DF" w:rsidRPr="00822434">
        <w:rPr>
          <w:rFonts w:asciiTheme="minorHAnsi" w:hAnsiTheme="minorHAnsi" w:cstheme="minorHAnsi"/>
          <w:color w:val="000000" w:themeColor="text1"/>
        </w:rPr>
        <w:t xml:space="preserve"> </w:t>
      </w:r>
      <w:bookmarkStart w:id="13" w:name="_Hlk194063738"/>
      <w:r w:rsidR="002D19DF" w:rsidRPr="00822434">
        <w:rPr>
          <w:rFonts w:asciiTheme="minorHAnsi" w:hAnsiTheme="minorHAnsi" w:cstheme="minorHAnsi"/>
          <w:color w:val="000000" w:themeColor="text1"/>
        </w:rPr>
        <w:t xml:space="preserve">For instance, the emergence of artificial intelligence (AI) technologies presents a significant potential disruption to traditional human capital assessment, which could potentially </w:t>
      </w:r>
      <w:r w:rsidR="00D372B8" w:rsidRPr="00822434">
        <w:rPr>
          <w:rFonts w:asciiTheme="minorHAnsi" w:hAnsiTheme="minorHAnsi" w:cstheme="minorHAnsi"/>
          <w:color w:val="000000" w:themeColor="text1"/>
        </w:rPr>
        <w:t>alter</w:t>
      </w:r>
      <w:r w:rsidR="002D19DF" w:rsidRPr="00822434">
        <w:rPr>
          <w:rFonts w:asciiTheme="minorHAnsi" w:hAnsiTheme="minorHAnsi" w:cstheme="minorHAnsi"/>
          <w:color w:val="000000" w:themeColor="text1"/>
        </w:rPr>
        <w:t xml:space="preserve"> the link between human capital and economic output.</w:t>
      </w:r>
      <w:bookmarkEnd w:id="13"/>
    </w:p>
    <w:bookmarkEnd w:id="12"/>
    <w:p w14:paraId="45E3B890" w14:textId="23928AEC" w:rsidR="00B3651E" w:rsidRPr="00822434" w:rsidRDefault="00B3651E" w:rsidP="003C5D34">
      <w:pPr>
        <w:pStyle w:val="PRPRManIndent"/>
        <w:rPr>
          <w:rFonts w:asciiTheme="minorHAnsi" w:hAnsiTheme="minorHAnsi" w:cstheme="minorHAnsi"/>
          <w:color w:val="000000" w:themeColor="text1"/>
        </w:rPr>
      </w:pPr>
      <w:r w:rsidRPr="00822434">
        <w:rPr>
          <w:rFonts w:asciiTheme="minorHAnsi" w:hAnsiTheme="minorHAnsi" w:cstheme="minorHAnsi"/>
          <w:color w:val="000000" w:themeColor="text1"/>
        </w:rPr>
        <w:t>Furthermore, when the number of years of schooling was not available in censuses, they are estimated from the educational attainment, assuming the same number of years of schooling for a same educational attainment. However, there is heterogeneity across countries in the actual number of years corresponding to a given educational level (</w:t>
      </w:r>
      <w:proofErr w:type="spellStart"/>
      <w:r w:rsidRPr="00822434">
        <w:rPr>
          <w:rFonts w:asciiTheme="minorHAnsi" w:hAnsiTheme="minorHAnsi" w:cstheme="minorHAnsi"/>
          <w:color w:val="000000" w:themeColor="text1"/>
        </w:rPr>
        <w:t>Potančoková</w:t>
      </w:r>
      <w:proofErr w:type="spellEnd"/>
      <w:r w:rsidRPr="00822434">
        <w:rPr>
          <w:rFonts w:asciiTheme="minorHAnsi" w:hAnsiTheme="minorHAnsi" w:cstheme="minorHAnsi"/>
          <w:color w:val="000000" w:themeColor="text1"/>
        </w:rPr>
        <w:t xml:space="preserve">, </w:t>
      </w:r>
      <w:r w:rsidR="003C5D34" w:rsidRPr="00822434">
        <w:rPr>
          <w:rFonts w:asciiTheme="minorHAnsi" w:hAnsiTheme="minorHAnsi" w:cstheme="minorHAnsi"/>
          <w:color w:val="000000" w:themeColor="text1"/>
        </w:rPr>
        <w:t>KC</w:t>
      </w:r>
      <w:r w:rsidRPr="00822434">
        <w:rPr>
          <w:rFonts w:asciiTheme="minorHAnsi" w:hAnsiTheme="minorHAnsi" w:cstheme="minorHAnsi"/>
          <w:color w:val="000000" w:themeColor="text1"/>
        </w:rPr>
        <w:t>, and Goujon 2014). The education variable can also oversimplify the diversity in educational attainment, potentially masking important nuances in educational backgrounds. This approach may not capture the full impact of different types of education on productivity.</w:t>
      </w:r>
    </w:p>
    <w:p w14:paraId="5ACE095B" w14:textId="77777777" w:rsidR="00B3651E" w:rsidRPr="00822434" w:rsidRDefault="00B3651E" w:rsidP="003C5D34">
      <w:pPr>
        <w:pStyle w:val="PRPRManIndent"/>
        <w:rPr>
          <w:rFonts w:asciiTheme="minorHAnsi" w:hAnsiTheme="minorHAnsi" w:cstheme="minorHAnsi"/>
          <w:color w:val="000000" w:themeColor="text1"/>
        </w:rPr>
      </w:pPr>
      <w:r w:rsidRPr="00822434">
        <w:rPr>
          <w:rFonts w:asciiTheme="minorHAnsi" w:hAnsiTheme="minorHAnsi" w:cstheme="minorHAnsi"/>
          <w:color w:val="000000" w:themeColor="text1"/>
        </w:rPr>
        <w:t xml:space="preserve">The use of pooled censuses from different countries and years to estimate productivity weights may overlook country-specific nuances and variations in educational systems, labor markets, and economic conditions. Additionally, although the countries included cover many degrees of development, many world countries are missing in the sample used to estimate the productivity weights. Most censuses were from countries in the </w:t>
      </w:r>
      <w:r w:rsidRPr="00822434">
        <w:rPr>
          <w:rFonts w:asciiTheme="minorHAnsi" w:hAnsiTheme="minorHAnsi" w:cstheme="minorHAnsi"/>
          <w:color w:val="000000" w:themeColor="text1"/>
        </w:rPr>
        <w:lastRenderedPageBreak/>
        <w:t>Americas, potentially limiting the generalizability of the findings to other regions. This approach might not fully capture the unique factors influencing income differences at a national level. Moreover, adjusting education-weights for quality using cross-sectional data from adult literacy assessments assumes uniform quality across different levels of education within a country and overlooks potential variations in educational quality that could impact productivity differently.</w:t>
      </w:r>
    </w:p>
    <w:p w14:paraId="01612913" w14:textId="77777777" w:rsidR="00B3651E" w:rsidRPr="00822434" w:rsidRDefault="00B3651E" w:rsidP="003C5D34">
      <w:pPr>
        <w:pStyle w:val="PRPRManIndent"/>
        <w:rPr>
          <w:rFonts w:asciiTheme="minorHAnsi" w:hAnsiTheme="minorHAnsi" w:cstheme="minorHAnsi"/>
          <w:color w:val="000000" w:themeColor="text1"/>
        </w:rPr>
      </w:pPr>
      <w:r w:rsidRPr="00822434">
        <w:rPr>
          <w:rFonts w:asciiTheme="minorHAnsi" w:hAnsiTheme="minorHAnsi" w:cstheme="minorHAnsi"/>
          <w:color w:val="000000" w:themeColor="text1"/>
        </w:rPr>
        <w:t>Finally, projecting future productivity-weights based on assumptions about educational trends, fertility rates, labor force participation rates, and convergence towards specific scenarios introduces uncertainties related to demographic changes, economic developments, and policy interventions that may not materialize as projected.</w:t>
      </w:r>
    </w:p>
    <w:p w14:paraId="79B8C35C" w14:textId="221910EB" w:rsidR="004A42B5" w:rsidRPr="00822434" w:rsidRDefault="00B3651E" w:rsidP="000D25D0">
      <w:pPr>
        <w:pStyle w:val="PRPRManIndent"/>
        <w:rPr>
          <w:rFonts w:asciiTheme="minorHAnsi" w:eastAsiaTheme="majorEastAsia" w:hAnsiTheme="minorHAnsi" w:cstheme="minorHAnsi"/>
          <w:color w:val="000000" w:themeColor="text1"/>
          <w:szCs w:val="26"/>
        </w:rPr>
      </w:pPr>
      <w:r w:rsidRPr="00822434">
        <w:rPr>
          <w:rFonts w:asciiTheme="minorHAnsi" w:hAnsiTheme="minorHAnsi" w:cstheme="minorHAnsi"/>
          <w:color w:val="000000" w:themeColor="text1"/>
        </w:rPr>
        <w:t>These limitations highlight the need for caution when interpreting the estimated productivity-weights based on education-specific indicators and emphasize the importance of considering these constraints in drawing conclusions about the relationship between education and productivity.</w:t>
      </w:r>
      <w:r w:rsidR="004A42B5" w:rsidRPr="00822434">
        <w:rPr>
          <w:rFonts w:asciiTheme="minorHAnsi" w:hAnsiTheme="minorHAnsi" w:cstheme="minorHAnsi"/>
          <w:color w:val="000000" w:themeColor="text1"/>
        </w:rPr>
        <w:br w:type="page"/>
      </w:r>
    </w:p>
    <w:p w14:paraId="5D924BCB" w14:textId="122D94F9" w:rsidR="00B3651E" w:rsidRPr="00822434" w:rsidRDefault="00B3651E" w:rsidP="003C5D34">
      <w:pPr>
        <w:pStyle w:val="L1Head"/>
        <w:rPr>
          <w:rFonts w:asciiTheme="minorHAnsi" w:hAnsiTheme="minorHAnsi" w:cstheme="minorHAnsi"/>
          <w:color w:val="000000" w:themeColor="text1"/>
        </w:rPr>
      </w:pPr>
      <w:r w:rsidRPr="00822434">
        <w:rPr>
          <w:rFonts w:asciiTheme="minorHAnsi" w:hAnsiTheme="minorHAnsi" w:cstheme="minorHAnsi"/>
          <w:color w:val="000000" w:themeColor="text1"/>
        </w:rPr>
        <w:lastRenderedPageBreak/>
        <w:t>References</w:t>
      </w:r>
    </w:p>
    <w:p w14:paraId="5C644E4F" w14:textId="23DDB90E"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 xml:space="preserve">Basten, Stuart, Tomáš Sobotka, and Kryštof Zeman. 2014. “Future </w:t>
      </w:r>
      <w:r w:rsidR="004563AE" w:rsidRPr="00822434">
        <w:rPr>
          <w:rFonts w:asciiTheme="minorHAnsi" w:hAnsiTheme="minorHAnsi" w:cstheme="minorHAnsi"/>
          <w:color w:val="000000" w:themeColor="text1"/>
        </w:rPr>
        <w:t>f</w:t>
      </w:r>
      <w:r w:rsidRPr="00822434">
        <w:rPr>
          <w:rFonts w:asciiTheme="minorHAnsi" w:hAnsiTheme="minorHAnsi" w:cstheme="minorHAnsi"/>
          <w:color w:val="000000" w:themeColor="text1"/>
        </w:rPr>
        <w:t xml:space="preserve">ertility in </w:t>
      </w:r>
      <w:r w:rsidR="004563AE" w:rsidRPr="00822434">
        <w:rPr>
          <w:rFonts w:asciiTheme="minorHAnsi" w:hAnsiTheme="minorHAnsi" w:cstheme="minorHAnsi"/>
          <w:color w:val="000000" w:themeColor="text1"/>
        </w:rPr>
        <w:t>l</w:t>
      </w:r>
      <w:r w:rsidRPr="00822434">
        <w:rPr>
          <w:rFonts w:asciiTheme="minorHAnsi" w:hAnsiTheme="minorHAnsi" w:cstheme="minorHAnsi"/>
          <w:color w:val="000000" w:themeColor="text1"/>
        </w:rPr>
        <w:t xml:space="preserve">ow </w:t>
      </w:r>
      <w:r w:rsidR="004563AE" w:rsidRPr="00822434">
        <w:rPr>
          <w:rFonts w:asciiTheme="minorHAnsi" w:hAnsiTheme="minorHAnsi" w:cstheme="minorHAnsi"/>
          <w:color w:val="000000" w:themeColor="text1"/>
        </w:rPr>
        <w:t>f</w:t>
      </w:r>
      <w:r w:rsidRPr="00822434">
        <w:rPr>
          <w:rFonts w:asciiTheme="minorHAnsi" w:hAnsiTheme="minorHAnsi" w:cstheme="minorHAnsi"/>
          <w:color w:val="000000" w:themeColor="text1"/>
        </w:rPr>
        <w:t xml:space="preserve">ertility </w:t>
      </w:r>
      <w:r w:rsidR="004563AE" w:rsidRPr="00822434">
        <w:rPr>
          <w:rFonts w:asciiTheme="minorHAnsi" w:hAnsiTheme="minorHAnsi" w:cstheme="minorHAnsi"/>
          <w:color w:val="000000" w:themeColor="text1"/>
        </w:rPr>
        <w:t>c</w:t>
      </w:r>
      <w:r w:rsidRPr="00822434">
        <w:rPr>
          <w:rFonts w:asciiTheme="minorHAnsi" w:hAnsiTheme="minorHAnsi" w:cstheme="minorHAnsi"/>
          <w:color w:val="000000" w:themeColor="text1"/>
        </w:rPr>
        <w:t xml:space="preserve">ountries” In </w:t>
      </w:r>
      <w:r w:rsidRPr="00822434">
        <w:rPr>
          <w:rFonts w:asciiTheme="minorHAnsi" w:hAnsiTheme="minorHAnsi" w:cstheme="minorHAnsi"/>
          <w:i/>
          <w:iCs/>
          <w:color w:val="000000" w:themeColor="text1"/>
        </w:rPr>
        <w:t>World Population and Human Capital in the 21st Century</w:t>
      </w:r>
      <w:r w:rsidRPr="00822434">
        <w:rPr>
          <w:rFonts w:asciiTheme="minorHAnsi" w:hAnsiTheme="minorHAnsi" w:cstheme="minorHAnsi"/>
          <w:color w:val="000000" w:themeColor="text1"/>
        </w:rPr>
        <w:t xml:space="preserve">, edited by Wolfgang Lutz, William P. Butz, and Samir </w:t>
      </w:r>
      <w:r w:rsidR="003C5D34" w:rsidRPr="00822434">
        <w:rPr>
          <w:rFonts w:asciiTheme="minorHAnsi" w:hAnsiTheme="minorHAnsi" w:cstheme="minorHAnsi"/>
          <w:color w:val="000000" w:themeColor="text1"/>
        </w:rPr>
        <w:t>KC</w:t>
      </w:r>
      <w:r w:rsidRPr="00822434">
        <w:rPr>
          <w:rFonts w:asciiTheme="minorHAnsi" w:hAnsiTheme="minorHAnsi" w:cstheme="minorHAnsi"/>
          <w:color w:val="000000" w:themeColor="text1"/>
        </w:rPr>
        <w:t xml:space="preserve">, 39–146. Oxford: Oxford University Press. </w:t>
      </w:r>
      <w:hyperlink r:id="rId20" w:history="1">
        <w:r w:rsidR="003C5D34" w:rsidRPr="00822434">
          <w:rPr>
            <w:rStyle w:val="Hyperlink"/>
            <w:rFonts w:asciiTheme="minorHAnsi" w:hAnsiTheme="minorHAnsi" w:cstheme="minorHAnsi"/>
          </w:rPr>
          <w:t>http://ukcatalogue.oup.com/product/9780198703167.do</w:t>
        </w:r>
      </w:hyperlink>
      <w:r w:rsidR="003C5D34" w:rsidRPr="00822434">
        <w:rPr>
          <w:rFonts w:asciiTheme="minorHAnsi" w:hAnsiTheme="minorHAnsi" w:cstheme="minorHAnsi"/>
          <w:color w:val="000000" w:themeColor="text1"/>
        </w:rPr>
        <w:t xml:space="preserve"> </w:t>
      </w:r>
    </w:p>
    <w:p w14:paraId="0F1D1A8C" w14:textId="29D1B5E2"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 xml:space="preserve">Batra, Renu, and Thomas G. Reio. 2016. “Gender </w:t>
      </w:r>
      <w:r w:rsidR="004563AE" w:rsidRPr="00822434">
        <w:rPr>
          <w:rFonts w:asciiTheme="minorHAnsi" w:hAnsiTheme="minorHAnsi" w:cstheme="minorHAnsi"/>
          <w:color w:val="000000" w:themeColor="text1"/>
        </w:rPr>
        <w:t>i</w:t>
      </w:r>
      <w:r w:rsidRPr="00822434">
        <w:rPr>
          <w:rFonts w:asciiTheme="minorHAnsi" w:hAnsiTheme="minorHAnsi" w:cstheme="minorHAnsi"/>
          <w:color w:val="000000" w:themeColor="text1"/>
        </w:rPr>
        <w:t xml:space="preserve">nequality </w:t>
      </w:r>
      <w:r w:rsidR="004563AE" w:rsidRPr="00822434">
        <w:rPr>
          <w:rFonts w:asciiTheme="minorHAnsi" w:hAnsiTheme="minorHAnsi" w:cstheme="minorHAnsi"/>
          <w:color w:val="000000" w:themeColor="text1"/>
        </w:rPr>
        <w:t>i</w:t>
      </w:r>
      <w:r w:rsidRPr="00822434">
        <w:rPr>
          <w:rFonts w:asciiTheme="minorHAnsi" w:hAnsiTheme="minorHAnsi" w:cstheme="minorHAnsi"/>
          <w:color w:val="000000" w:themeColor="text1"/>
        </w:rPr>
        <w:t xml:space="preserve">ssues in India.” </w:t>
      </w:r>
      <w:r w:rsidRPr="00822434">
        <w:rPr>
          <w:rFonts w:asciiTheme="minorHAnsi" w:hAnsiTheme="minorHAnsi" w:cstheme="minorHAnsi"/>
          <w:i/>
          <w:iCs/>
          <w:color w:val="000000" w:themeColor="text1"/>
        </w:rPr>
        <w:t>Advances in Developing Human Resources</w:t>
      </w:r>
      <w:r w:rsidRPr="00822434">
        <w:rPr>
          <w:rFonts w:asciiTheme="minorHAnsi" w:hAnsiTheme="minorHAnsi" w:cstheme="minorHAnsi"/>
          <w:color w:val="000000" w:themeColor="text1"/>
        </w:rPr>
        <w:t xml:space="preserve"> 18 (1): 88–101. </w:t>
      </w:r>
      <w:hyperlink r:id="rId21" w:history="1">
        <w:r w:rsidR="003C5D34" w:rsidRPr="00822434">
          <w:rPr>
            <w:rStyle w:val="Hyperlink"/>
            <w:rFonts w:asciiTheme="minorHAnsi" w:hAnsiTheme="minorHAnsi" w:cstheme="minorHAnsi"/>
          </w:rPr>
          <w:t>https://doi.org/10.1177/1523422316630651</w:t>
        </w:r>
      </w:hyperlink>
      <w:r w:rsidR="003C5D34" w:rsidRPr="00822434">
        <w:rPr>
          <w:rFonts w:asciiTheme="minorHAnsi" w:hAnsiTheme="minorHAnsi" w:cstheme="minorHAnsi"/>
          <w:color w:val="000000" w:themeColor="text1"/>
        </w:rPr>
        <w:t xml:space="preserve"> </w:t>
      </w:r>
    </w:p>
    <w:p w14:paraId="6A902B46" w14:textId="79E6CF27" w:rsidR="00B3651E" w:rsidRPr="0091267F" w:rsidRDefault="00B3651E" w:rsidP="003C5D34">
      <w:pPr>
        <w:pStyle w:val="PRPRRefs"/>
        <w:rPr>
          <w:rFonts w:asciiTheme="minorHAnsi" w:hAnsiTheme="minorHAnsi" w:cstheme="minorHAnsi"/>
          <w:color w:val="000000" w:themeColor="text1"/>
          <w:lang w:val="en-CA"/>
        </w:rPr>
      </w:pPr>
      <w:r w:rsidRPr="00822434">
        <w:rPr>
          <w:rFonts w:asciiTheme="minorHAnsi" w:hAnsiTheme="minorHAnsi" w:cstheme="minorHAnsi"/>
          <w:color w:val="000000" w:themeColor="text1"/>
        </w:rPr>
        <w:t xml:space="preserve">Crespo Cuaresma, Jesús. 2017. “Income </w:t>
      </w:r>
      <w:r w:rsidR="00A14911" w:rsidRPr="00822434">
        <w:rPr>
          <w:rFonts w:asciiTheme="minorHAnsi" w:hAnsiTheme="minorHAnsi" w:cstheme="minorHAnsi"/>
          <w:color w:val="000000" w:themeColor="text1"/>
        </w:rPr>
        <w:t>p</w:t>
      </w:r>
      <w:r w:rsidRPr="00822434">
        <w:rPr>
          <w:rFonts w:asciiTheme="minorHAnsi" w:hAnsiTheme="minorHAnsi" w:cstheme="minorHAnsi"/>
          <w:color w:val="000000" w:themeColor="text1"/>
        </w:rPr>
        <w:t xml:space="preserve">rojections for </w:t>
      </w:r>
      <w:r w:rsidR="00A14911" w:rsidRPr="00822434">
        <w:rPr>
          <w:rFonts w:asciiTheme="minorHAnsi" w:hAnsiTheme="minorHAnsi" w:cstheme="minorHAnsi"/>
          <w:color w:val="000000" w:themeColor="text1"/>
        </w:rPr>
        <w:t>c</w:t>
      </w:r>
      <w:r w:rsidRPr="00822434">
        <w:rPr>
          <w:rFonts w:asciiTheme="minorHAnsi" w:hAnsiTheme="minorHAnsi" w:cstheme="minorHAnsi"/>
          <w:color w:val="000000" w:themeColor="text1"/>
        </w:rPr>
        <w:t xml:space="preserve">limate </w:t>
      </w:r>
      <w:r w:rsidR="00A14911" w:rsidRPr="00822434">
        <w:rPr>
          <w:rFonts w:asciiTheme="minorHAnsi" w:hAnsiTheme="minorHAnsi" w:cstheme="minorHAnsi"/>
          <w:color w:val="000000" w:themeColor="text1"/>
        </w:rPr>
        <w:t>c</w:t>
      </w:r>
      <w:r w:rsidRPr="00822434">
        <w:rPr>
          <w:rFonts w:asciiTheme="minorHAnsi" w:hAnsiTheme="minorHAnsi" w:cstheme="minorHAnsi"/>
          <w:color w:val="000000" w:themeColor="text1"/>
        </w:rPr>
        <w:t xml:space="preserve">hange </w:t>
      </w:r>
      <w:r w:rsidR="00A14911" w:rsidRPr="00822434">
        <w:rPr>
          <w:rFonts w:asciiTheme="minorHAnsi" w:hAnsiTheme="minorHAnsi" w:cstheme="minorHAnsi"/>
          <w:color w:val="000000" w:themeColor="text1"/>
        </w:rPr>
        <w:t>r</w:t>
      </w:r>
      <w:r w:rsidRPr="00822434">
        <w:rPr>
          <w:rFonts w:asciiTheme="minorHAnsi" w:hAnsiTheme="minorHAnsi" w:cstheme="minorHAnsi"/>
          <w:color w:val="000000" w:themeColor="text1"/>
        </w:rPr>
        <w:t xml:space="preserve">esearch: </w:t>
      </w:r>
      <w:r w:rsidR="00A14911" w:rsidRPr="00822434">
        <w:rPr>
          <w:rFonts w:asciiTheme="minorHAnsi" w:hAnsiTheme="minorHAnsi" w:cstheme="minorHAnsi"/>
          <w:color w:val="000000" w:themeColor="text1"/>
        </w:rPr>
        <w:t>a</w:t>
      </w:r>
      <w:r w:rsidRPr="00822434">
        <w:rPr>
          <w:rFonts w:asciiTheme="minorHAnsi" w:hAnsiTheme="minorHAnsi" w:cstheme="minorHAnsi"/>
          <w:color w:val="000000" w:themeColor="text1"/>
        </w:rPr>
        <w:t xml:space="preserve"> </w:t>
      </w:r>
      <w:r w:rsidR="00A14911" w:rsidRPr="00822434">
        <w:rPr>
          <w:rFonts w:asciiTheme="minorHAnsi" w:hAnsiTheme="minorHAnsi" w:cstheme="minorHAnsi"/>
          <w:color w:val="000000" w:themeColor="text1"/>
        </w:rPr>
        <w:t>f</w:t>
      </w:r>
      <w:r w:rsidRPr="00822434">
        <w:rPr>
          <w:rFonts w:asciiTheme="minorHAnsi" w:hAnsiTheme="minorHAnsi" w:cstheme="minorHAnsi"/>
          <w:color w:val="000000" w:themeColor="text1"/>
        </w:rPr>
        <w:t xml:space="preserve">ramework </w:t>
      </w:r>
      <w:r w:rsidR="00A14911" w:rsidRPr="00822434">
        <w:rPr>
          <w:rFonts w:asciiTheme="minorHAnsi" w:hAnsiTheme="minorHAnsi" w:cstheme="minorHAnsi"/>
          <w:color w:val="000000" w:themeColor="text1"/>
        </w:rPr>
        <w:t>b</w:t>
      </w:r>
      <w:r w:rsidRPr="00822434">
        <w:rPr>
          <w:rFonts w:asciiTheme="minorHAnsi" w:hAnsiTheme="minorHAnsi" w:cstheme="minorHAnsi"/>
          <w:color w:val="000000" w:themeColor="text1"/>
        </w:rPr>
        <w:t xml:space="preserve">ased on </w:t>
      </w:r>
      <w:r w:rsidR="00A14911" w:rsidRPr="00822434">
        <w:rPr>
          <w:rFonts w:asciiTheme="minorHAnsi" w:hAnsiTheme="minorHAnsi" w:cstheme="minorHAnsi"/>
          <w:color w:val="000000" w:themeColor="text1"/>
        </w:rPr>
        <w:t>h</w:t>
      </w:r>
      <w:r w:rsidRPr="00822434">
        <w:rPr>
          <w:rFonts w:asciiTheme="minorHAnsi" w:hAnsiTheme="minorHAnsi" w:cstheme="minorHAnsi"/>
          <w:color w:val="000000" w:themeColor="text1"/>
        </w:rPr>
        <w:t xml:space="preserve">uman </w:t>
      </w:r>
      <w:r w:rsidR="00A14911" w:rsidRPr="00822434">
        <w:rPr>
          <w:rFonts w:asciiTheme="minorHAnsi" w:hAnsiTheme="minorHAnsi" w:cstheme="minorHAnsi"/>
          <w:color w:val="000000" w:themeColor="text1"/>
        </w:rPr>
        <w:t>c</w:t>
      </w:r>
      <w:r w:rsidRPr="00822434">
        <w:rPr>
          <w:rFonts w:asciiTheme="minorHAnsi" w:hAnsiTheme="minorHAnsi" w:cstheme="minorHAnsi"/>
          <w:color w:val="000000" w:themeColor="text1"/>
        </w:rPr>
        <w:t xml:space="preserve">apital </w:t>
      </w:r>
      <w:r w:rsidR="00A14911" w:rsidRPr="00822434">
        <w:rPr>
          <w:rFonts w:asciiTheme="minorHAnsi" w:hAnsiTheme="minorHAnsi" w:cstheme="minorHAnsi"/>
          <w:color w:val="000000" w:themeColor="text1"/>
        </w:rPr>
        <w:t>d</w:t>
      </w:r>
      <w:r w:rsidRPr="00822434">
        <w:rPr>
          <w:rFonts w:asciiTheme="minorHAnsi" w:hAnsiTheme="minorHAnsi" w:cstheme="minorHAnsi"/>
          <w:color w:val="000000" w:themeColor="text1"/>
        </w:rPr>
        <w:t xml:space="preserve">ynamics.” </w:t>
      </w:r>
      <w:r w:rsidRPr="0091267F">
        <w:rPr>
          <w:rFonts w:asciiTheme="minorHAnsi" w:hAnsiTheme="minorHAnsi" w:cstheme="minorHAnsi"/>
          <w:i/>
          <w:iCs/>
          <w:color w:val="000000" w:themeColor="text1"/>
          <w:lang w:val="en-CA"/>
        </w:rPr>
        <w:t>Global Environmental Change</w:t>
      </w:r>
      <w:r w:rsidRPr="0091267F">
        <w:rPr>
          <w:rFonts w:asciiTheme="minorHAnsi" w:hAnsiTheme="minorHAnsi" w:cstheme="minorHAnsi"/>
          <w:color w:val="000000" w:themeColor="text1"/>
          <w:lang w:val="en-CA"/>
        </w:rPr>
        <w:t xml:space="preserve"> 42:226–36. </w:t>
      </w:r>
      <w:hyperlink r:id="rId22" w:history="1">
        <w:r w:rsidR="003C5D34" w:rsidRPr="0091267F">
          <w:rPr>
            <w:rStyle w:val="Hyperlink"/>
            <w:rFonts w:asciiTheme="minorHAnsi" w:hAnsiTheme="minorHAnsi" w:cstheme="minorHAnsi"/>
            <w:lang w:val="en-CA"/>
          </w:rPr>
          <w:t>https://doi.org/10.1016/j.gloenvcha.2015.02.012</w:t>
        </w:r>
      </w:hyperlink>
      <w:r w:rsidR="003C5D34" w:rsidRPr="0091267F">
        <w:rPr>
          <w:rFonts w:asciiTheme="minorHAnsi" w:hAnsiTheme="minorHAnsi" w:cstheme="minorHAnsi"/>
          <w:color w:val="000000" w:themeColor="text1"/>
          <w:lang w:val="en-CA"/>
        </w:rPr>
        <w:t xml:space="preserve"> </w:t>
      </w:r>
    </w:p>
    <w:p w14:paraId="37D90209" w14:textId="04048DC6" w:rsidR="00B3651E" w:rsidRPr="00822434" w:rsidRDefault="00B3651E" w:rsidP="003C5D34">
      <w:pPr>
        <w:pStyle w:val="PRPRRefs"/>
        <w:rPr>
          <w:rFonts w:asciiTheme="minorHAnsi" w:hAnsiTheme="minorHAnsi" w:cstheme="minorHAnsi"/>
          <w:color w:val="000000" w:themeColor="text1"/>
        </w:rPr>
      </w:pPr>
      <w:r w:rsidRPr="0091267F">
        <w:rPr>
          <w:rFonts w:asciiTheme="minorHAnsi" w:hAnsiTheme="minorHAnsi" w:cstheme="minorHAnsi"/>
          <w:color w:val="000000" w:themeColor="text1"/>
          <w:lang w:val="en-CA"/>
        </w:rPr>
        <w:t xml:space="preserve">European Commission. </w:t>
      </w:r>
      <w:r w:rsidRPr="00822434">
        <w:rPr>
          <w:rFonts w:asciiTheme="minorHAnsi" w:hAnsiTheme="minorHAnsi" w:cstheme="minorHAnsi"/>
          <w:color w:val="000000" w:themeColor="text1"/>
        </w:rPr>
        <w:t xml:space="preserve">2015. “The 2015 Ageing Report: </w:t>
      </w:r>
      <w:r w:rsidR="00A14911" w:rsidRPr="00822434">
        <w:rPr>
          <w:rFonts w:asciiTheme="minorHAnsi" w:hAnsiTheme="minorHAnsi" w:cstheme="minorHAnsi"/>
          <w:color w:val="000000" w:themeColor="text1"/>
        </w:rPr>
        <w:t>e</w:t>
      </w:r>
      <w:r w:rsidRPr="00822434">
        <w:rPr>
          <w:rFonts w:asciiTheme="minorHAnsi" w:hAnsiTheme="minorHAnsi" w:cstheme="minorHAnsi"/>
          <w:color w:val="000000" w:themeColor="text1"/>
        </w:rPr>
        <w:t xml:space="preserve">conomic and </w:t>
      </w:r>
      <w:r w:rsidR="00A14911" w:rsidRPr="00822434">
        <w:rPr>
          <w:rFonts w:asciiTheme="minorHAnsi" w:hAnsiTheme="minorHAnsi" w:cstheme="minorHAnsi"/>
          <w:color w:val="000000" w:themeColor="text1"/>
        </w:rPr>
        <w:t>b</w:t>
      </w:r>
      <w:r w:rsidRPr="00822434">
        <w:rPr>
          <w:rFonts w:asciiTheme="minorHAnsi" w:hAnsiTheme="minorHAnsi" w:cstheme="minorHAnsi"/>
          <w:color w:val="000000" w:themeColor="text1"/>
        </w:rPr>
        <w:t xml:space="preserve">udgetary </w:t>
      </w:r>
      <w:r w:rsidR="00A14911" w:rsidRPr="00822434">
        <w:rPr>
          <w:rFonts w:asciiTheme="minorHAnsi" w:hAnsiTheme="minorHAnsi" w:cstheme="minorHAnsi"/>
          <w:color w:val="000000" w:themeColor="text1"/>
        </w:rPr>
        <w:t>p</w:t>
      </w:r>
      <w:r w:rsidRPr="00822434">
        <w:rPr>
          <w:rFonts w:asciiTheme="minorHAnsi" w:hAnsiTheme="minorHAnsi" w:cstheme="minorHAnsi"/>
          <w:color w:val="000000" w:themeColor="text1"/>
        </w:rPr>
        <w:t xml:space="preserve">rojections for the 28 EU Member States (2013-2060). European Economy 3/25.” Brussels, Belgium: European Commission. </w:t>
      </w:r>
      <w:hyperlink r:id="rId23" w:history="1">
        <w:r w:rsidR="003C5D34" w:rsidRPr="00822434">
          <w:rPr>
            <w:rStyle w:val="Hyperlink"/>
            <w:rFonts w:asciiTheme="minorHAnsi" w:hAnsiTheme="minorHAnsi" w:cstheme="minorHAnsi"/>
          </w:rPr>
          <w:t>http://ec.europa.eu/economy_finance/publications/european_economy/2015/pdf/ee3_en.pdf</w:t>
        </w:r>
      </w:hyperlink>
      <w:r w:rsidR="003C5D34" w:rsidRPr="00822434">
        <w:rPr>
          <w:rFonts w:asciiTheme="minorHAnsi" w:hAnsiTheme="minorHAnsi" w:cstheme="minorHAnsi"/>
          <w:color w:val="000000" w:themeColor="text1"/>
        </w:rPr>
        <w:t xml:space="preserve"> </w:t>
      </w:r>
    </w:p>
    <w:p w14:paraId="1B2FD270" w14:textId="7F9ABF0B"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 xml:space="preserve">Feenstra, Robert C., Robert </w:t>
      </w:r>
      <w:proofErr w:type="spellStart"/>
      <w:r w:rsidRPr="00822434">
        <w:rPr>
          <w:rFonts w:asciiTheme="minorHAnsi" w:hAnsiTheme="minorHAnsi" w:cstheme="minorHAnsi"/>
          <w:color w:val="000000" w:themeColor="text1"/>
        </w:rPr>
        <w:t>Inklaar</w:t>
      </w:r>
      <w:proofErr w:type="spellEnd"/>
      <w:r w:rsidRPr="00822434">
        <w:rPr>
          <w:rFonts w:asciiTheme="minorHAnsi" w:hAnsiTheme="minorHAnsi" w:cstheme="minorHAnsi"/>
          <w:color w:val="000000" w:themeColor="text1"/>
        </w:rPr>
        <w:t xml:space="preserve">, and Marcel P. Timmer. 2015. “The </w:t>
      </w:r>
      <w:r w:rsidR="00385FEA" w:rsidRPr="00822434">
        <w:rPr>
          <w:rFonts w:asciiTheme="minorHAnsi" w:hAnsiTheme="minorHAnsi" w:cstheme="minorHAnsi"/>
          <w:color w:val="000000" w:themeColor="text1"/>
        </w:rPr>
        <w:t>n</w:t>
      </w:r>
      <w:r w:rsidRPr="00822434">
        <w:rPr>
          <w:rFonts w:asciiTheme="minorHAnsi" w:hAnsiTheme="minorHAnsi" w:cstheme="minorHAnsi"/>
          <w:color w:val="000000" w:themeColor="text1"/>
        </w:rPr>
        <w:t xml:space="preserve">ext </w:t>
      </w:r>
      <w:r w:rsidR="00385FEA" w:rsidRPr="00822434">
        <w:rPr>
          <w:rFonts w:asciiTheme="minorHAnsi" w:hAnsiTheme="minorHAnsi" w:cstheme="minorHAnsi"/>
          <w:color w:val="000000" w:themeColor="text1"/>
        </w:rPr>
        <w:t>g</w:t>
      </w:r>
      <w:r w:rsidRPr="00822434">
        <w:rPr>
          <w:rFonts w:asciiTheme="minorHAnsi" w:hAnsiTheme="minorHAnsi" w:cstheme="minorHAnsi"/>
          <w:color w:val="000000" w:themeColor="text1"/>
        </w:rPr>
        <w:t xml:space="preserve">eneration of the Penn World Table.” </w:t>
      </w:r>
      <w:r w:rsidRPr="00822434">
        <w:rPr>
          <w:rFonts w:asciiTheme="minorHAnsi" w:hAnsiTheme="minorHAnsi" w:cstheme="minorHAnsi"/>
          <w:i/>
          <w:iCs/>
          <w:color w:val="000000" w:themeColor="text1"/>
        </w:rPr>
        <w:t>American Economic Review</w:t>
      </w:r>
      <w:r w:rsidRPr="00822434">
        <w:rPr>
          <w:rFonts w:asciiTheme="minorHAnsi" w:hAnsiTheme="minorHAnsi" w:cstheme="minorHAnsi"/>
          <w:color w:val="000000" w:themeColor="text1"/>
        </w:rPr>
        <w:t xml:space="preserve"> 105 (10): 3150–82. </w:t>
      </w:r>
      <w:hyperlink r:id="rId24" w:history="1">
        <w:r w:rsidR="003C5D34" w:rsidRPr="00822434">
          <w:rPr>
            <w:rStyle w:val="Hyperlink"/>
            <w:rFonts w:asciiTheme="minorHAnsi" w:hAnsiTheme="minorHAnsi" w:cstheme="minorHAnsi"/>
          </w:rPr>
          <w:t>https://doi.org/10.1257/aer.20130954</w:t>
        </w:r>
      </w:hyperlink>
      <w:r w:rsidR="003C5D34" w:rsidRPr="00822434">
        <w:rPr>
          <w:rFonts w:asciiTheme="minorHAnsi" w:hAnsiTheme="minorHAnsi" w:cstheme="minorHAnsi"/>
          <w:color w:val="000000" w:themeColor="text1"/>
        </w:rPr>
        <w:t xml:space="preserve"> </w:t>
      </w:r>
    </w:p>
    <w:p w14:paraId="14A8CAE3" w14:textId="64173584"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 xml:space="preserve">Feng, </w:t>
      </w:r>
      <w:proofErr w:type="spellStart"/>
      <w:r w:rsidRPr="00822434">
        <w:rPr>
          <w:rFonts w:asciiTheme="minorHAnsi" w:hAnsiTheme="minorHAnsi" w:cstheme="minorHAnsi"/>
          <w:color w:val="000000" w:themeColor="text1"/>
        </w:rPr>
        <w:t>Qiushi</w:t>
      </w:r>
      <w:proofErr w:type="spellEnd"/>
      <w:r w:rsidRPr="00822434">
        <w:rPr>
          <w:rFonts w:asciiTheme="minorHAnsi" w:hAnsiTheme="minorHAnsi" w:cstheme="minorHAnsi"/>
          <w:color w:val="000000" w:themeColor="text1"/>
        </w:rPr>
        <w:t xml:space="preserve">, Wei-Jun Jean Yeung, </w:t>
      </w:r>
      <w:proofErr w:type="spellStart"/>
      <w:r w:rsidRPr="00822434">
        <w:rPr>
          <w:rFonts w:asciiTheme="minorHAnsi" w:hAnsiTheme="minorHAnsi" w:cstheme="minorHAnsi"/>
          <w:color w:val="000000" w:themeColor="text1"/>
        </w:rPr>
        <w:t>Zhenglian</w:t>
      </w:r>
      <w:proofErr w:type="spellEnd"/>
      <w:r w:rsidRPr="00822434">
        <w:rPr>
          <w:rFonts w:asciiTheme="minorHAnsi" w:hAnsiTheme="minorHAnsi" w:cstheme="minorHAnsi"/>
          <w:color w:val="000000" w:themeColor="text1"/>
        </w:rPr>
        <w:t xml:space="preserve"> Wang, and Yi Zeng. 2019. “Age of </w:t>
      </w:r>
      <w:r w:rsidR="00385FEA" w:rsidRPr="00822434">
        <w:rPr>
          <w:rFonts w:asciiTheme="minorHAnsi" w:hAnsiTheme="minorHAnsi" w:cstheme="minorHAnsi"/>
          <w:color w:val="000000" w:themeColor="text1"/>
        </w:rPr>
        <w:t>r</w:t>
      </w:r>
      <w:r w:rsidRPr="00822434">
        <w:rPr>
          <w:rFonts w:asciiTheme="minorHAnsi" w:hAnsiTheme="minorHAnsi" w:cstheme="minorHAnsi"/>
          <w:color w:val="000000" w:themeColor="text1"/>
        </w:rPr>
        <w:t xml:space="preserve">etirement and </w:t>
      </w:r>
      <w:r w:rsidR="00385FEA" w:rsidRPr="00822434">
        <w:rPr>
          <w:rFonts w:asciiTheme="minorHAnsi" w:hAnsiTheme="minorHAnsi" w:cstheme="minorHAnsi"/>
          <w:color w:val="000000" w:themeColor="text1"/>
        </w:rPr>
        <w:t>h</w:t>
      </w:r>
      <w:r w:rsidRPr="00822434">
        <w:rPr>
          <w:rFonts w:asciiTheme="minorHAnsi" w:hAnsiTheme="minorHAnsi" w:cstheme="minorHAnsi"/>
          <w:color w:val="000000" w:themeColor="text1"/>
        </w:rPr>
        <w:t xml:space="preserve">uman </w:t>
      </w:r>
      <w:r w:rsidR="00385FEA" w:rsidRPr="00822434">
        <w:rPr>
          <w:rFonts w:asciiTheme="minorHAnsi" w:hAnsiTheme="minorHAnsi" w:cstheme="minorHAnsi"/>
          <w:color w:val="000000" w:themeColor="text1"/>
        </w:rPr>
        <w:t>c</w:t>
      </w:r>
      <w:r w:rsidRPr="00822434">
        <w:rPr>
          <w:rFonts w:asciiTheme="minorHAnsi" w:hAnsiTheme="minorHAnsi" w:cstheme="minorHAnsi"/>
          <w:color w:val="000000" w:themeColor="text1"/>
        </w:rPr>
        <w:t xml:space="preserve">apital in an </w:t>
      </w:r>
      <w:r w:rsidR="00385FEA" w:rsidRPr="00822434">
        <w:rPr>
          <w:rFonts w:asciiTheme="minorHAnsi" w:hAnsiTheme="minorHAnsi" w:cstheme="minorHAnsi"/>
          <w:color w:val="000000" w:themeColor="text1"/>
        </w:rPr>
        <w:t>a</w:t>
      </w:r>
      <w:r w:rsidRPr="00822434">
        <w:rPr>
          <w:rFonts w:asciiTheme="minorHAnsi" w:hAnsiTheme="minorHAnsi" w:cstheme="minorHAnsi"/>
          <w:color w:val="000000" w:themeColor="text1"/>
        </w:rPr>
        <w:t xml:space="preserve">ging China, 2015–2050.” </w:t>
      </w:r>
      <w:r w:rsidRPr="00822434">
        <w:rPr>
          <w:rFonts w:asciiTheme="minorHAnsi" w:hAnsiTheme="minorHAnsi" w:cstheme="minorHAnsi"/>
          <w:i/>
          <w:iCs/>
          <w:color w:val="000000" w:themeColor="text1"/>
        </w:rPr>
        <w:t>European Journal of Population</w:t>
      </w:r>
      <w:r w:rsidRPr="00822434">
        <w:rPr>
          <w:rFonts w:asciiTheme="minorHAnsi" w:hAnsiTheme="minorHAnsi" w:cstheme="minorHAnsi"/>
          <w:color w:val="000000" w:themeColor="text1"/>
        </w:rPr>
        <w:t xml:space="preserve"> 35 (1): 29–62. </w:t>
      </w:r>
      <w:hyperlink r:id="rId25" w:history="1">
        <w:r w:rsidR="003C5D34" w:rsidRPr="00822434">
          <w:rPr>
            <w:rStyle w:val="Hyperlink"/>
            <w:rFonts w:asciiTheme="minorHAnsi" w:hAnsiTheme="minorHAnsi" w:cstheme="minorHAnsi"/>
          </w:rPr>
          <w:t>https://doi.org/10.1007/s10680-018-9467-3</w:t>
        </w:r>
      </w:hyperlink>
      <w:r w:rsidR="003C5D34" w:rsidRPr="00822434">
        <w:rPr>
          <w:rFonts w:asciiTheme="minorHAnsi" w:hAnsiTheme="minorHAnsi" w:cstheme="minorHAnsi"/>
          <w:color w:val="000000" w:themeColor="text1"/>
        </w:rPr>
        <w:t xml:space="preserve"> </w:t>
      </w:r>
    </w:p>
    <w:p w14:paraId="2A7C22C9" w14:textId="1F5A773C"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 xml:space="preserve">Fuchs, Regina, and Anne Goujon. 2014. “Future </w:t>
      </w:r>
      <w:r w:rsidR="00385FEA" w:rsidRPr="00822434">
        <w:rPr>
          <w:rFonts w:asciiTheme="minorHAnsi" w:hAnsiTheme="minorHAnsi" w:cstheme="minorHAnsi"/>
          <w:color w:val="000000" w:themeColor="text1"/>
        </w:rPr>
        <w:t>f</w:t>
      </w:r>
      <w:r w:rsidRPr="00822434">
        <w:rPr>
          <w:rFonts w:asciiTheme="minorHAnsi" w:hAnsiTheme="minorHAnsi" w:cstheme="minorHAnsi"/>
          <w:color w:val="000000" w:themeColor="text1"/>
        </w:rPr>
        <w:t xml:space="preserve">ertility in </w:t>
      </w:r>
      <w:r w:rsidR="00385FEA" w:rsidRPr="00822434">
        <w:rPr>
          <w:rFonts w:asciiTheme="minorHAnsi" w:hAnsiTheme="minorHAnsi" w:cstheme="minorHAnsi"/>
          <w:color w:val="000000" w:themeColor="text1"/>
        </w:rPr>
        <w:t>h</w:t>
      </w:r>
      <w:r w:rsidRPr="00822434">
        <w:rPr>
          <w:rFonts w:asciiTheme="minorHAnsi" w:hAnsiTheme="minorHAnsi" w:cstheme="minorHAnsi"/>
          <w:color w:val="000000" w:themeColor="text1"/>
        </w:rPr>
        <w:t xml:space="preserve">igh </w:t>
      </w:r>
      <w:r w:rsidR="00385FEA" w:rsidRPr="00822434">
        <w:rPr>
          <w:rFonts w:asciiTheme="minorHAnsi" w:hAnsiTheme="minorHAnsi" w:cstheme="minorHAnsi"/>
          <w:color w:val="000000" w:themeColor="text1"/>
        </w:rPr>
        <w:t>f</w:t>
      </w:r>
      <w:r w:rsidRPr="00822434">
        <w:rPr>
          <w:rFonts w:asciiTheme="minorHAnsi" w:hAnsiTheme="minorHAnsi" w:cstheme="minorHAnsi"/>
          <w:color w:val="000000" w:themeColor="text1"/>
        </w:rPr>
        <w:t xml:space="preserve">ertility </w:t>
      </w:r>
      <w:r w:rsidR="00385FEA" w:rsidRPr="00822434">
        <w:rPr>
          <w:rFonts w:asciiTheme="minorHAnsi" w:hAnsiTheme="minorHAnsi" w:cstheme="minorHAnsi"/>
          <w:color w:val="000000" w:themeColor="text1"/>
        </w:rPr>
        <w:t>c</w:t>
      </w:r>
      <w:r w:rsidRPr="00822434">
        <w:rPr>
          <w:rFonts w:asciiTheme="minorHAnsi" w:hAnsiTheme="minorHAnsi" w:cstheme="minorHAnsi"/>
          <w:color w:val="000000" w:themeColor="text1"/>
        </w:rPr>
        <w:t xml:space="preserve">ountries.” In </w:t>
      </w:r>
      <w:r w:rsidRPr="00822434">
        <w:rPr>
          <w:rFonts w:asciiTheme="minorHAnsi" w:hAnsiTheme="minorHAnsi" w:cstheme="minorHAnsi"/>
          <w:i/>
          <w:iCs/>
          <w:color w:val="000000" w:themeColor="text1"/>
        </w:rPr>
        <w:t>World Population and Human Capital in the 21st Century</w:t>
      </w:r>
      <w:r w:rsidRPr="00822434">
        <w:rPr>
          <w:rFonts w:asciiTheme="minorHAnsi" w:hAnsiTheme="minorHAnsi" w:cstheme="minorHAnsi"/>
          <w:color w:val="000000" w:themeColor="text1"/>
        </w:rPr>
        <w:t xml:space="preserve">, edited by Wolfgang Lutz, William P. Butz, and Samir </w:t>
      </w:r>
      <w:r w:rsidR="003C5D34" w:rsidRPr="00822434">
        <w:rPr>
          <w:rFonts w:asciiTheme="minorHAnsi" w:hAnsiTheme="minorHAnsi" w:cstheme="minorHAnsi"/>
          <w:color w:val="000000" w:themeColor="text1"/>
        </w:rPr>
        <w:t>KC</w:t>
      </w:r>
      <w:r w:rsidRPr="00822434">
        <w:rPr>
          <w:rFonts w:asciiTheme="minorHAnsi" w:hAnsiTheme="minorHAnsi" w:cstheme="minorHAnsi"/>
          <w:color w:val="000000" w:themeColor="text1"/>
        </w:rPr>
        <w:t xml:space="preserve">, 147–225. Oxford: Oxford University Press. </w:t>
      </w:r>
      <w:hyperlink r:id="rId26" w:history="1">
        <w:r w:rsidR="003C5D34" w:rsidRPr="00822434">
          <w:rPr>
            <w:rStyle w:val="Hyperlink"/>
            <w:rFonts w:asciiTheme="minorHAnsi" w:hAnsiTheme="minorHAnsi" w:cstheme="minorHAnsi"/>
          </w:rPr>
          <w:t>http://ukcatalogue.oup.com/product/9780198703167.do</w:t>
        </w:r>
      </w:hyperlink>
      <w:r w:rsidR="003C5D34" w:rsidRPr="00822434">
        <w:rPr>
          <w:rFonts w:asciiTheme="minorHAnsi" w:hAnsiTheme="minorHAnsi" w:cstheme="minorHAnsi"/>
          <w:color w:val="000000" w:themeColor="text1"/>
        </w:rPr>
        <w:t xml:space="preserve"> </w:t>
      </w:r>
    </w:p>
    <w:p w14:paraId="774F34F6" w14:textId="29FCC30F"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 xml:space="preserve">Heyneman, Stephen P. 2004. “International </w:t>
      </w:r>
      <w:r w:rsidR="00385FEA" w:rsidRPr="00822434">
        <w:rPr>
          <w:rFonts w:asciiTheme="minorHAnsi" w:hAnsiTheme="minorHAnsi" w:cstheme="minorHAnsi"/>
          <w:color w:val="000000" w:themeColor="text1"/>
        </w:rPr>
        <w:t>e</w:t>
      </w:r>
      <w:r w:rsidRPr="00822434">
        <w:rPr>
          <w:rFonts w:asciiTheme="minorHAnsi" w:hAnsiTheme="minorHAnsi" w:cstheme="minorHAnsi"/>
          <w:color w:val="000000" w:themeColor="text1"/>
        </w:rPr>
        <w:t xml:space="preserve">ducation </w:t>
      </w:r>
      <w:r w:rsidR="00385FEA" w:rsidRPr="00822434">
        <w:rPr>
          <w:rFonts w:asciiTheme="minorHAnsi" w:hAnsiTheme="minorHAnsi" w:cstheme="minorHAnsi"/>
          <w:color w:val="000000" w:themeColor="text1"/>
        </w:rPr>
        <w:t>q</w:t>
      </w:r>
      <w:r w:rsidRPr="00822434">
        <w:rPr>
          <w:rFonts w:asciiTheme="minorHAnsi" w:hAnsiTheme="minorHAnsi" w:cstheme="minorHAnsi"/>
          <w:color w:val="000000" w:themeColor="text1"/>
        </w:rPr>
        <w:t xml:space="preserve">uality.” </w:t>
      </w:r>
      <w:r w:rsidRPr="00822434">
        <w:rPr>
          <w:rFonts w:asciiTheme="minorHAnsi" w:hAnsiTheme="minorHAnsi" w:cstheme="minorHAnsi"/>
          <w:i/>
          <w:iCs/>
          <w:color w:val="000000" w:themeColor="text1"/>
        </w:rPr>
        <w:t xml:space="preserve">Special Issue </w:t>
      </w:r>
      <w:proofErr w:type="gramStart"/>
      <w:r w:rsidRPr="00822434">
        <w:rPr>
          <w:rFonts w:asciiTheme="minorHAnsi" w:hAnsiTheme="minorHAnsi" w:cstheme="minorHAnsi"/>
          <w:i/>
          <w:iCs/>
          <w:color w:val="000000" w:themeColor="text1"/>
        </w:rPr>
        <w:t>In</w:t>
      </w:r>
      <w:proofErr w:type="gramEnd"/>
      <w:r w:rsidRPr="00822434">
        <w:rPr>
          <w:rFonts w:asciiTheme="minorHAnsi" w:hAnsiTheme="minorHAnsi" w:cstheme="minorHAnsi"/>
          <w:i/>
          <w:iCs/>
          <w:color w:val="000000" w:themeColor="text1"/>
        </w:rPr>
        <w:t xml:space="preserve"> Honor of Lewis C. Solman</w:t>
      </w:r>
      <w:r w:rsidRPr="00822434">
        <w:rPr>
          <w:rFonts w:asciiTheme="minorHAnsi" w:hAnsiTheme="minorHAnsi" w:cstheme="minorHAnsi"/>
          <w:color w:val="000000" w:themeColor="text1"/>
        </w:rPr>
        <w:t xml:space="preserve"> 23 (4): 441–52. </w:t>
      </w:r>
      <w:hyperlink r:id="rId27" w:history="1">
        <w:r w:rsidR="003C5D34" w:rsidRPr="00822434">
          <w:rPr>
            <w:rStyle w:val="Hyperlink"/>
            <w:rFonts w:asciiTheme="minorHAnsi" w:hAnsiTheme="minorHAnsi" w:cstheme="minorHAnsi"/>
          </w:rPr>
          <w:t>https://doi.org/10.1016/j.econedurev.2003.10.002</w:t>
        </w:r>
      </w:hyperlink>
      <w:r w:rsidR="003C5D34" w:rsidRPr="00822434">
        <w:rPr>
          <w:rFonts w:asciiTheme="minorHAnsi" w:hAnsiTheme="minorHAnsi" w:cstheme="minorHAnsi"/>
          <w:color w:val="000000" w:themeColor="text1"/>
        </w:rPr>
        <w:t xml:space="preserve"> </w:t>
      </w:r>
    </w:p>
    <w:p w14:paraId="34AFA732" w14:textId="591D7FA4"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 xml:space="preserve">“Integrated Public Use Microdata Series, International: Version 7.3 [Dataset].” 2020. Minnesota Population Center. </w:t>
      </w:r>
      <w:hyperlink r:id="rId28" w:history="1">
        <w:r w:rsidR="003C5D34" w:rsidRPr="00822434">
          <w:rPr>
            <w:rStyle w:val="Hyperlink"/>
            <w:rFonts w:asciiTheme="minorHAnsi" w:hAnsiTheme="minorHAnsi" w:cstheme="minorHAnsi"/>
          </w:rPr>
          <w:t>https://international.ipums.org/</w:t>
        </w:r>
      </w:hyperlink>
      <w:r w:rsidR="003C5D34" w:rsidRPr="00822434">
        <w:rPr>
          <w:rFonts w:asciiTheme="minorHAnsi" w:hAnsiTheme="minorHAnsi" w:cstheme="minorHAnsi"/>
          <w:color w:val="000000" w:themeColor="text1"/>
        </w:rPr>
        <w:t xml:space="preserve"> </w:t>
      </w:r>
    </w:p>
    <w:p w14:paraId="1ADB98DE" w14:textId="0CC891D0" w:rsidR="00B3651E" w:rsidRPr="0091267F" w:rsidRDefault="00B3651E" w:rsidP="003C5D34">
      <w:pPr>
        <w:pStyle w:val="PRPRRefs"/>
        <w:rPr>
          <w:rFonts w:asciiTheme="minorHAnsi" w:hAnsiTheme="minorHAnsi" w:cstheme="minorHAnsi"/>
          <w:color w:val="000000" w:themeColor="text1"/>
          <w:lang w:val="en-CA"/>
        </w:rPr>
      </w:pPr>
      <w:r w:rsidRPr="00822434">
        <w:rPr>
          <w:rFonts w:asciiTheme="minorHAnsi" w:hAnsiTheme="minorHAnsi" w:cstheme="minorHAnsi"/>
          <w:color w:val="000000" w:themeColor="text1"/>
        </w:rPr>
        <w:t>K</w:t>
      </w:r>
      <w:r w:rsidR="003C5D34" w:rsidRPr="00822434">
        <w:rPr>
          <w:rFonts w:asciiTheme="minorHAnsi" w:hAnsiTheme="minorHAnsi" w:cstheme="minorHAnsi"/>
          <w:color w:val="000000" w:themeColor="text1"/>
        </w:rPr>
        <w:t>.</w:t>
      </w:r>
      <w:r w:rsidRPr="00822434">
        <w:rPr>
          <w:rFonts w:asciiTheme="minorHAnsi" w:hAnsiTheme="minorHAnsi" w:cstheme="minorHAnsi"/>
          <w:color w:val="000000" w:themeColor="text1"/>
        </w:rPr>
        <w:t>C</w:t>
      </w:r>
      <w:r w:rsidR="003C5D34" w:rsidRPr="00822434">
        <w:rPr>
          <w:rFonts w:asciiTheme="minorHAnsi" w:hAnsiTheme="minorHAnsi" w:cstheme="minorHAnsi"/>
          <w:color w:val="000000" w:themeColor="text1"/>
        </w:rPr>
        <w:t>.</w:t>
      </w:r>
      <w:r w:rsidRPr="00822434">
        <w:rPr>
          <w:rFonts w:asciiTheme="minorHAnsi" w:hAnsiTheme="minorHAnsi" w:cstheme="minorHAnsi"/>
          <w:color w:val="000000" w:themeColor="text1"/>
        </w:rPr>
        <w:t xml:space="preserve">, S., M. </w:t>
      </w:r>
      <w:proofErr w:type="spellStart"/>
      <w:r w:rsidRPr="00822434">
        <w:rPr>
          <w:rFonts w:asciiTheme="minorHAnsi" w:hAnsiTheme="minorHAnsi" w:cstheme="minorHAnsi"/>
          <w:color w:val="000000" w:themeColor="text1"/>
        </w:rPr>
        <w:t>Dhakad</w:t>
      </w:r>
      <w:proofErr w:type="spellEnd"/>
      <w:r w:rsidRPr="00822434">
        <w:rPr>
          <w:rFonts w:asciiTheme="minorHAnsi" w:hAnsiTheme="minorHAnsi" w:cstheme="minorHAnsi"/>
          <w:color w:val="000000" w:themeColor="text1"/>
        </w:rPr>
        <w:t xml:space="preserve">, M. </w:t>
      </w:r>
      <w:proofErr w:type="spellStart"/>
      <w:r w:rsidRPr="00822434">
        <w:rPr>
          <w:rFonts w:asciiTheme="minorHAnsi" w:hAnsiTheme="minorHAnsi" w:cstheme="minorHAnsi"/>
          <w:color w:val="000000" w:themeColor="text1"/>
        </w:rPr>
        <w:t>Potančoková</w:t>
      </w:r>
      <w:proofErr w:type="spellEnd"/>
      <w:r w:rsidRPr="00822434">
        <w:rPr>
          <w:rFonts w:asciiTheme="minorHAnsi" w:hAnsiTheme="minorHAnsi" w:cstheme="minorHAnsi"/>
          <w:color w:val="000000" w:themeColor="text1"/>
        </w:rPr>
        <w:t xml:space="preserve">, S. Adhikari, D. Yildiz, M. </w:t>
      </w:r>
      <w:proofErr w:type="spellStart"/>
      <w:r w:rsidRPr="00822434">
        <w:rPr>
          <w:rFonts w:asciiTheme="minorHAnsi" w:hAnsiTheme="minorHAnsi" w:cstheme="minorHAnsi"/>
          <w:color w:val="000000" w:themeColor="text1"/>
        </w:rPr>
        <w:t>Mamolo</w:t>
      </w:r>
      <w:proofErr w:type="spellEnd"/>
      <w:r w:rsidRPr="00822434">
        <w:rPr>
          <w:rFonts w:asciiTheme="minorHAnsi" w:hAnsiTheme="minorHAnsi" w:cstheme="minorHAnsi"/>
          <w:color w:val="000000" w:themeColor="text1"/>
        </w:rPr>
        <w:t>, T. Sobotka, et al. 2024. “</w:t>
      </w:r>
      <w:r w:rsidR="00385FEA" w:rsidRPr="00822434">
        <w:rPr>
          <w:rFonts w:asciiTheme="minorHAnsi" w:hAnsiTheme="minorHAnsi" w:cstheme="minorHAnsi"/>
          <w:color w:val="000000" w:themeColor="text1"/>
        </w:rPr>
        <w:t>Updating the shared socioeconomic pathways (SSPs) global population and human capital projections</w:t>
      </w:r>
      <w:r w:rsidRPr="00822434">
        <w:rPr>
          <w:rFonts w:asciiTheme="minorHAnsi" w:hAnsiTheme="minorHAnsi" w:cstheme="minorHAnsi"/>
          <w:color w:val="000000" w:themeColor="text1"/>
        </w:rPr>
        <w:t xml:space="preserve">.” IIASA Working Paper WP-24-003. Laxenburg, Austria. </w:t>
      </w:r>
      <w:hyperlink r:id="rId29" w:history="1">
        <w:r w:rsidR="003C5D34" w:rsidRPr="00822434">
          <w:rPr>
            <w:rStyle w:val="Hyperlink"/>
            <w:rFonts w:asciiTheme="minorHAnsi" w:hAnsiTheme="minorHAnsi" w:cstheme="minorHAnsi"/>
          </w:rPr>
          <w:t>https://pure.iiasa.ac.at/19487</w:t>
        </w:r>
      </w:hyperlink>
      <w:r w:rsidR="003C5D34" w:rsidRPr="00822434">
        <w:rPr>
          <w:rFonts w:asciiTheme="minorHAnsi" w:hAnsiTheme="minorHAnsi" w:cstheme="minorHAnsi"/>
          <w:color w:val="000000" w:themeColor="text1"/>
        </w:rPr>
        <w:t xml:space="preserve"> </w:t>
      </w:r>
    </w:p>
    <w:p w14:paraId="6C174335" w14:textId="154EA123" w:rsidR="00B3651E" w:rsidRPr="00822434" w:rsidRDefault="00C820E1" w:rsidP="003C5D34">
      <w:pPr>
        <w:pStyle w:val="PRPRRefs"/>
        <w:rPr>
          <w:rFonts w:asciiTheme="minorHAnsi" w:hAnsiTheme="minorHAnsi" w:cstheme="minorHAnsi"/>
          <w:color w:val="000000" w:themeColor="text1"/>
        </w:rPr>
      </w:pPr>
      <w:proofErr w:type="spellStart"/>
      <w:r w:rsidRPr="00822434">
        <w:rPr>
          <w:rFonts w:asciiTheme="minorHAnsi" w:hAnsiTheme="minorHAnsi" w:cstheme="minorHAnsi"/>
          <w:color w:val="000000" w:themeColor="text1"/>
        </w:rPr>
        <w:t>Loichinger</w:t>
      </w:r>
      <w:proofErr w:type="spellEnd"/>
      <w:r w:rsidRPr="00822434">
        <w:rPr>
          <w:rFonts w:asciiTheme="minorHAnsi" w:hAnsiTheme="minorHAnsi" w:cstheme="minorHAnsi"/>
          <w:color w:val="000000" w:themeColor="text1"/>
        </w:rPr>
        <w:t>, Elke.</w:t>
      </w:r>
      <w:r w:rsidR="00B3651E" w:rsidRPr="00822434">
        <w:rPr>
          <w:rFonts w:asciiTheme="minorHAnsi" w:hAnsiTheme="minorHAnsi" w:cstheme="minorHAnsi"/>
          <w:color w:val="000000" w:themeColor="text1"/>
        </w:rPr>
        <w:t xml:space="preserve"> 2015. “</w:t>
      </w:r>
      <w:r w:rsidR="00385FEA" w:rsidRPr="00822434">
        <w:rPr>
          <w:rFonts w:asciiTheme="minorHAnsi" w:hAnsiTheme="minorHAnsi" w:cstheme="minorHAnsi"/>
          <w:color w:val="000000" w:themeColor="text1"/>
        </w:rPr>
        <w:t xml:space="preserve">Labor force projections up to 2053 for 26 </w:t>
      </w:r>
      <w:proofErr w:type="spellStart"/>
      <w:r w:rsidR="00385FEA" w:rsidRPr="00822434">
        <w:rPr>
          <w:rFonts w:asciiTheme="minorHAnsi" w:hAnsiTheme="minorHAnsi" w:cstheme="minorHAnsi"/>
          <w:color w:val="000000" w:themeColor="text1"/>
        </w:rPr>
        <w:t>eu</w:t>
      </w:r>
      <w:proofErr w:type="spellEnd"/>
      <w:r w:rsidR="00385FEA" w:rsidRPr="00822434">
        <w:rPr>
          <w:rFonts w:asciiTheme="minorHAnsi" w:hAnsiTheme="minorHAnsi" w:cstheme="minorHAnsi"/>
          <w:color w:val="000000" w:themeColor="text1"/>
        </w:rPr>
        <w:t xml:space="preserve"> countries, by age, sex, and highest level of educational attainment</w:t>
      </w:r>
      <w:r w:rsidR="00B3651E" w:rsidRPr="00822434">
        <w:rPr>
          <w:rFonts w:asciiTheme="minorHAnsi" w:hAnsiTheme="minorHAnsi" w:cstheme="minorHAnsi"/>
          <w:color w:val="000000" w:themeColor="text1"/>
        </w:rPr>
        <w:t xml:space="preserve">.” </w:t>
      </w:r>
      <w:r w:rsidR="00B3651E" w:rsidRPr="00822434">
        <w:rPr>
          <w:rFonts w:asciiTheme="minorHAnsi" w:hAnsiTheme="minorHAnsi" w:cstheme="minorHAnsi"/>
          <w:i/>
          <w:iCs/>
          <w:color w:val="000000" w:themeColor="text1"/>
        </w:rPr>
        <w:t>Demographic Research</w:t>
      </w:r>
      <w:r w:rsidR="00B3651E" w:rsidRPr="00822434">
        <w:rPr>
          <w:rFonts w:asciiTheme="minorHAnsi" w:hAnsiTheme="minorHAnsi" w:cstheme="minorHAnsi"/>
          <w:color w:val="000000" w:themeColor="text1"/>
        </w:rPr>
        <w:t xml:space="preserve"> 32 (15): 443–86. </w:t>
      </w:r>
      <w:hyperlink r:id="rId30" w:history="1">
        <w:r w:rsidR="003C5D34" w:rsidRPr="00822434">
          <w:rPr>
            <w:rStyle w:val="Hyperlink"/>
            <w:rFonts w:asciiTheme="minorHAnsi" w:hAnsiTheme="minorHAnsi" w:cstheme="minorHAnsi"/>
          </w:rPr>
          <w:t>https://doi.org/10.4054/DemRes.2015.32.15</w:t>
        </w:r>
      </w:hyperlink>
      <w:r w:rsidR="003C5D34" w:rsidRPr="00822434">
        <w:rPr>
          <w:rFonts w:asciiTheme="minorHAnsi" w:hAnsiTheme="minorHAnsi" w:cstheme="minorHAnsi"/>
          <w:color w:val="000000" w:themeColor="text1"/>
        </w:rPr>
        <w:t xml:space="preserve"> </w:t>
      </w:r>
    </w:p>
    <w:p w14:paraId="537A3978" w14:textId="4BF121F4"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 xml:space="preserve">Lutz, Wolfgang, W. P. Butz, and Samir </w:t>
      </w:r>
      <w:r w:rsidR="003C5D34" w:rsidRPr="00822434">
        <w:rPr>
          <w:rFonts w:asciiTheme="minorHAnsi" w:hAnsiTheme="minorHAnsi" w:cstheme="minorHAnsi"/>
          <w:color w:val="000000" w:themeColor="text1"/>
        </w:rPr>
        <w:t>KC</w:t>
      </w:r>
      <w:r w:rsidRPr="00822434">
        <w:rPr>
          <w:rFonts w:asciiTheme="minorHAnsi" w:hAnsiTheme="minorHAnsi" w:cstheme="minorHAnsi"/>
          <w:color w:val="000000" w:themeColor="text1"/>
        </w:rPr>
        <w:t>. 2014. “W</w:t>
      </w:r>
      <w:r w:rsidR="00900F7E" w:rsidRPr="00822434">
        <w:rPr>
          <w:rFonts w:asciiTheme="minorHAnsi" w:hAnsiTheme="minorHAnsi" w:cstheme="minorHAnsi"/>
          <w:color w:val="000000" w:themeColor="text1"/>
        </w:rPr>
        <w:t>orld population &amp; human capital in the twenty-first century: executive summary</w:t>
      </w:r>
      <w:r w:rsidRPr="00822434">
        <w:rPr>
          <w:rFonts w:asciiTheme="minorHAnsi" w:hAnsiTheme="minorHAnsi" w:cstheme="minorHAnsi"/>
          <w:color w:val="000000" w:themeColor="text1"/>
        </w:rPr>
        <w:t xml:space="preserve">.” Other. October 2014. </w:t>
      </w:r>
      <w:hyperlink r:id="rId31" w:history="1">
        <w:r w:rsidR="003C5D34" w:rsidRPr="00822434">
          <w:rPr>
            <w:rStyle w:val="Hyperlink"/>
            <w:rFonts w:asciiTheme="minorHAnsi" w:hAnsiTheme="minorHAnsi" w:cstheme="minorHAnsi"/>
          </w:rPr>
          <w:t>http://pure.iiasa.ac.at/11189/</w:t>
        </w:r>
      </w:hyperlink>
      <w:r w:rsidR="003C5D34" w:rsidRPr="00822434">
        <w:rPr>
          <w:rFonts w:asciiTheme="minorHAnsi" w:hAnsiTheme="minorHAnsi" w:cstheme="minorHAnsi"/>
          <w:color w:val="000000" w:themeColor="text1"/>
        </w:rPr>
        <w:t xml:space="preserve"> </w:t>
      </w:r>
    </w:p>
    <w:p w14:paraId="12FB9C1E" w14:textId="76565B94"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 xml:space="preserve">Lutz, Wolfgang, Anne Goujon, Samir </w:t>
      </w:r>
      <w:r w:rsidR="003C5D34" w:rsidRPr="00822434">
        <w:rPr>
          <w:rFonts w:asciiTheme="minorHAnsi" w:hAnsiTheme="minorHAnsi" w:cstheme="minorHAnsi"/>
          <w:color w:val="000000" w:themeColor="text1"/>
        </w:rPr>
        <w:t>KC</w:t>
      </w:r>
      <w:r w:rsidRPr="00822434">
        <w:rPr>
          <w:rFonts w:asciiTheme="minorHAnsi" w:hAnsiTheme="minorHAnsi" w:cstheme="minorHAnsi"/>
          <w:color w:val="000000" w:themeColor="text1"/>
        </w:rPr>
        <w:t xml:space="preserve">, Marcin Stonawski, and Nikolaos </w:t>
      </w:r>
      <w:proofErr w:type="spellStart"/>
      <w:r w:rsidRPr="00822434">
        <w:rPr>
          <w:rFonts w:asciiTheme="minorHAnsi" w:hAnsiTheme="minorHAnsi" w:cstheme="minorHAnsi"/>
          <w:color w:val="000000" w:themeColor="text1"/>
        </w:rPr>
        <w:t>Stilianakis</w:t>
      </w:r>
      <w:proofErr w:type="spellEnd"/>
      <w:r w:rsidRPr="00822434">
        <w:rPr>
          <w:rFonts w:asciiTheme="minorHAnsi" w:hAnsiTheme="minorHAnsi" w:cstheme="minorHAnsi"/>
          <w:color w:val="000000" w:themeColor="text1"/>
        </w:rPr>
        <w:t xml:space="preserve">, eds. </w:t>
      </w:r>
      <w:r w:rsidRPr="00822434">
        <w:rPr>
          <w:rFonts w:asciiTheme="minorHAnsi" w:hAnsiTheme="minorHAnsi" w:cstheme="minorHAnsi"/>
          <w:color w:val="000000" w:themeColor="text1"/>
        </w:rPr>
        <w:lastRenderedPageBreak/>
        <w:t xml:space="preserve">2018. </w:t>
      </w:r>
      <w:r w:rsidR="00900F7E" w:rsidRPr="00822434">
        <w:rPr>
          <w:rFonts w:asciiTheme="minorHAnsi" w:hAnsiTheme="minorHAnsi" w:cstheme="minorHAnsi"/>
          <w:i/>
          <w:iCs/>
          <w:color w:val="000000" w:themeColor="text1"/>
        </w:rPr>
        <w:t>Demographic and human capital scenarios for the 21st century</w:t>
      </w:r>
      <w:r w:rsidRPr="00822434">
        <w:rPr>
          <w:rFonts w:asciiTheme="minorHAnsi" w:hAnsiTheme="minorHAnsi" w:cstheme="minorHAnsi"/>
          <w:color w:val="000000" w:themeColor="text1"/>
        </w:rPr>
        <w:t>. Luxembourg: Publications Office of the European Union.</w:t>
      </w:r>
      <w:r w:rsidR="00434034" w:rsidRPr="00822434">
        <w:rPr>
          <w:rFonts w:asciiTheme="minorHAnsi" w:hAnsiTheme="minorHAnsi" w:cstheme="minorHAnsi"/>
          <w:color w:val="000000" w:themeColor="text1"/>
        </w:rPr>
        <w:t xml:space="preserve"> </w:t>
      </w:r>
      <w:hyperlink r:id="rId32" w:history="1">
        <w:r w:rsidR="003C5D34" w:rsidRPr="00822434">
          <w:rPr>
            <w:rStyle w:val="Hyperlink"/>
            <w:rFonts w:asciiTheme="minorHAnsi" w:hAnsiTheme="minorHAnsi" w:cstheme="minorHAnsi"/>
          </w:rPr>
          <w:t>https://data.europa.eu/doi/10.2760/835878</w:t>
        </w:r>
      </w:hyperlink>
    </w:p>
    <w:p w14:paraId="59A0F779" w14:textId="2AF821E1"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Lutz, Wolfgang, Claudia Reiter, Caner Özdemir, Dilek Yildiz, Raquel Guimaraes, and Anne Goujon. 2021. “</w:t>
      </w:r>
      <w:r w:rsidR="00F10B8F" w:rsidRPr="00822434">
        <w:rPr>
          <w:rFonts w:asciiTheme="minorHAnsi" w:hAnsiTheme="minorHAnsi" w:cstheme="minorHAnsi"/>
          <w:color w:val="000000" w:themeColor="text1"/>
        </w:rPr>
        <w:t>Skills-adjusted human capital shows rising global gap</w:t>
      </w:r>
      <w:r w:rsidRPr="00822434">
        <w:rPr>
          <w:rFonts w:asciiTheme="minorHAnsi" w:hAnsiTheme="minorHAnsi" w:cstheme="minorHAnsi"/>
          <w:color w:val="000000" w:themeColor="text1"/>
        </w:rPr>
        <w:t xml:space="preserve">.” </w:t>
      </w:r>
      <w:r w:rsidRPr="00822434">
        <w:rPr>
          <w:rFonts w:asciiTheme="minorHAnsi" w:hAnsiTheme="minorHAnsi" w:cstheme="minorHAnsi"/>
          <w:i/>
          <w:iCs/>
          <w:color w:val="000000" w:themeColor="text1"/>
        </w:rPr>
        <w:t>Proceedings of the National Academy of Sciences</w:t>
      </w:r>
      <w:r w:rsidRPr="00822434">
        <w:rPr>
          <w:rFonts w:asciiTheme="minorHAnsi" w:hAnsiTheme="minorHAnsi" w:cstheme="minorHAnsi"/>
          <w:color w:val="000000" w:themeColor="text1"/>
        </w:rPr>
        <w:t xml:space="preserve"> 118 (7): e2015826118. </w:t>
      </w:r>
      <w:hyperlink r:id="rId33" w:history="1">
        <w:r w:rsidR="003C5D34" w:rsidRPr="00822434">
          <w:rPr>
            <w:rStyle w:val="Hyperlink"/>
            <w:rFonts w:asciiTheme="minorHAnsi" w:hAnsiTheme="minorHAnsi" w:cstheme="minorHAnsi"/>
          </w:rPr>
          <w:t>https://doi.org/10.1073/pnas.2015826118</w:t>
        </w:r>
      </w:hyperlink>
      <w:r w:rsidR="003C5D34" w:rsidRPr="00822434">
        <w:rPr>
          <w:rFonts w:asciiTheme="minorHAnsi" w:hAnsiTheme="minorHAnsi" w:cstheme="minorHAnsi"/>
          <w:color w:val="000000" w:themeColor="text1"/>
        </w:rPr>
        <w:t xml:space="preserve"> </w:t>
      </w:r>
    </w:p>
    <w:p w14:paraId="0F42CF3A" w14:textId="6376B680"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lang w:val="fr-CA"/>
        </w:rPr>
        <w:t xml:space="preserve">Marois, Guillaume, Alain Bélanger, and Wolfgang Lutz. 2020. </w:t>
      </w:r>
      <w:r w:rsidRPr="00822434">
        <w:rPr>
          <w:rFonts w:asciiTheme="minorHAnsi" w:hAnsiTheme="minorHAnsi" w:cstheme="minorHAnsi"/>
          <w:color w:val="000000" w:themeColor="text1"/>
        </w:rPr>
        <w:t>“</w:t>
      </w:r>
      <w:r w:rsidR="00F10B8F" w:rsidRPr="00822434">
        <w:rPr>
          <w:rFonts w:asciiTheme="minorHAnsi" w:hAnsiTheme="minorHAnsi" w:cstheme="minorHAnsi"/>
          <w:color w:val="000000" w:themeColor="text1"/>
        </w:rPr>
        <w:t xml:space="preserve">Population aging, migration, and productivity in </w:t>
      </w:r>
      <w:r w:rsidRPr="00822434">
        <w:rPr>
          <w:rFonts w:asciiTheme="minorHAnsi" w:hAnsiTheme="minorHAnsi" w:cstheme="minorHAnsi"/>
          <w:color w:val="000000" w:themeColor="text1"/>
        </w:rPr>
        <w:t xml:space="preserve">Europe.” </w:t>
      </w:r>
      <w:r w:rsidRPr="00822434">
        <w:rPr>
          <w:rFonts w:asciiTheme="minorHAnsi" w:hAnsiTheme="minorHAnsi" w:cstheme="minorHAnsi"/>
          <w:i/>
          <w:iCs/>
          <w:color w:val="000000" w:themeColor="text1"/>
        </w:rPr>
        <w:t>Proceedings of the National Academy of Sciences</w:t>
      </w:r>
      <w:r w:rsidRPr="00822434">
        <w:rPr>
          <w:rFonts w:asciiTheme="minorHAnsi" w:hAnsiTheme="minorHAnsi" w:cstheme="minorHAnsi"/>
          <w:color w:val="000000" w:themeColor="text1"/>
        </w:rPr>
        <w:t xml:space="preserve"> 117 (14): 7690. </w:t>
      </w:r>
      <w:hyperlink r:id="rId34" w:history="1">
        <w:r w:rsidR="003C5D34" w:rsidRPr="00822434">
          <w:rPr>
            <w:rStyle w:val="Hyperlink"/>
            <w:rFonts w:asciiTheme="minorHAnsi" w:hAnsiTheme="minorHAnsi" w:cstheme="minorHAnsi"/>
          </w:rPr>
          <w:t>https://doi.org/10.1073/pnas.1918988117</w:t>
        </w:r>
      </w:hyperlink>
      <w:r w:rsidR="003C5D34" w:rsidRPr="00822434">
        <w:rPr>
          <w:rFonts w:asciiTheme="minorHAnsi" w:hAnsiTheme="minorHAnsi" w:cstheme="minorHAnsi"/>
          <w:color w:val="000000" w:themeColor="text1"/>
        </w:rPr>
        <w:t xml:space="preserve"> </w:t>
      </w:r>
    </w:p>
    <w:p w14:paraId="111497A0" w14:textId="4A46E7F7"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lang w:val="de-DE"/>
        </w:rPr>
        <w:t xml:space="preserve">Marois, Guillaume, Stuart Gietel-Basten, and Wolfgang Lutz. 2021. </w:t>
      </w:r>
      <w:r w:rsidRPr="00822434">
        <w:rPr>
          <w:rFonts w:asciiTheme="minorHAnsi" w:hAnsiTheme="minorHAnsi" w:cstheme="minorHAnsi"/>
          <w:color w:val="000000" w:themeColor="text1"/>
        </w:rPr>
        <w:t>“</w:t>
      </w:r>
      <w:r w:rsidR="00F10B8F" w:rsidRPr="00822434">
        <w:rPr>
          <w:rFonts w:asciiTheme="minorHAnsi" w:hAnsiTheme="minorHAnsi" w:cstheme="minorHAnsi"/>
          <w:color w:val="000000" w:themeColor="text1"/>
        </w:rPr>
        <w:t>China’s low fertility may not hinder future prosperity.</w:t>
      </w:r>
      <w:r w:rsidRPr="00822434">
        <w:rPr>
          <w:rFonts w:asciiTheme="minorHAnsi" w:hAnsiTheme="minorHAnsi" w:cstheme="minorHAnsi"/>
          <w:color w:val="000000" w:themeColor="text1"/>
        </w:rPr>
        <w:t xml:space="preserve">” </w:t>
      </w:r>
      <w:r w:rsidRPr="00822434">
        <w:rPr>
          <w:rFonts w:asciiTheme="minorHAnsi" w:hAnsiTheme="minorHAnsi" w:cstheme="minorHAnsi"/>
          <w:i/>
          <w:iCs/>
          <w:color w:val="000000" w:themeColor="text1"/>
        </w:rPr>
        <w:t>Proceedings of the National Academy of Sciences</w:t>
      </w:r>
      <w:r w:rsidRPr="00822434">
        <w:rPr>
          <w:rFonts w:asciiTheme="minorHAnsi" w:hAnsiTheme="minorHAnsi" w:cstheme="minorHAnsi"/>
          <w:color w:val="000000" w:themeColor="text1"/>
        </w:rPr>
        <w:t xml:space="preserve"> 118 (40): e2108900118. </w:t>
      </w:r>
      <w:hyperlink r:id="rId35" w:history="1">
        <w:r w:rsidR="003C5D34" w:rsidRPr="00822434">
          <w:rPr>
            <w:rStyle w:val="Hyperlink"/>
            <w:rFonts w:asciiTheme="minorHAnsi" w:hAnsiTheme="minorHAnsi" w:cstheme="minorHAnsi"/>
          </w:rPr>
          <w:t>https://doi.org/10.1073/pnas.2108900118</w:t>
        </w:r>
      </w:hyperlink>
      <w:r w:rsidR="003C5D34" w:rsidRPr="00822434">
        <w:rPr>
          <w:rFonts w:asciiTheme="minorHAnsi" w:hAnsiTheme="minorHAnsi" w:cstheme="minorHAnsi"/>
          <w:color w:val="000000" w:themeColor="text1"/>
        </w:rPr>
        <w:t xml:space="preserve"> </w:t>
      </w:r>
    </w:p>
    <w:p w14:paraId="5E098766" w14:textId="5B0860FA"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 xml:space="preserve">Mincer, Jacob. 1974. </w:t>
      </w:r>
      <w:r w:rsidR="00F10B8F" w:rsidRPr="00822434">
        <w:rPr>
          <w:rFonts w:asciiTheme="minorHAnsi" w:hAnsiTheme="minorHAnsi" w:cstheme="minorHAnsi"/>
          <w:i/>
          <w:iCs/>
          <w:color w:val="000000" w:themeColor="text1"/>
        </w:rPr>
        <w:t>Schooling, experience, and earnings</w:t>
      </w:r>
      <w:r w:rsidRPr="00822434">
        <w:rPr>
          <w:rFonts w:asciiTheme="minorHAnsi" w:hAnsiTheme="minorHAnsi" w:cstheme="minorHAnsi"/>
          <w:color w:val="000000" w:themeColor="text1"/>
        </w:rPr>
        <w:t xml:space="preserve">. Human Behavior &amp; Social Institutions, No. 2. New York: Columbia University Press. </w:t>
      </w:r>
      <w:hyperlink r:id="rId36" w:history="1">
        <w:r w:rsidR="003C5D34" w:rsidRPr="00822434">
          <w:rPr>
            <w:rStyle w:val="Hyperlink"/>
            <w:rFonts w:asciiTheme="minorHAnsi" w:hAnsiTheme="minorHAnsi" w:cstheme="minorHAnsi"/>
          </w:rPr>
          <w:t>http://papers.nber.org/books/minc74-1</w:t>
        </w:r>
      </w:hyperlink>
      <w:r w:rsidR="003C5D34" w:rsidRPr="00822434">
        <w:rPr>
          <w:rFonts w:asciiTheme="minorHAnsi" w:hAnsiTheme="minorHAnsi" w:cstheme="minorHAnsi"/>
          <w:color w:val="000000" w:themeColor="text1"/>
        </w:rPr>
        <w:t xml:space="preserve"> </w:t>
      </w:r>
    </w:p>
    <w:p w14:paraId="2E9C4FB0" w14:textId="0ECFF2C7"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Olivetti, Claudia. 2013. “</w:t>
      </w:r>
      <w:r w:rsidR="00F10B8F" w:rsidRPr="00822434">
        <w:rPr>
          <w:rFonts w:asciiTheme="minorHAnsi" w:hAnsiTheme="minorHAnsi" w:cstheme="minorHAnsi"/>
          <w:color w:val="000000" w:themeColor="text1"/>
        </w:rPr>
        <w:t>The female labor force and long-run development</w:t>
      </w:r>
      <w:r w:rsidRPr="00822434">
        <w:rPr>
          <w:rFonts w:asciiTheme="minorHAnsi" w:hAnsiTheme="minorHAnsi" w:cstheme="minorHAnsi"/>
          <w:color w:val="000000" w:themeColor="text1"/>
        </w:rPr>
        <w:t>.” National Bureau of Economic Research Working Paper Series No. 19131.</w:t>
      </w:r>
      <w:r w:rsidR="00434034" w:rsidRPr="00822434">
        <w:rPr>
          <w:rFonts w:asciiTheme="minorHAnsi" w:hAnsiTheme="minorHAnsi" w:cstheme="minorHAnsi"/>
          <w:color w:val="000000" w:themeColor="text1"/>
        </w:rPr>
        <w:t xml:space="preserve"> </w:t>
      </w:r>
      <w:hyperlink r:id="rId37" w:history="1">
        <w:r w:rsidR="003C5D34" w:rsidRPr="00822434">
          <w:rPr>
            <w:rStyle w:val="Hyperlink"/>
            <w:rFonts w:asciiTheme="minorHAnsi" w:hAnsiTheme="minorHAnsi" w:cstheme="minorHAnsi"/>
          </w:rPr>
          <w:t>https://doi.org/10.3386/w19131</w:t>
        </w:r>
      </w:hyperlink>
      <w:r w:rsidR="003C5D34" w:rsidRPr="00822434">
        <w:rPr>
          <w:rFonts w:asciiTheme="minorHAnsi" w:hAnsiTheme="minorHAnsi" w:cstheme="minorHAnsi"/>
          <w:color w:val="000000" w:themeColor="text1"/>
        </w:rPr>
        <w:t xml:space="preserve"> </w:t>
      </w:r>
    </w:p>
    <w:p w14:paraId="3DA9E18A" w14:textId="01721972" w:rsidR="00B3651E" w:rsidRPr="00822434" w:rsidRDefault="00B3651E" w:rsidP="003C5D34">
      <w:pPr>
        <w:pStyle w:val="PRPRRefs"/>
        <w:rPr>
          <w:rFonts w:asciiTheme="minorHAnsi" w:hAnsiTheme="minorHAnsi" w:cstheme="minorHAnsi"/>
          <w:color w:val="000000" w:themeColor="text1"/>
        </w:rPr>
      </w:pPr>
      <w:proofErr w:type="spellStart"/>
      <w:r w:rsidRPr="00822434">
        <w:rPr>
          <w:rFonts w:asciiTheme="minorHAnsi" w:hAnsiTheme="minorHAnsi" w:cstheme="minorHAnsi"/>
          <w:color w:val="000000" w:themeColor="text1"/>
        </w:rPr>
        <w:t>Potančoková</w:t>
      </w:r>
      <w:proofErr w:type="spellEnd"/>
      <w:r w:rsidRPr="00822434">
        <w:rPr>
          <w:rFonts w:asciiTheme="minorHAnsi" w:hAnsiTheme="minorHAnsi" w:cstheme="minorHAnsi"/>
          <w:color w:val="000000" w:themeColor="text1"/>
        </w:rPr>
        <w:t xml:space="preserve">, Michaela, Samir </w:t>
      </w:r>
      <w:r w:rsidR="003C5D34" w:rsidRPr="00822434">
        <w:rPr>
          <w:rFonts w:asciiTheme="minorHAnsi" w:hAnsiTheme="minorHAnsi" w:cstheme="minorHAnsi"/>
          <w:color w:val="000000" w:themeColor="text1"/>
        </w:rPr>
        <w:t>KC</w:t>
      </w:r>
      <w:r w:rsidRPr="00822434">
        <w:rPr>
          <w:rFonts w:asciiTheme="minorHAnsi" w:hAnsiTheme="minorHAnsi" w:cstheme="minorHAnsi"/>
          <w:color w:val="000000" w:themeColor="text1"/>
        </w:rPr>
        <w:t>, and Anne Goujon. 2014. “</w:t>
      </w:r>
      <w:r w:rsidR="00F10B8F" w:rsidRPr="00822434">
        <w:rPr>
          <w:rFonts w:asciiTheme="minorHAnsi" w:hAnsiTheme="minorHAnsi" w:cstheme="minorHAnsi"/>
          <w:color w:val="000000" w:themeColor="text1"/>
        </w:rPr>
        <w:t>Global estimates of mean years of schooling: a new methodology</w:t>
      </w:r>
      <w:r w:rsidRPr="00822434">
        <w:rPr>
          <w:rFonts w:asciiTheme="minorHAnsi" w:hAnsiTheme="minorHAnsi" w:cstheme="minorHAnsi"/>
          <w:color w:val="000000" w:themeColor="text1"/>
        </w:rPr>
        <w:t xml:space="preserve">.” Interim Report IR-14-005. Laxenburg, Austria: International Institute for Applied Systems Analysis (IIASA). </w:t>
      </w:r>
      <w:hyperlink r:id="rId38" w:history="1">
        <w:r w:rsidR="003C5D34" w:rsidRPr="00822434">
          <w:rPr>
            <w:rStyle w:val="Hyperlink"/>
            <w:rFonts w:asciiTheme="minorHAnsi" w:hAnsiTheme="minorHAnsi" w:cstheme="minorHAnsi"/>
          </w:rPr>
          <w:t>http://www.iiasa.ac.at/publication/more_IR-14-005.php</w:t>
        </w:r>
      </w:hyperlink>
      <w:r w:rsidR="003C5D34" w:rsidRPr="00822434">
        <w:rPr>
          <w:rFonts w:asciiTheme="minorHAnsi" w:hAnsiTheme="minorHAnsi" w:cstheme="minorHAnsi"/>
          <w:color w:val="000000" w:themeColor="text1"/>
        </w:rPr>
        <w:t xml:space="preserve"> </w:t>
      </w:r>
    </w:p>
    <w:p w14:paraId="393E335D" w14:textId="6775303E" w:rsidR="00B3651E" w:rsidRPr="00822434" w:rsidRDefault="00B3651E" w:rsidP="003C5D34">
      <w:pPr>
        <w:pStyle w:val="PRPRRefs"/>
        <w:rPr>
          <w:rFonts w:asciiTheme="minorHAnsi" w:hAnsiTheme="minorHAnsi" w:cstheme="minorHAnsi"/>
          <w:color w:val="000000" w:themeColor="text1"/>
        </w:rPr>
      </w:pPr>
      <w:proofErr w:type="spellStart"/>
      <w:r w:rsidRPr="00822434">
        <w:rPr>
          <w:rFonts w:asciiTheme="minorHAnsi" w:hAnsiTheme="minorHAnsi" w:cstheme="minorHAnsi"/>
          <w:color w:val="000000" w:themeColor="text1"/>
        </w:rPr>
        <w:t>Psacharopoulos</w:t>
      </w:r>
      <w:proofErr w:type="spellEnd"/>
      <w:r w:rsidRPr="00822434">
        <w:rPr>
          <w:rFonts w:asciiTheme="minorHAnsi" w:hAnsiTheme="minorHAnsi" w:cstheme="minorHAnsi"/>
          <w:color w:val="000000" w:themeColor="text1"/>
        </w:rPr>
        <w:t xml:space="preserve">, George, and Harry Anthony Patrinos. 2018. “Returns to </w:t>
      </w:r>
      <w:r w:rsidR="00F10B8F" w:rsidRPr="00822434">
        <w:rPr>
          <w:rFonts w:asciiTheme="minorHAnsi" w:hAnsiTheme="minorHAnsi" w:cstheme="minorHAnsi"/>
          <w:color w:val="000000" w:themeColor="text1"/>
        </w:rPr>
        <w:t>i</w:t>
      </w:r>
      <w:r w:rsidRPr="00822434">
        <w:rPr>
          <w:rFonts w:asciiTheme="minorHAnsi" w:hAnsiTheme="minorHAnsi" w:cstheme="minorHAnsi"/>
          <w:color w:val="000000" w:themeColor="text1"/>
        </w:rPr>
        <w:t xml:space="preserve">nvestment in </w:t>
      </w:r>
      <w:r w:rsidR="00F10B8F" w:rsidRPr="00822434">
        <w:rPr>
          <w:rFonts w:asciiTheme="minorHAnsi" w:hAnsiTheme="minorHAnsi" w:cstheme="minorHAnsi"/>
          <w:color w:val="000000" w:themeColor="text1"/>
        </w:rPr>
        <w:t>e</w:t>
      </w:r>
      <w:r w:rsidRPr="00822434">
        <w:rPr>
          <w:rFonts w:asciiTheme="minorHAnsi" w:hAnsiTheme="minorHAnsi" w:cstheme="minorHAnsi"/>
          <w:color w:val="000000" w:themeColor="text1"/>
        </w:rPr>
        <w:t xml:space="preserve">ducation: </w:t>
      </w:r>
      <w:r w:rsidR="00F10B8F" w:rsidRPr="00822434">
        <w:rPr>
          <w:rFonts w:asciiTheme="minorHAnsi" w:hAnsiTheme="minorHAnsi" w:cstheme="minorHAnsi"/>
          <w:color w:val="000000" w:themeColor="text1"/>
        </w:rPr>
        <w:t>a</w:t>
      </w:r>
      <w:r w:rsidRPr="00822434">
        <w:rPr>
          <w:rFonts w:asciiTheme="minorHAnsi" w:hAnsiTheme="minorHAnsi" w:cstheme="minorHAnsi"/>
          <w:color w:val="000000" w:themeColor="text1"/>
        </w:rPr>
        <w:t xml:space="preserve"> </w:t>
      </w:r>
      <w:r w:rsidR="00F10B8F" w:rsidRPr="00822434">
        <w:rPr>
          <w:rFonts w:asciiTheme="minorHAnsi" w:hAnsiTheme="minorHAnsi" w:cstheme="minorHAnsi"/>
          <w:color w:val="000000" w:themeColor="text1"/>
        </w:rPr>
        <w:t>d</w:t>
      </w:r>
      <w:r w:rsidRPr="00822434">
        <w:rPr>
          <w:rFonts w:asciiTheme="minorHAnsi" w:hAnsiTheme="minorHAnsi" w:cstheme="minorHAnsi"/>
          <w:color w:val="000000" w:themeColor="text1"/>
        </w:rPr>
        <w:t xml:space="preserve">ecennial </w:t>
      </w:r>
      <w:r w:rsidR="00F10B8F" w:rsidRPr="00822434">
        <w:rPr>
          <w:rFonts w:asciiTheme="minorHAnsi" w:hAnsiTheme="minorHAnsi" w:cstheme="minorHAnsi"/>
          <w:color w:val="000000" w:themeColor="text1"/>
        </w:rPr>
        <w:t>r</w:t>
      </w:r>
      <w:r w:rsidRPr="00822434">
        <w:rPr>
          <w:rFonts w:asciiTheme="minorHAnsi" w:hAnsiTheme="minorHAnsi" w:cstheme="minorHAnsi"/>
          <w:color w:val="000000" w:themeColor="text1"/>
        </w:rPr>
        <w:t xml:space="preserve">eview of the </w:t>
      </w:r>
      <w:r w:rsidR="00F10B8F" w:rsidRPr="00822434">
        <w:rPr>
          <w:rFonts w:asciiTheme="minorHAnsi" w:hAnsiTheme="minorHAnsi" w:cstheme="minorHAnsi"/>
          <w:color w:val="000000" w:themeColor="text1"/>
        </w:rPr>
        <w:t>g</w:t>
      </w:r>
      <w:r w:rsidRPr="00822434">
        <w:rPr>
          <w:rFonts w:asciiTheme="minorHAnsi" w:hAnsiTheme="minorHAnsi" w:cstheme="minorHAnsi"/>
          <w:color w:val="000000" w:themeColor="text1"/>
        </w:rPr>
        <w:t xml:space="preserve">lobal </w:t>
      </w:r>
      <w:r w:rsidR="00F10B8F" w:rsidRPr="00822434">
        <w:rPr>
          <w:rFonts w:asciiTheme="minorHAnsi" w:hAnsiTheme="minorHAnsi" w:cstheme="minorHAnsi"/>
          <w:color w:val="000000" w:themeColor="text1"/>
        </w:rPr>
        <w:t>l</w:t>
      </w:r>
      <w:r w:rsidRPr="00822434">
        <w:rPr>
          <w:rFonts w:asciiTheme="minorHAnsi" w:hAnsiTheme="minorHAnsi" w:cstheme="minorHAnsi"/>
          <w:color w:val="000000" w:themeColor="text1"/>
        </w:rPr>
        <w:t xml:space="preserve">iterature.” </w:t>
      </w:r>
      <w:r w:rsidRPr="00822434">
        <w:rPr>
          <w:rFonts w:asciiTheme="minorHAnsi" w:hAnsiTheme="minorHAnsi" w:cstheme="minorHAnsi"/>
          <w:i/>
          <w:iCs/>
          <w:color w:val="000000" w:themeColor="text1"/>
        </w:rPr>
        <w:t>Education Economics</w:t>
      </w:r>
      <w:r w:rsidRPr="00822434">
        <w:rPr>
          <w:rFonts w:asciiTheme="minorHAnsi" w:hAnsiTheme="minorHAnsi" w:cstheme="minorHAnsi"/>
          <w:color w:val="000000" w:themeColor="text1"/>
        </w:rPr>
        <w:t xml:space="preserve"> 26 (5): 445–58. </w:t>
      </w:r>
      <w:hyperlink r:id="rId39" w:history="1">
        <w:r w:rsidR="003C5D34" w:rsidRPr="00822434">
          <w:rPr>
            <w:rStyle w:val="Hyperlink"/>
            <w:rFonts w:asciiTheme="minorHAnsi" w:hAnsiTheme="minorHAnsi" w:cstheme="minorHAnsi"/>
          </w:rPr>
          <w:t>https://doi.org/10.1080/09645292.2018.1484426</w:t>
        </w:r>
      </w:hyperlink>
      <w:r w:rsidR="003C5D34" w:rsidRPr="00822434">
        <w:rPr>
          <w:rFonts w:asciiTheme="minorHAnsi" w:hAnsiTheme="minorHAnsi" w:cstheme="minorHAnsi"/>
          <w:color w:val="000000" w:themeColor="text1"/>
        </w:rPr>
        <w:t xml:space="preserve"> </w:t>
      </w:r>
    </w:p>
    <w:p w14:paraId="22455486" w14:textId="71E74ACA"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Tam, Henry. 2011. “U-</w:t>
      </w:r>
      <w:r w:rsidR="00F10B8F" w:rsidRPr="00822434">
        <w:rPr>
          <w:rFonts w:asciiTheme="minorHAnsi" w:hAnsiTheme="minorHAnsi" w:cstheme="minorHAnsi"/>
          <w:color w:val="000000" w:themeColor="text1"/>
        </w:rPr>
        <w:t>s</w:t>
      </w:r>
      <w:r w:rsidRPr="00822434">
        <w:rPr>
          <w:rFonts w:asciiTheme="minorHAnsi" w:hAnsiTheme="minorHAnsi" w:cstheme="minorHAnsi"/>
          <w:color w:val="000000" w:themeColor="text1"/>
        </w:rPr>
        <w:t xml:space="preserve">haped </w:t>
      </w:r>
      <w:r w:rsidR="00F10B8F" w:rsidRPr="00822434">
        <w:rPr>
          <w:rFonts w:asciiTheme="minorHAnsi" w:hAnsiTheme="minorHAnsi" w:cstheme="minorHAnsi"/>
          <w:color w:val="000000" w:themeColor="text1"/>
        </w:rPr>
        <w:t>f</w:t>
      </w:r>
      <w:r w:rsidRPr="00822434">
        <w:rPr>
          <w:rFonts w:asciiTheme="minorHAnsi" w:hAnsiTheme="minorHAnsi" w:cstheme="minorHAnsi"/>
          <w:color w:val="000000" w:themeColor="text1"/>
        </w:rPr>
        <w:t xml:space="preserve">emale </w:t>
      </w:r>
      <w:r w:rsidR="00F10B8F" w:rsidRPr="00822434">
        <w:rPr>
          <w:rFonts w:asciiTheme="minorHAnsi" w:hAnsiTheme="minorHAnsi" w:cstheme="minorHAnsi"/>
          <w:color w:val="000000" w:themeColor="text1"/>
        </w:rPr>
        <w:t>l</w:t>
      </w:r>
      <w:r w:rsidRPr="00822434">
        <w:rPr>
          <w:rFonts w:asciiTheme="minorHAnsi" w:hAnsiTheme="minorHAnsi" w:cstheme="minorHAnsi"/>
          <w:color w:val="000000" w:themeColor="text1"/>
        </w:rPr>
        <w:t xml:space="preserve">abor </w:t>
      </w:r>
      <w:r w:rsidR="00F10B8F" w:rsidRPr="00822434">
        <w:rPr>
          <w:rFonts w:asciiTheme="minorHAnsi" w:hAnsiTheme="minorHAnsi" w:cstheme="minorHAnsi"/>
          <w:color w:val="000000" w:themeColor="text1"/>
        </w:rPr>
        <w:t>p</w:t>
      </w:r>
      <w:r w:rsidRPr="00822434">
        <w:rPr>
          <w:rFonts w:asciiTheme="minorHAnsi" w:hAnsiTheme="minorHAnsi" w:cstheme="minorHAnsi"/>
          <w:color w:val="000000" w:themeColor="text1"/>
        </w:rPr>
        <w:t xml:space="preserve">articipation with </w:t>
      </w:r>
      <w:r w:rsidR="00F10B8F" w:rsidRPr="00822434">
        <w:rPr>
          <w:rFonts w:asciiTheme="minorHAnsi" w:hAnsiTheme="minorHAnsi" w:cstheme="minorHAnsi"/>
          <w:color w:val="000000" w:themeColor="text1"/>
        </w:rPr>
        <w:t>e</w:t>
      </w:r>
      <w:r w:rsidRPr="00822434">
        <w:rPr>
          <w:rFonts w:asciiTheme="minorHAnsi" w:hAnsiTheme="minorHAnsi" w:cstheme="minorHAnsi"/>
          <w:color w:val="000000" w:themeColor="text1"/>
        </w:rPr>
        <w:t xml:space="preserve">conomic </w:t>
      </w:r>
      <w:r w:rsidR="00F10B8F" w:rsidRPr="00822434">
        <w:rPr>
          <w:rFonts w:asciiTheme="minorHAnsi" w:hAnsiTheme="minorHAnsi" w:cstheme="minorHAnsi"/>
          <w:color w:val="000000" w:themeColor="text1"/>
        </w:rPr>
        <w:t>d</w:t>
      </w:r>
      <w:r w:rsidRPr="00822434">
        <w:rPr>
          <w:rFonts w:asciiTheme="minorHAnsi" w:hAnsiTheme="minorHAnsi" w:cstheme="minorHAnsi"/>
          <w:color w:val="000000" w:themeColor="text1"/>
        </w:rPr>
        <w:t xml:space="preserve">evelopment: </w:t>
      </w:r>
      <w:r w:rsidR="00F10B8F" w:rsidRPr="00822434">
        <w:rPr>
          <w:rFonts w:asciiTheme="minorHAnsi" w:hAnsiTheme="minorHAnsi" w:cstheme="minorHAnsi"/>
          <w:color w:val="000000" w:themeColor="text1"/>
        </w:rPr>
        <w:t>s</w:t>
      </w:r>
      <w:r w:rsidRPr="00822434">
        <w:rPr>
          <w:rFonts w:asciiTheme="minorHAnsi" w:hAnsiTheme="minorHAnsi" w:cstheme="minorHAnsi"/>
          <w:color w:val="000000" w:themeColor="text1"/>
        </w:rPr>
        <w:t xml:space="preserve">ome </w:t>
      </w:r>
      <w:r w:rsidR="00F10B8F" w:rsidRPr="00822434">
        <w:rPr>
          <w:rFonts w:asciiTheme="minorHAnsi" w:hAnsiTheme="minorHAnsi" w:cstheme="minorHAnsi"/>
          <w:color w:val="000000" w:themeColor="text1"/>
        </w:rPr>
        <w:t>p</w:t>
      </w:r>
      <w:r w:rsidRPr="00822434">
        <w:rPr>
          <w:rFonts w:asciiTheme="minorHAnsi" w:hAnsiTheme="minorHAnsi" w:cstheme="minorHAnsi"/>
          <w:color w:val="000000" w:themeColor="text1"/>
        </w:rPr>
        <w:t xml:space="preserve">anel </w:t>
      </w:r>
      <w:r w:rsidR="00F10B8F" w:rsidRPr="00822434">
        <w:rPr>
          <w:rFonts w:asciiTheme="minorHAnsi" w:hAnsiTheme="minorHAnsi" w:cstheme="minorHAnsi"/>
          <w:color w:val="000000" w:themeColor="text1"/>
        </w:rPr>
        <w:t>d</w:t>
      </w:r>
      <w:r w:rsidRPr="00822434">
        <w:rPr>
          <w:rFonts w:asciiTheme="minorHAnsi" w:hAnsiTheme="minorHAnsi" w:cstheme="minorHAnsi"/>
          <w:color w:val="000000" w:themeColor="text1"/>
        </w:rPr>
        <w:t xml:space="preserve">ata </w:t>
      </w:r>
      <w:r w:rsidR="00F10B8F" w:rsidRPr="00822434">
        <w:rPr>
          <w:rFonts w:asciiTheme="minorHAnsi" w:hAnsiTheme="minorHAnsi" w:cstheme="minorHAnsi"/>
          <w:color w:val="000000" w:themeColor="text1"/>
        </w:rPr>
        <w:t>e</w:t>
      </w:r>
      <w:r w:rsidRPr="00822434">
        <w:rPr>
          <w:rFonts w:asciiTheme="minorHAnsi" w:hAnsiTheme="minorHAnsi" w:cstheme="minorHAnsi"/>
          <w:color w:val="000000" w:themeColor="text1"/>
        </w:rPr>
        <w:t xml:space="preserve">vidence.” </w:t>
      </w:r>
      <w:r w:rsidRPr="00822434">
        <w:rPr>
          <w:rFonts w:asciiTheme="minorHAnsi" w:hAnsiTheme="minorHAnsi" w:cstheme="minorHAnsi"/>
          <w:i/>
          <w:iCs/>
          <w:color w:val="000000" w:themeColor="text1"/>
        </w:rPr>
        <w:t>Economics Letters</w:t>
      </w:r>
      <w:r w:rsidRPr="00822434">
        <w:rPr>
          <w:rFonts w:asciiTheme="minorHAnsi" w:hAnsiTheme="minorHAnsi" w:cstheme="minorHAnsi"/>
          <w:color w:val="000000" w:themeColor="text1"/>
        </w:rPr>
        <w:t xml:space="preserve"> 110 (2): 140–42. </w:t>
      </w:r>
      <w:hyperlink r:id="rId40" w:history="1">
        <w:r w:rsidR="003C5D34" w:rsidRPr="00822434">
          <w:rPr>
            <w:rStyle w:val="Hyperlink"/>
            <w:rFonts w:asciiTheme="minorHAnsi" w:hAnsiTheme="minorHAnsi" w:cstheme="minorHAnsi"/>
          </w:rPr>
          <w:t>https://doi.org/10.1016/j.econlet.2010.11.003</w:t>
        </w:r>
      </w:hyperlink>
      <w:r w:rsidR="003C5D34" w:rsidRPr="00822434">
        <w:rPr>
          <w:rFonts w:asciiTheme="minorHAnsi" w:hAnsiTheme="minorHAnsi" w:cstheme="minorHAnsi"/>
          <w:color w:val="000000" w:themeColor="text1"/>
        </w:rPr>
        <w:t xml:space="preserve"> </w:t>
      </w:r>
    </w:p>
    <w:p w14:paraId="58C85512" w14:textId="60971371"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 xml:space="preserve">Van </w:t>
      </w:r>
      <w:proofErr w:type="spellStart"/>
      <w:r w:rsidRPr="00822434">
        <w:rPr>
          <w:rFonts w:asciiTheme="minorHAnsi" w:hAnsiTheme="minorHAnsi" w:cstheme="minorHAnsi"/>
          <w:color w:val="000000" w:themeColor="text1"/>
        </w:rPr>
        <w:t>Biesebroeck</w:t>
      </w:r>
      <w:proofErr w:type="spellEnd"/>
      <w:r w:rsidRPr="00822434">
        <w:rPr>
          <w:rFonts w:asciiTheme="minorHAnsi" w:hAnsiTheme="minorHAnsi" w:cstheme="minorHAnsi"/>
          <w:color w:val="000000" w:themeColor="text1"/>
        </w:rPr>
        <w:t xml:space="preserve">, Johannes. 2015. “How </w:t>
      </w:r>
      <w:r w:rsidR="00F10B8F" w:rsidRPr="00822434">
        <w:rPr>
          <w:rFonts w:asciiTheme="minorHAnsi" w:hAnsiTheme="minorHAnsi" w:cstheme="minorHAnsi"/>
          <w:color w:val="000000" w:themeColor="text1"/>
        </w:rPr>
        <w:t>t</w:t>
      </w:r>
      <w:r w:rsidRPr="00822434">
        <w:rPr>
          <w:rFonts w:asciiTheme="minorHAnsi" w:hAnsiTheme="minorHAnsi" w:cstheme="minorHAnsi"/>
          <w:color w:val="000000" w:themeColor="text1"/>
        </w:rPr>
        <w:t xml:space="preserve">ight </w:t>
      </w:r>
      <w:r w:rsidR="00F10B8F" w:rsidRPr="00822434">
        <w:rPr>
          <w:rFonts w:asciiTheme="minorHAnsi" w:hAnsiTheme="minorHAnsi" w:cstheme="minorHAnsi"/>
          <w:color w:val="000000" w:themeColor="text1"/>
        </w:rPr>
        <w:t>i</w:t>
      </w:r>
      <w:r w:rsidRPr="00822434">
        <w:rPr>
          <w:rFonts w:asciiTheme="minorHAnsi" w:hAnsiTheme="minorHAnsi" w:cstheme="minorHAnsi"/>
          <w:color w:val="000000" w:themeColor="text1"/>
        </w:rPr>
        <w:t xml:space="preserve">s the </w:t>
      </w:r>
      <w:r w:rsidR="00F10B8F" w:rsidRPr="00822434">
        <w:rPr>
          <w:rFonts w:asciiTheme="minorHAnsi" w:hAnsiTheme="minorHAnsi" w:cstheme="minorHAnsi"/>
          <w:color w:val="000000" w:themeColor="text1"/>
        </w:rPr>
        <w:t>l</w:t>
      </w:r>
      <w:r w:rsidRPr="00822434">
        <w:rPr>
          <w:rFonts w:asciiTheme="minorHAnsi" w:hAnsiTheme="minorHAnsi" w:cstheme="minorHAnsi"/>
          <w:color w:val="000000" w:themeColor="text1"/>
        </w:rPr>
        <w:t xml:space="preserve">ink between </w:t>
      </w:r>
      <w:r w:rsidR="00F10B8F" w:rsidRPr="00822434">
        <w:rPr>
          <w:rFonts w:asciiTheme="minorHAnsi" w:hAnsiTheme="minorHAnsi" w:cstheme="minorHAnsi"/>
          <w:color w:val="000000" w:themeColor="text1"/>
        </w:rPr>
        <w:t>w</w:t>
      </w:r>
      <w:r w:rsidRPr="00822434">
        <w:rPr>
          <w:rFonts w:asciiTheme="minorHAnsi" w:hAnsiTheme="minorHAnsi" w:cstheme="minorHAnsi"/>
          <w:color w:val="000000" w:themeColor="text1"/>
        </w:rPr>
        <w:t xml:space="preserve">ages and </w:t>
      </w:r>
      <w:r w:rsidR="00F10B8F" w:rsidRPr="00822434">
        <w:rPr>
          <w:rFonts w:asciiTheme="minorHAnsi" w:hAnsiTheme="minorHAnsi" w:cstheme="minorHAnsi"/>
          <w:color w:val="000000" w:themeColor="text1"/>
        </w:rPr>
        <w:t>p</w:t>
      </w:r>
      <w:r w:rsidRPr="00822434">
        <w:rPr>
          <w:rFonts w:asciiTheme="minorHAnsi" w:hAnsiTheme="minorHAnsi" w:cstheme="minorHAnsi"/>
          <w:color w:val="000000" w:themeColor="text1"/>
        </w:rPr>
        <w:t xml:space="preserve">roductivity? A </w:t>
      </w:r>
      <w:r w:rsidR="00F10B8F" w:rsidRPr="00822434">
        <w:rPr>
          <w:rFonts w:asciiTheme="minorHAnsi" w:hAnsiTheme="minorHAnsi" w:cstheme="minorHAnsi"/>
          <w:color w:val="000000" w:themeColor="text1"/>
        </w:rPr>
        <w:t>s</w:t>
      </w:r>
      <w:r w:rsidRPr="00822434">
        <w:rPr>
          <w:rFonts w:asciiTheme="minorHAnsi" w:hAnsiTheme="minorHAnsi" w:cstheme="minorHAnsi"/>
          <w:color w:val="000000" w:themeColor="text1"/>
        </w:rPr>
        <w:t xml:space="preserve">urvey of the </w:t>
      </w:r>
      <w:r w:rsidR="00F10B8F" w:rsidRPr="00822434">
        <w:rPr>
          <w:rFonts w:asciiTheme="minorHAnsi" w:hAnsiTheme="minorHAnsi" w:cstheme="minorHAnsi"/>
          <w:color w:val="000000" w:themeColor="text1"/>
        </w:rPr>
        <w:t>l</w:t>
      </w:r>
      <w:r w:rsidRPr="00822434">
        <w:rPr>
          <w:rFonts w:asciiTheme="minorHAnsi" w:hAnsiTheme="minorHAnsi" w:cstheme="minorHAnsi"/>
          <w:color w:val="000000" w:themeColor="text1"/>
        </w:rPr>
        <w:t xml:space="preserve">iterature.” Conditions of Work and Employment Series 54. Geneva: International </w:t>
      </w:r>
      <w:proofErr w:type="spellStart"/>
      <w:r w:rsidRPr="00822434">
        <w:rPr>
          <w:rFonts w:asciiTheme="minorHAnsi" w:hAnsiTheme="minorHAnsi" w:cstheme="minorHAnsi"/>
          <w:color w:val="000000" w:themeColor="text1"/>
        </w:rPr>
        <w:t>Labour</w:t>
      </w:r>
      <w:proofErr w:type="spellEnd"/>
      <w:r w:rsidRPr="00822434">
        <w:rPr>
          <w:rFonts w:asciiTheme="minorHAnsi" w:hAnsiTheme="minorHAnsi" w:cstheme="minorHAnsi"/>
          <w:color w:val="000000" w:themeColor="text1"/>
        </w:rPr>
        <w:t xml:space="preserve"> Office.</w:t>
      </w:r>
      <w:r w:rsidR="00434034" w:rsidRPr="00822434">
        <w:rPr>
          <w:rFonts w:asciiTheme="minorHAnsi" w:hAnsiTheme="minorHAnsi" w:cstheme="minorHAnsi"/>
          <w:color w:val="000000" w:themeColor="text1"/>
        </w:rPr>
        <w:t xml:space="preserve"> </w:t>
      </w:r>
      <w:hyperlink r:id="rId41" w:history="1">
        <w:r w:rsidR="003C5D34" w:rsidRPr="00822434">
          <w:rPr>
            <w:rStyle w:val="Hyperlink"/>
            <w:rFonts w:asciiTheme="minorHAnsi" w:hAnsiTheme="minorHAnsi" w:cstheme="minorHAnsi"/>
          </w:rPr>
          <w:t>https://www.ilo.org/publications/how-tight-link-between-wages-and-productivity-survey-literature</w:t>
        </w:r>
      </w:hyperlink>
    </w:p>
    <w:p w14:paraId="18747CD1" w14:textId="0B357DC8"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 xml:space="preserve">Van Hook, Jennifer, Alain Bélanger, Patrick Sabourin, and Anne Morse. 2020. “Immigration </w:t>
      </w:r>
      <w:r w:rsidR="00F10B8F" w:rsidRPr="00822434">
        <w:rPr>
          <w:rFonts w:asciiTheme="minorHAnsi" w:hAnsiTheme="minorHAnsi" w:cstheme="minorHAnsi"/>
          <w:color w:val="000000" w:themeColor="text1"/>
        </w:rPr>
        <w:t>s</w:t>
      </w:r>
      <w:r w:rsidRPr="00822434">
        <w:rPr>
          <w:rFonts w:asciiTheme="minorHAnsi" w:hAnsiTheme="minorHAnsi" w:cstheme="minorHAnsi"/>
          <w:color w:val="000000" w:themeColor="text1"/>
        </w:rPr>
        <w:t xml:space="preserve">election and the </w:t>
      </w:r>
      <w:r w:rsidR="00F10B8F" w:rsidRPr="00822434">
        <w:rPr>
          <w:rFonts w:asciiTheme="minorHAnsi" w:hAnsiTheme="minorHAnsi" w:cstheme="minorHAnsi"/>
          <w:color w:val="000000" w:themeColor="text1"/>
        </w:rPr>
        <w:t>e</w:t>
      </w:r>
      <w:r w:rsidRPr="00822434">
        <w:rPr>
          <w:rFonts w:asciiTheme="minorHAnsi" w:hAnsiTheme="minorHAnsi" w:cstheme="minorHAnsi"/>
          <w:color w:val="000000" w:themeColor="text1"/>
        </w:rPr>
        <w:t xml:space="preserve">ducational </w:t>
      </w:r>
      <w:r w:rsidR="00F10B8F" w:rsidRPr="00822434">
        <w:rPr>
          <w:rFonts w:asciiTheme="minorHAnsi" w:hAnsiTheme="minorHAnsi" w:cstheme="minorHAnsi"/>
          <w:color w:val="000000" w:themeColor="text1"/>
        </w:rPr>
        <w:t>c</w:t>
      </w:r>
      <w:r w:rsidRPr="00822434">
        <w:rPr>
          <w:rFonts w:asciiTheme="minorHAnsi" w:hAnsiTheme="minorHAnsi" w:cstheme="minorHAnsi"/>
          <w:color w:val="000000" w:themeColor="text1"/>
        </w:rPr>
        <w:t xml:space="preserve">omposition of the US </w:t>
      </w:r>
      <w:r w:rsidR="00F10B8F" w:rsidRPr="00822434">
        <w:rPr>
          <w:rFonts w:asciiTheme="minorHAnsi" w:hAnsiTheme="minorHAnsi" w:cstheme="minorHAnsi"/>
          <w:color w:val="000000" w:themeColor="text1"/>
        </w:rPr>
        <w:t>l</w:t>
      </w:r>
      <w:r w:rsidRPr="00822434">
        <w:rPr>
          <w:rFonts w:asciiTheme="minorHAnsi" w:hAnsiTheme="minorHAnsi" w:cstheme="minorHAnsi"/>
          <w:color w:val="000000" w:themeColor="text1"/>
        </w:rPr>
        <w:t xml:space="preserve">abor </w:t>
      </w:r>
      <w:r w:rsidR="00F10B8F" w:rsidRPr="00822434">
        <w:rPr>
          <w:rFonts w:asciiTheme="minorHAnsi" w:hAnsiTheme="minorHAnsi" w:cstheme="minorHAnsi"/>
          <w:color w:val="000000" w:themeColor="text1"/>
        </w:rPr>
        <w:t>f</w:t>
      </w:r>
      <w:r w:rsidRPr="00822434">
        <w:rPr>
          <w:rFonts w:asciiTheme="minorHAnsi" w:hAnsiTheme="minorHAnsi" w:cstheme="minorHAnsi"/>
          <w:color w:val="000000" w:themeColor="text1"/>
        </w:rPr>
        <w:t xml:space="preserve">orce.” </w:t>
      </w:r>
      <w:r w:rsidRPr="00822434">
        <w:rPr>
          <w:rFonts w:asciiTheme="minorHAnsi" w:hAnsiTheme="minorHAnsi" w:cstheme="minorHAnsi"/>
          <w:i/>
          <w:iCs/>
          <w:color w:val="000000" w:themeColor="text1"/>
        </w:rPr>
        <w:t>Population and Development Review</w:t>
      </w:r>
      <w:r w:rsidRPr="00822434">
        <w:rPr>
          <w:rFonts w:asciiTheme="minorHAnsi" w:hAnsiTheme="minorHAnsi" w:cstheme="minorHAnsi"/>
          <w:color w:val="000000" w:themeColor="text1"/>
        </w:rPr>
        <w:t xml:space="preserve"> 46 (2): 321–46. </w:t>
      </w:r>
      <w:hyperlink r:id="rId42" w:history="1">
        <w:r w:rsidR="003C5D34" w:rsidRPr="00822434">
          <w:rPr>
            <w:rStyle w:val="Hyperlink"/>
            <w:rFonts w:asciiTheme="minorHAnsi" w:hAnsiTheme="minorHAnsi" w:cstheme="minorHAnsi"/>
          </w:rPr>
          <w:t>https://doi.org/10.1111/padr.12315</w:t>
        </w:r>
      </w:hyperlink>
      <w:r w:rsidR="003C5D34" w:rsidRPr="00822434">
        <w:rPr>
          <w:rFonts w:asciiTheme="minorHAnsi" w:hAnsiTheme="minorHAnsi" w:cstheme="minorHAnsi"/>
          <w:color w:val="000000" w:themeColor="text1"/>
        </w:rPr>
        <w:t xml:space="preserve"> </w:t>
      </w:r>
    </w:p>
    <w:p w14:paraId="47E51945" w14:textId="3E25D522" w:rsidR="00B3651E" w:rsidRPr="00822434" w:rsidRDefault="00B3651E"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 xml:space="preserve">WIC. 2019. “Wittgenstein Centre Data Explorer Version 2.0.” 2019. </w:t>
      </w:r>
      <w:hyperlink r:id="rId43" w:history="1">
        <w:r w:rsidR="001A0B02" w:rsidRPr="00822434">
          <w:rPr>
            <w:rStyle w:val="Hyperlink"/>
            <w:rFonts w:asciiTheme="minorHAnsi" w:hAnsiTheme="minorHAnsi" w:cstheme="minorHAnsi"/>
          </w:rPr>
          <w:t>www.wittgensteincentre.org/dataexplorer</w:t>
        </w:r>
      </w:hyperlink>
      <w:r w:rsidR="003C5D34" w:rsidRPr="00822434">
        <w:rPr>
          <w:rFonts w:asciiTheme="minorHAnsi" w:hAnsiTheme="minorHAnsi" w:cstheme="minorHAnsi"/>
          <w:color w:val="000000" w:themeColor="text1"/>
        </w:rPr>
        <w:t xml:space="preserve"> </w:t>
      </w:r>
    </w:p>
    <w:p w14:paraId="28888A94" w14:textId="05E9977B" w:rsidR="00B3651E" w:rsidRPr="00822434" w:rsidRDefault="001A0B02" w:rsidP="003C5D34">
      <w:pPr>
        <w:pStyle w:val="PRPRRefs"/>
        <w:rPr>
          <w:rFonts w:asciiTheme="minorHAnsi" w:hAnsiTheme="minorHAnsi" w:cstheme="minorHAnsi"/>
          <w:color w:val="000000" w:themeColor="text1"/>
        </w:rPr>
      </w:pPr>
      <w:r w:rsidRPr="00822434">
        <w:rPr>
          <w:rFonts w:asciiTheme="minorHAnsi" w:hAnsiTheme="minorHAnsi" w:cstheme="minorHAnsi"/>
          <w:color w:val="000000" w:themeColor="text1"/>
        </w:rPr>
        <w:t xml:space="preserve">World Bank. (2025). </w:t>
      </w:r>
      <w:r w:rsidRPr="00822434">
        <w:rPr>
          <w:rFonts w:asciiTheme="minorHAnsi" w:hAnsiTheme="minorHAnsi" w:cstheme="minorHAnsi"/>
          <w:i/>
          <w:iCs/>
          <w:color w:val="000000" w:themeColor="text1"/>
        </w:rPr>
        <w:t>Labor force participation rate, female (% of female population ages 15+)</w:t>
      </w:r>
      <w:r w:rsidRPr="00822434">
        <w:rPr>
          <w:rFonts w:asciiTheme="minorHAnsi" w:hAnsiTheme="minorHAnsi" w:cstheme="minorHAnsi"/>
          <w:color w:val="000000" w:themeColor="text1"/>
        </w:rPr>
        <w:t xml:space="preserve">. World Bank. </w:t>
      </w:r>
      <w:hyperlink r:id="rId44" w:history="1">
        <w:r w:rsidR="003C5D34" w:rsidRPr="00822434">
          <w:rPr>
            <w:rStyle w:val="Hyperlink"/>
            <w:rFonts w:asciiTheme="minorHAnsi" w:hAnsiTheme="minorHAnsi" w:cstheme="minorHAnsi"/>
          </w:rPr>
          <w:t>https://data.worldbank.org/indicator/SL.TLF.CACT.FE.ZS</w:t>
        </w:r>
      </w:hyperlink>
      <w:r w:rsidR="003C5D34" w:rsidRPr="00822434">
        <w:rPr>
          <w:rFonts w:asciiTheme="minorHAnsi" w:hAnsiTheme="minorHAnsi" w:cstheme="minorHAnsi"/>
          <w:color w:val="000000" w:themeColor="text1"/>
        </w:rPr>
        <w:t xml:space="preserve"> </w:t>
      </w:r>
    </w:p>
    <w:sectPr w:rsidR="00B3651E" w:rsidRPr="00822434" w:rsidSect="003C5D34">
      <w:footerReference w:type="default" r:id="rId45"/>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86400" w14:textId="77777777" w:rsidR="003E10F9" w:rsidRDefault="003E10F9" w:rsidP="00B3651E">
      <w:pPr>
        <w:spacing w:after="0"/>
      </w:pPr>
      <w:r>
        <w:separator/>
      </w:r>
    </w:p>
  </w:endnote>
  <w:endnote w:type="continuationSeparator" w:id="0">
    <w:p w14:paraId="3116925F" w14:textId="77777777" w:rsidR="003E10F9" w:rsidRDefault="003E10F9" w:rsidP="00B365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charset w:val="00"/>
    <w:family w:val="roman"/>
    <w:pitch w:val="variable"/>
    <w:sig w:usb0="E0002AEF" w:usb1="C0007841"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048160"/>
      <w:docPartObj>
        <w:docPartGallery w:val="Page Numbers (Bottom of Page)"/>
        <w:docPartUnique/>
      </w:docPartObj>
    </w:sdtPr>
    <w:sdtEndPr>
      <w:rPr>
        <w:rFonts w:cstheme="minorHAnsi"/>
        <w:noProof/>
        <w:sz w:val="22"/>
      </w:rPr>
    </w:sdtEndPr>
    <w:sdtContent>
      <w:p w14:paraId="70367B8C" w14:textId="7ADC5AA8" w:rsidR="00200A02" w:rsidRPr="0040398F" w:rsidRDefault="00081938" w:rsidP="003C5D34">
        <w:pPr>
          <w:pStyle w:val="Footer"/>
          <w:jc w:val="right"/>
          <w:rPr>
            <w:rFonts w:cstheme="minorHAnsi"/>
            <w:sz w:val="22"/>
          </w:rPr>
        </w:pPr>
        <w:r w:rsidRPr="0040398F">
          <w:rPr>
            <w:rFonts w:cstheme="minorHAnsi"/>
            <w:b w:val="0"/>
            <w:bCs/>
            <w:sz w:val="22"/>
          </w:rPr>
          <w:fldChar w:fldCharType="begin"/>
        </w:r>
        <w:r w:rsidRPr="0040398F">
          <w:rPr>
            <w:rFonts w:cstheme="minorHAnsi"/>
            <w:b w:val="0"/>
            <w:bCs/>
            <w:sz w:val="22"/>
          </w:rPr>
          <w:instrText xml:space="preserve"> PAGE   \* MERGEFORMAT </w:instrText>
        </w:r>
        <w:r w:rsidRPr="0040398F">
          <w:rPr>
            <w:rFonts w:cstheme="minorHAnsi"/>
            <w:b w:val="0"/>
            <w:bCs/>
            <w:sz w:val="22"/>
          </w:rPr>
          <w:fldChar w:fldCharType="separate"/>
        </w:r>
        <w:r w:rsidR="00524095">
          <w:rPr>
            <w:rFonts w:cstheme="minorHAnsi"/>
            <w:b w:val="0"/>
            <w:bCs/>
            <w:noProof/>
            <w:sz w:val="22"/>
          </w:rPr>
          <w:t>1</w:t>
        </w:r>
        <w:r w:rsidRPr="0040398F">
          <w:rPr>
            <w:rFonts w:cstheme="minorHAnsi"/>
            <w:b w:val="0"/>
            <w:bCs/>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76A9B" w14:textId="77777777" w:rsidR="003E10F9" w:rsidRDefault="003E10F9" w:rsidP="003C5D34">
      <w:pPr>
        <w:spacing w:after="0" w:line="240" w:lineRule="auto"/>
        <w:ind w:firstLine="0"/>
      </w:pPr>
      <w:r>
        <w:separator/>
      </w:r>
    </w:p>
  </w:footnote>
  <w:footnote w:type="continuationSeparator" w:id="0">
    <w:p w14:paraId="58FFC137" w14:textId="77777777" w:rsidR="003E10F9" w:rsidRDefault="003E10F9" w:rsidP="003C5D34">
      <w:pPr>
        <w:spacing w:after="0" w:line="240" w:lineRule="auto"/>
        <w:ind w:firstLine="0"/>
        <w:jc w:val="both"/>
      </w:pPr>
      <w:r>
        <w:continuationSeparator/>
      </w:r>
    </w:p>
  </w:footnote>
  <w:footnote w:type="continuationNotice" w:id="1">
    <w:p w14:paraId="48FD7ABF" w14:textId="77777777" w:rsidR="003E10F9" w:rsidRDefault="003E10F9" w:rsidP="003C5D34">
      <w:pPr>
        <w:spacing w:after="0" w:line="240" w:lineRule="auto"/>
        <w:ind w:firstLine="0"/>
      </w:pPr>
    </w:p>
  </w:footnote>
  <w:footnote w:id="2">
    <w:p w14:paraId="0F48EC68" w14:textId="07807FEF" w:rsidR="00110390" w:rsidRPr="00822434" w:rsidRDefault="00110390" w:rsidP="003C5D34">
      <w:pPr>
        <w:pStyle w:val="PRPRFootnote"/>
        <w:spacing w:after="0"/>
        <w:rPr>
          <w:rFonts w:asciiTheme="minorHAnsi" w:hAnsiTheme="minorHAnsi" w:cstheme="minorHAnsi"/>
        </w:rPr>
      </w:pPr>
      <w:r w:rsidRPr="00822434">
        <w:rPr>
          <w:rStyle w:val="FootnoteReference"/>
          <w:rFonts w:asciiTheme="minorHAnsi" w:hAnsiTheme="minorHAnsi" w:cstheme="minorHAnsi"/>
        </w:rPr>
        <w:footnoteRef/>
      </w:r>
      <w:r w:rsidRPr="00822434">
        <w:rPr>
          <w:rFonts w:asciiTheme="minorHAnsi" w:hAnsiTheme="minorHAnsi" w:cstheme="minorHAnsi"/>
        </w:rPr>
        <w:t xml:space="preserve"> </w:t>
      </w:r>
      <w:r w:rsidR="0003644E" w:rsidRPr="00822434">
        <w:rPr>
          <w:rFonts w:asciiTheme="minorHAnsi" w:hAnsiTheme="minorHAnsi" w:cstheme="minorHAnsi"/>
        </w:rPr>
        <w:t xml:space="preserve">This Online Supplement accompanies the research </w:t>
      </w:r>
      <w:r w:rsidR="003C5D34" w:rsidRPr="00822434">
        <w:rPr>
          <w:rFonts w:asciiTheme="minorHAnsi" w:hAnsiTheme="minorHAnsi" w:cstheme="minorHAnsi"/>
        </w:rPr>
        <w:t>brief</w:t>
      </w:r>
      <w:r w:rsidR="0003644E" w:rsidRPr="00822434">
        <w:rPr>
          <w:rFonts w:asciiTheme="minorHAnsi" w:hAnsiTheme="minorHAnsi" w:cstheme="minorHAnsi"/>
        </w:rPr>
        <w:t xml:space="preserve"> “The Demographic Race Between India and China” by Guillaume Marois, Stuart Gietel-Basten, and Wolfgang Lutz. In addition to the main article’s authors, the following contributors participated in the preparation of this Online Supplement: Jesus Crespo Cuaresma and Jakob Gregor Zellmann conducted the validation exercise (Section C), and Claudia Reiter provided data and support on the skill-adjusted factor (Section B.2).</w:t>
      </w:r>
    </w:p>
  </w:footnote>
  <w:footnote w:id="3">
    <w:p w14:paraId="43B3A4E5" w14:textId="314AEE42" w:rsidR="00B3651E" w:rsidRPr="00B90EF1" w:rsidRDefault="00B3651E" w:rsidP="003C5D34">
      <w:pPr>
        <w:pStyle w:val="PRPRFootnote"/>
        <w:rPr>
          <w:lang w:val="en-CA"/>
        </w:rPr>
      </w:pPr>
      <w:r w:rsidRPr="007F5696">
        <w:rPr>
          <w:rStyle w:val="FootnoteReference"/>
        </w:rPr>
        <w:footnoteRef/>
      </w:r>
      <w:r>
        <w:t xml:space="preserve"> </w:t>
      </w:r>
      <w:r w:rsidR="003C5D34">
        <w:t>Given</w:t>
      </w:r>
      <w:r>
        <w:t xml:space="preserve"> </w:t>
      </w:r>
      <w:proofErr w:type="gramStart"/>
      <w:r>
        <w:t>exp</w:t>
      </w:r>
      <w:r>
        <w:rPr>
          <w:lang w:val="en-CA"/>
        </w:rPr>
        <w:t>(</w:t>
      </w:r>
      <w:proofErr w:type="gramEnd"/>
      <w:r>
        <w:rPr>
          <w:lang w:val="en-CA"/>
        </w:rPr>
        <w:t>0.237</w:t>
      </w:r>
      <w:r w:rsidR="003C5D34">
        <w:rPr>
          <w:lang w:val="en-CA"/>
        </w:rPr>
        <w:t xml:space="preserve"> × </w:t>
      </w:r>
      <w:r>
        <w:rPr>
          <w:lang w:val="en-CA"/>
        </w:rPr>
        <w:t>16</w:t>
      </w:r>
      <w:r w:rsidR="003C5D34">
        <w:rPr>
          <w:lang w:val="en-CA"/>
        </w:rPr>
        <w:t xml:space="preserve"> </w:t>
      </w:r>
      <w:r>
        <w:rPr>
          <w:lang w:val="en-CA"/>
        </w:rPr>
        <w:t>+</w:t>
      </w:r>
      <w:r w:rsidR="003C5D34">
        <w:rPr>
          <w:lang w:val="en-CA"/>
        </w:rPr>
        <w:t xml:space="preserve"> </w:t>
      </w:r>
      <w:r>
        <w:rPr>
          <w:lang w:val="en-CA"/>
        </w:rPr>
        <w:t>-0.009</w:t>
      </w:r>
      <w:r w:rsidR="003C5D34">
        <w:rPr>
          <w:lang w:val="en-CA"/>
        </w:rPr>
        <w:t xml:space="preserve"> × </w:t>
      </w:r>
      <w:r>
        <w:rPr>
          <w:lang w:val="en-CA"/>
        </w:rPr>
        <w:t>16</w:t>
      </w:r>
      <w:r w:rsidR="003C5D34">
        <w:rPr>
          <w:lang w:val="en-CA"/>
        </w:rPr>
        <w:t xml:space="preserve"> ×</w:t>
      </w:r>
      <w:r w:rsidR="00575AAA">
        <w:rPr>
          <w:lang w:val="en-CA"/>
        </w:rPr>
        <w:t>7.63</w:t>
      </w:r>
      <w:r>
        <w:rPr>
          <w:lang w:val="en-CA"/>
        </w:rPr>
        <w:t>)</w:t>
      </w:r>
      <w:r w:rsidR="003C5D34">
        <w:rPr>
          <w:lang w:val="en-CA"/>
        </w:rPr>
        <w:t xml:space="preserve"> </w:t>
      </w:r>
      <w:r>
        <w:rPr>
          <w:lang w:val="en-CA"/>
        </w:rPr>
        <w:t>/</w:t>
      </w:r>
      <w:r w:rsidR="003C5D34">
        <w:rPr>
          <w:lang w:val="en-CA"/>
        </w:rPr>
        <w:t xml:space="preserve"> </w:t>
      </w:r>
      <w:proofErr w:type="gramStart"/>
      <w:r>
        <w:rPr>
          <w:lang w:val="en-CA"/>
        </w:rPr>
        <w:t>exp(</w:t>
      </w:r>
      <w:proofErr w:type="gramEnd"/>
      <w:r>
        <w:rPr>
          <w:lang w:val="en-CA"/>
        </w:rPr>
        <w:t>0.237</w:t>
      </w:r>
      <w:r w:rsidR="003C5D34">
        <w:rPr>
          <w:lang w:val="en-CA"/>
        </w:rPr>
        <w:t xml:space="preserve"> × </w:t>
      </w:r>
      <w:r>
        <w:rPr>
          <w:lang w:val="en-CA"/>
        </w:rPr>
        <w:t>9.3</w:t>
      </w:r>
      <w:r w:rsidR="003C5D34">
        <w:rPr>
          <w:lang w:val="en-CA"/>
        </w:rPr>
        <w:t xml:space="preserve"> </w:t>
      </w:r>
      <w:r>
        <w:rPr>
          <w:lang w:val="en-CA"/>
        </w:rPr>
        <w:t>+</w:t>
      </w:r>
      <w:r w:rsidR="003C5D34">
        <w:rPr>
          <w:lang w:val="en-CA"/>
        </w:rPr>
        <w:t xml:space="preserve"> </w:t>
      </w:r>
      <w:r>
        <w:rPr>
          <w:lang w:val="en-CA"/>
        </w:rPr>
        <w:t>-0.009</w:t>
      </w:r>
      <w:r w:rsidR="003C5D34">
        <w:rPr>
          <w:lang w:val="en-CA"/>
        </w:rPr>
        <w:t xml:space="preserve"> × </w:t>
      </w:r>
      <w:r>
        <w:rPr>
          <w:lang w:val="en-CA"/>
        </w:rPr>
        <w:t>9.3</w:t>
      </w:r>
      <w:r w:rsidR="003C5D34">
        <w:rPr>
          <w:lang w:val="en-CA"/>
        </w:rPr>
        <w:t xml:space="preserve"> × </w:t>
      </w:r>
      <w:r w:rsidR="00575AAA">
        <w:rPr>
          <w:lang w:val="en-CA"/>
        </w:rPr>
        <w:t>7.63</w:t>
      </w:r>
      <w:r>
        <w:rPr>
          <w:lang w:val="en-CA"/>
        </w:rPr>
        <w:t>)</w:t>
      </w:r>
      <w:r w:rsidR="003C5D34">
        <w:rPr>
          <w:lang w:val="en-CA"/>
        </w:rPr>
        <w:t xml:space="preserve"> </w:t>
      </w:r>
      <w:r>
        <w:rPr>
          <w:lang w:val="en-CA"/>
        </w:rPr>
        <w:t>=</w:t>
      </w:r>
      <w:r w:rsidR="003C5D34">
        <w:rPr>
          <w:lang w:val="en-CA"/>
        </w:rPr>
        <w:t xml:space="preserve"> </w:t>
      </w:r>
      <w:r w:rsidR="00575AAA">
        <w:rPr>
          <w:lang w:val="en-CA"/>
        </w:rPr>
        <w:t>3.01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7684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CCA8B0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5E8FF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106D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48238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C25A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2C201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6E42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7A455A"/>
    <w:lvl w:ilvl="0">
      <w:start w:val="1"/>
      <w:numFmt w:val="decimal"/>
      <w:lvlText w:val="%1."/>
      <w:lvlJc w:val="left"/>
      <w:pPr>
        <w:tabs>
          <w:tab w:val="num" w:pos="389"/>
        </w:tabs>
        <w:ind w:left="389" w:hanging="389"/>
      </w:pPr>
      <w:rPr>
        <w:rFonts w:hint="default"/>
      </w:rPr>
    </w:lvl>
  </w:abstractNum>
  <w:abstractNum w:abstractNumId="9" w15:restartNumberingAfterBreak="0">
    <w:nsid w:val="FFFFFF89"/>
    <w:multiLevelType w:val="singleLevel"/>
    <w:tmpl w:val="AEA435F8"/>
    <w:lvl w:ilvl="0">
      <w:start w:val="1"/>
      <w:numFmt w:val="bullet"/>
      <w:lvlText w:val=""/>
      <w:lvlJc w:val="left"/>
      <w:pPr>
        <w:tabs>
          <w:tab w:val="num" w:pos="432"/>
        </w:tabs>
        <w:ind w:left="432" w:hanging="432"/>
      </w:pPr>
      <w:rPr>
        <w:rFonts w:ascii="Symbol" w:hAnsi="Symbol" w:hint="default"/>
      </w:rPr>
    </w:lvl>
  </w:abstractNum>
  <w:abstractNum w:abstractNumId="10" w15:restartNumberingAfterBreak="0">
    <w:nsid w:val="000861D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009C142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6C7362E"/>
    <w:multiLevelType w:val="hybridMultilevel"/>
    <w:tmpl w:val="078A913A"/>
    <w:lvl w:ilvl="0" w:tplc="F108703C">
      <w:start w:val="1"/>
      <w:numFmt w:val="bullet"/>
      <w:pStyle w:val="ListBullet"/>
      <w:lvlText w:val=""/>
      <w:lvlJc w:val="left"/>
      <w:pPr>
        <w:tabs>
          <w:tab w:val="num" w:pos="389"/>
        </w:tabs>
        <w:ind w:left="389" w:hanging="389"/>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306681"/>
    <w:multiLevelType w:val="hybridMultilevel"/>
    <w:tmpl w:val="C25A69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91496B"/>
    <w:multiLevelType w:val="hybridMultilevel"/>
    <w:tmpl w:val="8B86F606"/>
    <w:lvl w:ilvl="0" w:tplc="61AEB7E4">
      <w:start w:val="1"/>
      <w:numFmt w:val="bullet"/>
      <w:lvlText w:val=""/>
      <w:lvlJc w:val="left"/>
      <w:pPr>
        <w:tabs>
          <w:tab w:val="num" w:pos="389"/>
        </w:tabs>
        <w:ind w:left="389" w:hanging="389"/>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052FC0"/>
    <w:multiLevelType w:val="multilevel"/>
    <w:tmpl w:val="1804A9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A7A3E6D"/>
    <w:multiLevelType w:val="multilevel"/>
    <w:tmpl w:val="00CE2EB4"/>
    <w:styleLink w:val="PRPRDLList"/>
    <w:lvl w:ilvl="0">
      <w:start w:val="1"/>
      <w:numFmt w:val="decimal"/>
      <w:lvlText w:val="%1."/>
      <w:lvlJc w:val="left"/>
      <w:pPr>
        <w:ind w:left="720" w:hanging="360"/>
      </w:pPr>
      <w:rPr>
        <w:rFonts w:ascii="Aptos" w:hAnsi="Aptos" w:hint="default"/>
        <w:sz w:val="22"/>
      </w:rPr>
    </w:lvl>
    <w:lvl w:ilvl="1">
      <w:start w:val="1"/>
      <w:numFmt w:val="lowerLetter"/>
      <w:lvlText w:val="%2."/>
      <w:lvlJc w:val="left"/>
      <w:pPr>
        <w:ind w:left="1440" w:hanging="360"/>
      </w:pPr>
      <w:rPr>
        <w:rFonts w:asciiTheme="minorHAnsi" w:hAnsiTheme="minorHAnsi"/>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E2D35B4"/>
    <w:multiLevelType w:val="hybridMultilevel"/>
    <w:tmpl w:val="DDEA1A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CC68E9"/>
    <w:multiLevelType w:val="hybridMultilevel"/>
    <w:tmpl w:val="F3AA7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046874"/>
    <w:multiLevelType w:val="hybridMultilevel"/>
    <w:tmpl w:val="62C6AC46"/>
    <w:lvl w:ilvl="0" w:tplc="A43AEC00">
      <w:start w:val="1"/>
      <w:numFmt w:val="upperLetter"/>
      <w:lvlText w:val="%1."/>
      <w:lvlJc w:val="left"/>
      <w:pPr>
        <w:ind w:left="720" w:hanging="360"/>
      </w:pPr>
      <w:rPr>
        <w:rFonts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8110EC"/>
    <w:multiLevelType w:val="hybridMultilevel"/>
    <w:tmpl w:val="A330FC92"/>
    <w:lvl w:ilvl="0" w:tplc="0B66C61A">
      <w:start w:val="1"/>
      <w:numFmt w:val="decimal"/>
      <w:pStyle w:val="ListNumber"/>
      <w:lvlText w:val="%1."/>
      <w:lvlJc w:val="left"/>
      <w:pPr>
        <w:tabs>
          <w:tab w:val="num" w:pos="389"/>
        </w:tabs>
        <w:ind w:left="389" w:hanging="389"/>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4963E4"/>
    <w:multiLevelType w:val="hybridMultilevel"/>
    <w:tmpl w:val="0B725B38"/>
    <w:lvl w:ilvl="0" w:tplc="FB8A73C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DD61E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9916562">
    <w:abstractNumId w:val="9"/>
  </w:num>
  <w:num w:numId="2" w16cid:durableId="1034697840">
    <w:abstractNumId w:val="9"/>
    <w:lvlOverride w:ilvl="0">
      <w:startOverride w:val="1"/>
    </w:lvlOverride>
  </w:num>
  <w:num w:numId="3" w16cid:durableId="814569721">
    <w:abstractNumId w:val="14"/>
  </w:num>
  <w:num w:numId="4" w16cid:durableId="144126825">
    <w:abstractNumId w:val="8"/>
  </w:num>
  <w:num w:numId="5" w16cid:durableId="2102797405">
    <w:abstractNumId w:val="21"/>
  </w:num>
  <w:num w:numId="6" w16cid:durableId="92405984">
    <w:abstractNumId w:val="20"/>
  </w:num>
  <w:num w:numId="7" w16cid:durableId="318928983">
    <w:abstractNumId w:val="12"/>
  </w:num>
  <w:num w:numId="8" w16cid:durableId="1091780665">
    <w:abstractNumId w:val="22"/>
  </w:num>
  <w:num w:numId="9" w16cid:durableId="1084953946">
    <w:abstractNumId w:val="11"/>
  </w:num>
  <w:num w:numId="10" w16cid:durableId="1890607641">
    <w:abstractNumId w:val="15"/>
  </w:num>
  <w:num w:numId="11" w16cid:durableId="1653678048">
    <w:abstractNumId w:val="10"/>
  </w:num>
  <w:num w:numId="12" w16cid:durableId="2097284309">
    <w:abstractNumId w:val="3"/>
  </w:num>
  <w:num w:numId="13" w16cid:durableId="1499033821">
    <w:abstractNumId w:val="2"/>
  </w:num>
  <w:num w:numId="14" w16cid:durableId="1464497843">
    <w:abstractNumId w:val="1"/>
  </w:num>
  <w:num w:numId="15" w16cid:durableId="1679690955">
    <w:abstractNumId w:val="0"/>
  </w:num>
  <w:num w:numId="16" w16cid:durableId="1824464834">
    <w:abstractNumId w:val="4"/>
  </w:num>
  <w:num w:numId="17" w16cid:durableId="1573468804">
    <w:abstractNumId w:val="5"/>
  </w:num>
  <w:num w:numId="18" w16cid:durableId="1996957915">
    <w:abstractNumId w:val="6"/>
  </w:num>
  <w:num w:numId="19" w16cid:durableId="1309555165">
    <w:abstractNumId w:val="7"/>
  </w:num>
  <w:num w:numId="20" w16cid:durableId="47077996">
    <w:abstractNumId w:val="18"/>
  </w:num>
  <w:num w:numId="21" w16cid:durableId="401105835">
    <w:abstractNumId w:val="17"/>
  </w:num>
  <w:num w:numId="22" w16cid:durableId="1319455456">
    <w:abstractNumId w:val="13"/>
  </w:num>
  <w:num w:numId="23" w16cid:durableId="1009217321">
    <w:abstractNumId w:val="19"/>
  </w:num>
  <w:num w:numId="24" w16cid:durableId="19598720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51E"/>
    <w:rsid w:val="0000493D"/>
    <w:rsid w:val="0003644E"/>
    <w:rsid w:val="0007379D"/>
    <w:rsid w:val="00081938"/>
    <w:rsid w:val="000B6627"/>
    <w:rsid w:val="000D25D0"/>
    <w:rsid w:val="000D2E98"/>
    <w:rsid w:val="000E40CC"/>
    <w:rsid w:val="00110390"/>
    <w:rsid w:val="00147749"/>
    <w:rsid w:val="001911B5"/>
    <w:rsid w:val="001A0B02"/>
    <w:rsid w:val="001E2A2F"/>
    <w:rsid w:val="001F73C3"/>
    <w:rsid w:val="00200A02"/>
    <w:rsid w:val="00235C18"/>
    <w:rsid w:val="00265C69"/>
    <w:rsid w:val="002D19DF"/>
    <w:rsid w:val="00325CDF"/>
    <w:rsid w:val="0035733C"/>
    <w:rsid w:val="00385FEA"/>
    <w:rsid w:val="003A13B9"/>
    <w:rsid w:val="003C5D34"/>
    <w:rsid w:val="003E10F9"/>
    <w:rsid w:val="003F5ED3"/>
    <w:rsid w:val="0040398F"/>
    <w:rsid w:val="00433DDF"/>
    <w:rsid w:val="00434034"/>
    <w:rsid w:val="004359F8"/>
    <w:rsid w:val="0044033C"/>
    <w:rsid w:val="004563AE"/>
    <w:rsid w:val="004672C9"/>
    <w:rsid w:val="004711C5"/>
    <w:rsid w:val="00474F8C"/>
    <w:rsid w:val="004A370D"/>
    <w:rsid w:val="004A42B5"/>
    <w:rsid w:val="004D0F3D"/>
    <w:rsid w:val="004D44C2"/>
    <w:rsid w:val="00506A15"/>
    <w:rsid w:val="00524095"/>
    <w:rsid w:val="00554C3E"/>
    <w:rsid w:val="0056077F"/>
    <w:rsid w:val="00564EC6"/>
    <w:rsid w:val="00575AAA"/>
    <w:rsid w:val="00575EE3"/>
    <w:rsid w:val="00584F84"/>
    <w:rsid w:val="0059410F"/>
    <w:rsid w:val="005A6C7F"/>
    <w:rsid w:val="005B11D2"/>
    <w:rsid w:val="005B51A3"/>
    <w:rsid w:val="005C2048"/>
    <w:rsid w:val="005C7EC7"/>
    <w:rsid w:val="005E6721"/>
    <w:rsid w:val="00602661"/>
    <w:rsid w:val="00605026"/>
    <w:rsid w:val="00611A43"/>
    <w:rsid w:val="00621EA8"/>
    <w:rsid w:val="00625123"/>
    <w:rsid w:val="00635FB6"/>
    <w:rsid w:val="006569C8"/>
    <w:rsid w:val="006602D9"/>
    <w:rsid w:val="00677148"/>
    <w:rsid w:val="0069188E"/>
    <w:rsid w:val="006B1656"/>
    <w:rsid w:val="006B4E73"/>
    <w:rsid w:val="006C212E"/>
    <w:rsid w:val="007048C8"/>
    <w:rsid w:val="00746CCC"/>
    <w:rsid w:val="007650BA"/>
    <w:rsid w:val="007731E6"/>
    <w:rsid w:val="007E7BED"/>
    <w:rsid w:val="007F5696"/>
    <w:rsid w:val="00813F15"/>
    <w:rsid w:val="00822434"/>
    <w:rsid w:val="00853F47"/>
    <w:rsid w:val="00881FFB"/>
    <w:rsid w:val="008841C1"/>
    <w:rsid w:val="008A0711"/>
    <w:rsid w:val="00900F7E"/>
    <w:rsid w:val="0091267F"/>
    <w:rsid w:val="00956A63"/>
    <w:rsid w:val="00965332"/>
    <w:rsid w:val="00965705"/>
    <w:rsid w:val="00981345"/>
    <w:rsid w:val="00991039"/>
    <w:rsid w:val="009C4731"/>
    <w:rsid w:val="009D0E55"/>
    <w:rsid w:val="00A14911"/>
    <w:rsid w:val="00A15C96"/>
    <w:rsid w:val="00A53D54"/>
    <w:rsid w:val="00AE4109"/>
    <w:rsid w:val="00AF48AC"/>
    <w:rsid w:val="00B201F6"/>
    <w:rsid w:val="00B3651E"/>
    <w:rsid w:val="00BA6B3E"/>
    <w:rsid w:val="00BE44DE"/>
    <w:rsid w:val="00C10EC9"/>
    <w:rsid w:val="00C820E1"/>
    <w:rsid w:val="00CD52EF"/>
    <w:rsid w:val="00CE4686"/>
    <w:rsid w:val="00D02B71"/>
    <w:rsid w:val="00D372B8"/>
    <w:rsid w:val="00D92BE0"/>
    <w:rsid w:val="00DC5563"/>
    <w:rsid w:val="00DD5AC7"/>
    <w:rsid w:val="00DF104C"/>
    <w:rsid w:val="00DF4A39"/>
    <w:rsid w:val="00E223B4"/>
    <w:rsid w:val="00E47949"/>
    <w:rsid w:val="00E73069"/>
    <w:rsid w:val="00E73682"/>
    <w:rsid w:val="00EA6E98"/>
    <w:rsid w:val="00F10B8F"/>
    <w:rsid w:val="00F44A55"/>
    <w:rsid w:val="00F63AC2"/>
    <w:rsid w:val="00FA7395"/>
    <w:rsid w:val="00FD5FEC"/>
    <w:rsid w:val="00FD6CD7"/>
    <w:rsid w:val="00FF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3F2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semiHidden="1" w:uiPriority="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33C"/>
    <w:pPr>
      <w:spacing w:after="120" w:line="480" w:lineRule="auto"/>
      <w:ind w:firstLine="720"/>
    </w:pPr>
  </w:style>
  <w:style w:type="paragraph" w:styleId="Heading1">
    <w:name w:val="heading 1"/>
    <w:basedOn w:val="Normal"/>
    <w:next w:val="Normal"/>
    <w:link w:val="Heading1Char"/>
    <w:uiPriority w:val="1"/>
    <w:qFormat/>
    <w:rsid w:val="00813F15"/>
    <w:pPr>
      <w:keepNext/>
      <w:keepLines/>
      <w:spacing w:before="240" w:after="0"/>
      <w:ind w:firstLine="0"/>
      <w:outlineLvl w:val="0"/>
    </w:pPr>
    <w:rPr>
      <w:rFonts w:asciiTheme="majorHAnsi" w:eastAsiaTheme="majorEastAsia" w:hAnsiTheme="majorHAnsi" w:cstheme="majorBidi"/>
      <w:color w:val="2F5496" w:themeColor="accent1" w:themeShade="BF"/>
      <w:sz w:val="24"/>
      <w:szCs w:val="32"/>
    </w:rPr>
  </w:style>
  <w:style w:type="paragraph" w:styleId="Heading2">
    <w:name w:val="heading 2"/>
    <w:basedOn w:val="Normal"/>
    <w:next w:val="Normal"/>
    <w:link w:val="Heading2Char"/>
    <w:uiPriority w:val="1"/>
    <w:unhideWhenUsed/>
    <w:qFormat/>
    <w:rsid w:val="00813F15"/>
    <w:pPr>
      <w:keepNext/>
      <w:keepLines/>
      <w:spacing w:before="40" w:after="0"/>
      <w:ind w:firstLine="0"/>
      <w:outlineLvl w:val="1"/>
    </w:pPr>
    <w:rPr>
      <w:rFonts w:asciiTheme="majorHAnsi" w:eastAsiaTheme="majorEastAsia" w:hAnsiTheme="majorHAnsi" w:cstheme="majorBidi"/>
      <w:color w:val="2F5496" w:themeColor="accent1" w:themeShade="BF"/>
      <w:sz w:val="24"/>
      <w:szCs w:val="26"/>
    </w:rPr>
  </w:style>
  <w:style w:type="paragraph" w:styleId="Heading3">
    <w:name w:val="heading 3"/>
    <w:basedOn w:val="Normal"/>
    <w:next w:val="Normal"/>
    <w:link w:val="Heading3Char"/>
    <w:uiPriority w:val="1"/>
    <w:unhideWhenUsed/>
    <w:qFormat/>
    <w:rsid w:val="00B3651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autoRedefine/>
    <w:uiPriority w:val="1"/>
    <w:unhideWhenUsed/>
    <w:qFormat/>
    <w:rsid w:val="004A370D"/>
    <w:pPr>
      <w:keepNext/>
      <w:keepLines/>
      <w:spacing w:after="0"/>
      <w:contextualSpacing/>
      <w:outlineLvl w:val="3"/>
    </w:pPr>
    <w:rPr>
      <w:rFonts w:asciiTheme="majorHAnsi" w:eastAsiaTheme="majorEastAsia" w:hAnsiTheme="majorHAnsi" w:cstheme="majorBidi"/>
      <w:i/>
      <w:iCs/>
      <w:color w:val="44546A" w:themeColor="text2"/>
      <w:sz w:val="24"/>
      <w:lang w:eastAsia="ja-JP"/>
    </w:rPr>
  </w:style>
  <w:style w:type="paragraph" w:styleId="Heading5">
    <w:name w:val="heading 5"/>
    <w:basedOn w:val="Normal"/>
    <w:next w:val="Normal"/>
    <w:link w:val="Heading5Char"/>
    <w:autoRedefine/>
    <w:uiPriority w:val="1"/>
    <w:unhideWhenUsed/>
    <w:qFormat/>
    <w:rsid w:val="00B3651E"/>
    <w:pPr>
      <w:keepNext/>
      <w:keepLines/>
      <w:spacing w:after="320"/>
      <w:contextualSpacing/>
      <w:outlineLvl w:val="4"/>
    </w:pPr>
    <w:rPr>
      <w:rFonts w:asciiTheme="majorHAnsi" w:eastAsiaTheme="majorEastAsia" w:hAnsiTheme="majorHAnsi" w:cstheme="majorBidi"/>
      <w:b/>
      <w:color w:val="00589F"/>
      <w:sz w:val="28"/>
      <w:lang w:eastAsia="ja-JP"/>
    </w:rPr>
  </w:style>
  <w:style w:type="paragraph" w:styleId="Heading6">
    <w:name w:val="heading 6"/>
    <w:basedOn w:val="Normal"/>
    <w:next w:val="Normal"/>
    <w:link w:val="Heading6Char"/>
    <w:autoRedefine/>
    <w:uiPriority w:val="1"/>
    <w:unhideWhenUsed/>
    <w:qFormat/>
    <w:rsid w:val="00B3651E"/>
    <w:pPr>
      <w:keepNext/>
      <w:keepLines/>
      <w:pBdr>
        <w:top w:val="single" w:sz="12" w:space="12" w:color="4472C4" w:themeColor="accent1"/>
      </w:pBdr>
      <w:spacing w:after="320"/>
      <w:contextualSpacing/>
      <w:outlineLvl w:val="5"/>
    </w:pPr>
    <w:rPr>
      <w:rFonts w:asciiTheme="majorHAnsi" w:eastAsiaTheme="majorEastAsia" w:hAnsiTheme="majorHAnsi" w:cstheme="majorBidi"/>
      <w:b/>
      <w:color w:val="000000" w:themeColor="text1"/>
      <w:sz w:val="24"/>
      <w:lang w:eastAsia="ja-JP"/>
    </w:rPr>
  </w:style>
  <w:style w:type="paragraph" w:styleId="Heading7">
    <w:name w:val="heading 7"/>
    <w:basedOn w:val="Normal"/>
    <w:next w:val="Normal"/>
    <w:link w:val="Heading7Char"/>
    <w:autoRedefine/>
    <w:uiPriority w:val="1"/>
    <w:unhideWhenUsed/>
    <w:qFormat/>
    <w:rsid w:val="00B3651E"/>
    <w:pPr>
      <w:keepNext/>
      <w:keepLines/>
      <w:spacing w:after="240"/>
      <w:contextualSpacing/>
      <w:outlineLvl w:val="6"/>
    </w:pPr>
    <w:rPr>
      <w:rFonts w:asciiTheme="majorHAnsi" w:eastAsiaTheme="majorEastAsia" w:hAnsiTheme="majorHAnsi" w:cstheme="majorBidi"/>
      <w:b/>
      <w:iCs/>
      <w:color w:val="000000" w:themeColor="text1"/>
      <w:sz w:val="24"/>
      <w:lang w:eastAsia="ja-JP"/>
    </w:rPr>
  </w:style>
  <w:style w:type="paragraph" w:styleId="Heading8">
    <w:name w:val="heading 8"/>
    <w:basedOn w:val="Normal"/>
    <w:next w:val="Normal"/>
    <w:link w:val="Heading8Char"/>
    <w:autoRedefine/>
    <w:uiPriority w:val="1"/>
    <w:unhideWhenUsed/>
    <w:qFormat/>
    <w:rsid w:val="00B3651E"/>
    <w:pPr>
      <w:keepNext/>
      <w:keepLines/>
      <w:spacing w:after="240"/>
      <w:contextualSpacing/>
      <w:outlineLvl w:val="7"/>
    </w:pPr>
    <w:rPr>
      <w:rFonts w:asciiTheme="majorHAnsi" w:eastAsiaTheme="majorEastAsia" w:hAnsiTheme="majorHAnsi" w:cstheme="majorBidi"/>
      <w:b/>
      <w:i/>
      <w:color w:val="000000" w:themeColor="text1"/>
      <w:sz w:val="24"/>
      <w:szCs w:val="21"/>
      <w:lang w:eastAsia="ja-JP"/>
    </w:rPr>
  </w:style>
  <w:style w:type="paragraph" w:styleId="Heading9">
    <w:name w:val="heading 9"/>
    <w:basedOn w:val="Normal"/>
    <w:next w:val="Normal"/>
    <w:link w:val="Heading9Char"/>
    <w:autoRedefine/>
    <w:uiPriority w:val="1"/>
    <w:unhideWhenUsed/>
    <w:qFormat/>
    <w:rsid w:val="00B3651E"/>
    <w:pPr>
      <w:keepNext/>
      <w:keepLines/>
      <w:spacing w:after="240"/>
      <w:contextualSpacing/>
      <w:outlineLvl w:val="8"/>
    </w:pPr>
    <w:rPr>
      <w:rFonts w:asciiTheme="majorHAnsi" w:eastAsiaTheme="majorEastAsia" w:hAnsiTheme="majorHAnsi" w:cstheme="majorBidi"/>
      <w:b/>
      <w:iCs/>
      <w:color w:val="00589F"/>
      <w:sz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813F15"/>
    <w:rPr>
      <w:rFonts w:asciiTheme="majorHAnsi" w:eastAsiaTheme="majorEastAsia" w:hAnsiTheme="majorHAnsi" w:cstheme="majorBidi"/>
      <w:color w:val="2F5496" w:themeColor="accent1" w:themeShade="BF"/>
      <w:sz w:val="24"/>
      <w:szCs w:val="26"/>
    </w:rPr>
  </w:style>
  <w:style w:type="character" w:customStyle="1" w:styleId="Heading1Char">
    <w:name w:val="Heading 1 Char"/>
    <w:basedOn w:val="DefaultParagraphFont"/>
    <w:link w:val="Heading1"/>
    <w:uiPriority w:val="1"/>
    <w:rsid w:val="00813F15"/>
    <w:rPr>
      <w:rFonts w:asciiTheme="majorHAnsi" w:eastAsiaTheme="majorEastAsia" w:hAnsiTheme="majorHAnsi" w:cstheme="majorBidi"/>
      <w:color w:val="2F5496" w:themeColor="accent1" w:themeShade="BF"/>
      <w:sz w:val="24"/>
      <w:szCs w:val="32"/>
    </w:rPr>
  </w:style>
  <w:style w:type="character" w:customStyle="1" w:styleId="Heading3Char">
    <w:name w:val="Heading 3 Char"/>
    <w:basedOn w:val="DefaultParagraphFont"/>
    <w:link w:val="Heading3"/>
    <w:uiPriority w:val="1"/>
    <w:rsid w:val="00B3651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1"/>
    <w:rsid w:val="004A370D"/>
    <w:rPr>
      <w:rFonts w:asciiTheme="majorHAnsi" w:eastAsiaTheme="majorEastAsia" w:hAnsiTheme="majorHAnsi" w:cstheme="majorBidi"/>
      <w:i/>
      <w:iCs/>
      <w:color w:val="44546A" w:themeColor="text2"/>
      <w:sz w:val="24"/>
      <w:lang w:eastAsia="ja-JP"/>
    </w:rPr>
  </w:style>
  <w:style w:type="character" w:customStyle="1" w:styleId="Heading5Char">
    <w:name w:val="Heading 5 Char"/>
    <w:basedOn w:val="DefaultParagraphFont"/>
    <w:link w:val="Heading5"/>
    <w:uiPriority w:val="1"/>
    <w:rsid w:val="00B3651E"/>
    <w:rPr>
      <w:rFonts w:asciiTheme="majorHAnsi" w:eastAsiaTheme="majorEastAsia" w:hAnsiTheme="majorHAnsi" w:cstheme="majorBidi"/>
      <w:b/>
      <w:color w:val="00589F"/>
      <w:sz w:val="28"/>
      <w:lang w:eastAsia="ja-JP"/>
    </w:rPr>
  </w:style>
  <w:style w:type="character" w:customStyle="1" w:styleId="Heading6Char">
    <w:name w:val="Heading 6 Char"/>
    <w:basedOn w:val="DefaultParagraphFont"/>
    <w:link w:val="Heading6"/>
    <w:uiPriority w:val="1"/>
    <w:rsid w:val="00B3651E"/>
    <w:rPr>
      <w:rFonts w:asciiTheme="majorHAnsi" w:eastAsiaTheme="majorEastAsia" w:hAnsiTheme="majorHAnsi" w:cstheme="majorBidi"/>
      <w:b/>
      <w:color w:val="000000" w:themeColor="text1"/>
      <w:sz w:val="24"/>
      <w:lang w:eastAsia="ja-JP"/>
    </w:rPr>
  </w:style>
  <w:style w:type="character" w:customStyle="1" w:styleId="Heading7Char">
    <w:name w:val="Heading 7 Char"/>
    <w:basedOn w:val="DefaultParagraphFont"/>
    <w:link w:val="Heading7"/>
    <w:uiPriority w:val="1"/>
    <w:rsid w:val="00B3651E"/>
    <w:rPr>
      <w:rFonts w:asciiTheme="majorHAnsi" w:eastAsiaTheme="majorEastAsia" w:hAnsiTheme="majorHAnsi" w:cstheme="majorBidi"/>
      <w:b/>
      <w:iCs/>
      <w:color w:val="000000" w:themeColor="text1"/>
      <w:sz w:val="24"/>
      <w:lang w:eastAsia="ja-JP"/>
    </w:rPr>
  </w:style>
  <w:style w:type="character" w:customStyle="1" w:styleId="Heading8Char">
    <w:name w:val="Heading 8 Char"/>
    <w:basedOn w:val="DefaultParagraphFont"/>
    <w:link w:val="Heading8"/>
    <w:uiPriority w:val="1"/>
    <w:rsid w:val="00B3651E"/>
    <w:rPr>
      <w:rFonts w:asciiTheme="majorHAnsi" w:eastAsiaTheme="majorEastAsia" w:hAnsiTheme="majorHAnsi" w:cstheme="majorBidi"/>
      <w:b/>
      <w:i/>
      <w:color w:val="000000" w:themeColor="text1"/>
      <w:sz w:val="24"/>
      <w:szCs w:val="21"/>
      <w:lang w:eastAsia="ja-JP"/>
    </w:rPr>
  </w:style>
  <w:style w:type="character" w:customStyle="1" w:styleId="Heading9Char">
    <w:name w:val="Heading 9 Char"/>
    <w:basedOn w:val="DefaultParagraphFont"/>
    <w:link w:val="Heading9"/>
    <w:uiPriority w:val="1"/>
    <w:rsid w:val="00B3651E"/>
    <w:rPr>
      <w:rFonts w:asciiTheme="majorHAnsi" w:eastAsiaTheme="majorEastAsia" w:hAnsiTheme="majorHAnsi" w:cstheme="majorBidi"/>
      <w:b/>
      <w:iCs/>
      <w:color w:val="00589F"/>
      <w:sz w:val="24"/>
      <w:szCs w:val="21"/>
      <w:lang w:eastAsia="ja-JP"/>
    </w:rPr>
  </w:style>
  <w:style w:type="paragraph" w:styleId="Footer">
    <w:name w:val="footer"/>
    <w:aliases w:val="i Footer"/>
    <w:basedOn w:val="Normal"/>
    <w:link w:val="FooterChar"/>
    <w:uiPriority w:val="99"/>
    <w:unhideWhenUsed/>
    <w:qFormat/>
    <w:rsid w:val="00B3651E"/>
    <w:pPr>
      <w:spacing w:after="0"/>
      <w:contextualSpacing/>
    </w:pPr>
    <w:rPr>
      <w:b/>
      <w:color w:val="000000" w:themeColor="text1"/>
      <w:sz w:val="46"/>
      <w:lang w:eastAsia="ja-JP"/>
    </w:rPr>
  </w:style>
  <w:style w:type="character" w:customStyle="1" w:styleId="FooterChar">
    <w:name w:val="Footer Char"/>
    <w:aliases w:val="i Footer Char"/>
    <w:basedOn w:val="DefaultParagraphFont"/>
    <w:link w:val="Footer"/>
    <w:uiPriority w:val="99"/>
    <w:rsid w:val="00B3651E"/>
    <w:rPr>
      <w:b/>
      <w:color w:val="000000" w:themeColor="text1"/>
      <w:sz w:val="46"/>
      <w:lang w:eastAsia="ja-JP"/>
    </w:rPr>
  </w:style>
  <w:style w:type="paragraph" w:styleId="ListBullet">
    <w:name w:val="List Bullet"/>
    <w:basedOn w:val="Normal"/>
    <w:uiPriority w:val="5"/>
    <w:qFormat/>
    <w:rsid w:val="00B3651E"/>
    <w:pPr>
      <w:numPr>
        <w:numId w:val="7"/>
      </w:numPr>
      <w:spacing w:line="312" w:lineRule="auto"/>
      <w:contextualSpacing/>
    </w:pPr>
    <w:rPr>
      <w:color w:val="000000" w:themeColor="text1"/>
      <w:sz w:val="20"/>
      <w:lang w:eastAsia="ja-JP"/>
    </w:rPr>
  </w:style>
  <w:style w:type="table" w:styleId="TableGrid">
    <w:name w:val="Table Grid"/>
    <w:basedOn w:val="TableNormal"/>
    <w:uiPriority w:val="39"/>
    <w:rsid w:val="00B3651E"/>
    <w:rPr>
      <w:color w:val="44546A" w:themeColor="text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odernPaper">
    <w:name w:val="Modern Paper"/>
    <w:basedOn w:val="TableNormal"/>
    <w:uiPriority w:val="99"/>
    <w:rsid w:val="00B3651E"/>
    <w:pPr>
      <w:spacing w:before="200" w:after="200"/>
    </w:pPr>
    <w:rPr>
      <w:color w:val="44546A" w:themeColor="text2"/>
      <w:lang w:eastAsia="ja-JP"/>
    </w:rPr>
    <w:tblPr>
      <w:tblBorders>
        <w:insideH w:val="single" w:sz="8" w:space="0" w:color="44546A" w:themeColor="text2"/>
      </w:tblBorders>
      <w:tblCellMar>
        <w:left w:w="144" w:type="dxa"/>
        <w:right w:w="144" w:type="dxa"/>
      </w:tblCellMar>
    </w:tblPr>
    <w:tcPr>
      <w:vAlign w:val="center"/>
    </w:tcPr>
    <w:tblStylePr w:type="firstRow">
      <w:pPr>
        <w:wordWrap/>
        <w:spacing w:beforeLines="0" w:before="480" w:beforeAutospacing="0" w:afterLines="0" w:after="360" w:afterAutospacing="0" w:line="216" w:lineRule="auto"/>
        <w:contextualSpacing w:val="0"/>
      </w:pPr>
      <w:rPr>
        <w:rFonts w:asciiTheme="majorHAnsi" w:hAnsiTheme="majorHAnsi"/>
        <w:b/>
        <w:i w:val="0"/>
        <w:color w:val="1F3864" w:themeColor="accent1" w:themeShade="80"/>
        <w:sz w:val="28"/>
      </w:rPr>
      <w:tblPr/>
      <w:trPr>
        <w:tblHeader/>
      </w:trPr>
      <w:tcPr>
        <w:tcBorders>
          <w:top w:val="nil"/>
          <w:left w:val="nil"/>
          <w:bottom w:val="single" w:sz="24" w:space="0" w:color="44546A" w:themeColor="text2"/>
          <w:right w:val="nil"/>
          <w:insideH w:val="nil"/>
          <w:insideV w:val="nil"/>
          <w:tl2br w:val="nil"/>
          <w:tr2bl w:val="nil"/>
        </w:tcBorders>
      </w:tcPr>
    </w:tblStylePr>
    <w:tblStylePr w:type="firstCol">
      <w:pPr>
        <w:wordWrap/>
        <w:jc w:val="right"/>
      </w:pPr>
      <w:rPr>
        <w:b/>
      </w:rPr>
      <w:tblPr/>
      <w:tcPr>
        <w:tcMar>
          <w:top w:w="0" w:type="nil"/>
          <w:left w:w="0" w:type="nil"/>
          <w:bottom w:w="0" w:type="nil"/>
          <w:right w:w="432" w:type="dxa"/>
        </w:tcMar>
      </w:tcPr>
    </w:tblStylePr>
    <w:tblStylePr w:type="nwCell">
      <w:pPr>
        <w:wordWrap/>
        <w:jc w:val="left"/>
      </w:pPr>
    </w:tblStylePr>
  </w:style>
  <w:style w:type="character" w:styleId="Emphasis">
    <w:name w:val="Emphasis"/>
    <w:basedOn w:val="DefaultParagraphFont"/>
    <w:uiPriority w:val="20"/>
    <w:unhideWhenUsed/>
    <w:qFormat/>
    <w:rsid w:val="00B3651E"/>
    <w:rPr>
      <w:i w:val="0"/>
      <w:iCs/>
      <w:color w:val="1F3864" w:themeColor="accent1" w:themeShade="80"/>
    </w:rPr>
  </w:style>
  <w:style w:type="character" w:styleId="IntenseEmphasis">
    <w:name w:val="Intense Emphasis"/>
    <w:basedOn w:val="DefaultParagraphFont"/>
    <w:uiPriority w:val="21"/>
    <w:unhideWhenUsed/>
    <w:qFormat/>
    <w:rsid w:val="00B3651E"/>
    <w:rPr>
      <w:b/>
      <w:i/>
      <w:iCs/>
      <w:color w:val="1F3864" w:themeColor="accent1" w:themeShade="80"/>
    </w:rPr>
  </w:style>
  <w:style w:type="character" w:styleId="Strong">
    <w:name w:val="Strong"/>
    <w:basedOn w:val="DefaultParagraphFont"/>
    <w:uiPriority w:val="22"/>
    <w:unhideWhenUsed/>
    <w:qFormat/>
    <w:rsid w:val="00B3651E"/>
    <w:rPr>
      <w:b/>
      <w:bCs/>
      <w:color w:val="000000" w:themeColor="text1"/>
    </w:rPr>
  </w:style>
  <w:style w:type="character" w:styleId="SubtleReference">
    <w:name w:val="Subtle Reference"/>
    <w:basedOn w:val="DefaultParagraphFont"/>
    <w:uiPriority w:val="31"/>
    <w:unhideWhenUsed/>
    <w:qFormat/>
    <w:rsid w:val="00B3651E"/>
    <w:rPr>
      <w:caps/>
      <w:smallCaps w:val="0"/>
      <w:color w:val="44546A" w:themeColor="text2"/>
    </w:rPr>
  </w:style>
  <w:style w:type="character" w:styleId="IntenseReference">
    <w:name w:val="Intense Reference"/>
    <w:basedOn w:val="DefaultParagraphFont"/>
    <w:uiPriority w:val="32"/>
    <w:unhideWhenUsed/>
    <w:qFormat/>
    <w:rsid w:val="00B3651E"/>
    <w:rPr>
      <w:b/>
      <w:bCs/>
      <w:caps/>
      <w:smallCaps w:val="0"/>
      <w:color w:val="44546A" w:themeColor="text2"/>
      <w:spacing w:val="0"/>
    </w:rPr>
  </w:style>
  <w:style w:type="character" w:styleId="BookTitle">
    <w:name w:val="Book Title"/>
    <w:basedOn w:val="DefaultParagraphFont"/>
    <w:uiPriority w:val="33"/>
    <w:unhideWhenUsed/>
    <w:qFormat/>
    <w:rsid w:val="00B3651E"/>
    <w:rPr>
      <w:b w:val="0"/>
      <w:bCs/>
      <w:i w:val="0"/>
      <w:iCs/>
      <w:color w:val="000000" w:themeColor="text1"/>
      <w:spacing w:val="0"/>
      <w:u w:val="single"/>
    </w:rPr>
  </w:style>
  <w:style w:type="paragraph" w:styleId="Caption">
    <w:name w:val="caption"/>
    <w:basedOn w:val="Normal"/>
    <w:next w:val="Normal"/>
    <w:uiPriority w:val="35"/>
    <w:unhideWhenUsed/>
    <w:qFormat/>
    <w:rsid w:val="00B3651E"/>
    <w:pPr>
      <w:spacing w:line="312" w:lineRule="auto"/>
      <w:contextualSpacing/>
    </w:pPr>
    <w:rPr>
      <w:i/>
      <w:iCs/>
      <w:color w:val="000000" w:themeColor="text1"/>
      <w:sz w:val="20"/>
      <w:szCs w:val="18"/>
      <w:lang w:eastAsia="ja-JP"/>
    </w:rPr>
  </w:style>
  <w:style w:type="paragraph" w:styleId="TOCHeading">
    <w:name w:val="TOC Heading"/>
    <w:basedOn w:val="Heading1"/>
    <w:next w:val="Normal"/>
    <w:uiPriority w:val="39"/>
    <w:unhideWhenUsed/>
    <w:qFormat/>
    <w:rsid w:val="00B3651E"/>
    <w:pPr>
      <w:suppressAutoHyphens/>
      <w:spacing w:before="0" w:after="200"/>
      <w:contextualSpacing/>
      <w:outlineLvl w:val="9"/>
    </w:pPr>
    <w:rPr>
      <w:b/>
      <w:color w:val="00589F"/>
      <w:sz w:val="36"/>
      <w:szCs w:val="44"/>
      <w:lang w:eastAsia="ja-JP"/>
    </w:rPr>
  </w:style>
  <w:style w:type="paragraph" w:styleId="Title">
    <w:name w:val="Title"/>
    <w:basedOn w:val="Normal"/>
    <w:next w:val="Normal"/>
    <w:link w:val="TitleChar"/>
    <w:autoRedefine/>
    <w:uiPriority w:val="10"/>
    <w:unhideWhenUsed/>
    <w:qFormat/>
    <w:rsid w:val="00B3651E"/>
    <w:pPr>
      <w:spacing w:after="600"/>
      <w:contextualSpacing/>
    </w:pPr>
    <w:rPr>
      <w:rFonts w:asciiTheme="majorHAnsi" w:eastAsiaTheme="majorEastAsia" w:hAnsiTheme="majorHAnsi" w:cstheme="majorBidi"/>
      <w:b/>
      <w:color w:val="00589F"/>
      <w:kern w:val="28"/>
      <w:sz w:val="50"/>
      <w:szCs w:val="50"/>
      <w:lang w:eastAsia="ja-JP"/>
    </w:rPr>
  </w:style>
  <w:style w:type="character" w:customStyle="1" w:styleId="TitleChar">
    <w:name w:val="Title Char"/>
    <w:basedOn w:val="DefaultParagraphFont"/>
    <w:link w:val="Title"/>
    <w:uiPriority w:val="10"/>
    <w:rsid w:val="00B3651E"/>
    <w:rPr>
      <w:rFonts w:asciiTheme="majorHAnsi" w:eastAsiaTheme="majorEastAsia" w:hAnsiTheme="majorHAnsi" w:cstheme="majorBidi"/>
      <w:b/>
      <w:color w:val="00589F"/>
      <w:kern w:val="28"/>
      <w:sz w:val="50"/>
      <w:szCs w:val="50"/>
      <w:lang w:eastAsia="ja-JP"/>
    </w:rPr>
  </w:style>
  <w:style w:type="paragraph" w:styleId="Subtitle">
    <w:name w:val="Subtitle"/>
    <w:basedOn w:val="Normal"/>
    <w:next w:val="Normal"/>
    <w:link w:val="SubtitleChar"/>
    <w:uiPriority w:val="11"/>
    <w:unhideWhenUsed/>
    <w:qFormat/>
    <w:rsid w:val="00B3651E"/>
    <w:pPr>
      <w:numPr>
        <w:ilvl w:val="1"/>
      </w:numPr>
      <w:spacing w:after="1200"/>
      <w:ind w:firstLine="720"/>
      <w:contextualSpacing/>
    </w:pPr>
    <w:rPr>
      <w:rFonts w:eastAsiaTheme="minorEastAsia"/>
      <w:b/>
      <w:color w:val="1F3864" w:themeColor="accent1" w:themeShade="80"/>
      <w:sz w:val="56"/>
      <w:lang w:eastAsia="ja-JP"/>
    </w:rPr>
  </w:style>
  <w:style w:type="character" w:customStyle="1" w:styleId="SubtitleChar">
    <w:name w:val="Subtitle Char"/>
    <w:basedOn w:val="DefaultParagraphFont"/>
    <w:link w:val="Subtitle"/>
    <w:uiPriority w:val="11"/>
    <w:rsid w:val="00B3651E"/>
    <w:rPr>
      <w:rFonts w:eastAsiaTheme="minorEastAsia"/>
      <w:b/>
      <w:color w:val="1F3864" w:themeColor="accent1" w:themeShade="80"/>
      <w:sz w:val="56"/>
      <w:lang w:eastAsia="ja-JP"/>
    </w:rPr>
  </w:style>
  <w:style w:type="character" w:styleId="PlaceholderText">
    <w:name w:val="Placeholder Text"/>
    <w:basedOn w:val="DefaultParagraphFont"/>
    <w:uiPriority w:val="99"/>
    <w:semiHidden/>
    <w:rsid w:val="00B3651E"/>
    <w:rPr>
      <w:color w:val="595959" w:themeColor="text1" w:themeTint="A6"/>
    </w:rPr>
  </w:style>
  <w:style w:type="character" w:styleId="SubtleEmphasis">
    <w:name w:val="Subtle Emphasis"/>
    <w:basedOn w:val="DefaultParagraphFont"/>
    <w:uiPriority w:val="19"/>
    <w:unhideWhenUsed/>
    <w:qFormat/>
    <w:rsid w:val="00B3651E"/>
    <w:rPr>
      <w:i/>
      <w:iCs/>
      <w:color w:val="44546A" w:themeColor="text2"/>
    </w:rPr>
  </w:style>
  <w:style w:type="paragraph" w:styleId="Quote">
    <w:name w:val="Quote"/>
    <w:basedOn w:val="Normal"/>
    <w:next w:val="Normal"/>
    <w:link w:val="QuoteChar"/>
    <w:autoRedefine/>
    <w:uiPriority w:val="3"/>
    <w:unhideWhenUsed/>
    <w:qFormat/>
    <w:rsid w:val="00B3651E"/>
    <w:pPr>
      <w:spacing w:before="360" w:after="360" w:line="312" w:lineRule="auto"/>
      <w:contextualSpacing/>
    </w:pPr>
    <w:rPr>
      <w:iCs/>
      <w:color w:val="000000" w:themeColor="text1"/>
      <w:sz w:val="38"/>
      <w:lang w:val="en-GB" w:eastAsia="ja-JP"/>
    </w:rPr>
  </w:style>
  <w:style w:type="character" w:customStyle="1" w:styleId="QuoteChar">
    <w:name w:val="Quote Char"/>
    <w:basedOn w:val="DefaultParagraphFont"/>
    <w:link w:val="Quote"/>
    <w:uiPriority w:val="3"/>
    <w:rsid w:val="00B3651E"/>
    <w:rPr>
      <w:iCs/>
      <w:color w:val="000000" w:themeColor="text1"/>
      <w:sz w:val="38"/>
      <w:lang w:val="en-GB" w:eastAsia="ja-JP"/>
    </w:rPr>
  </w:style>
  <w:style w:type="paragraph" w:styleId="Header">
    <w:name w:val="header"/>
    <w:basedOn w:val="Normal"/>
    <w:link w:val="HeaderChar"/>
    <w:uiPriority w:val="99"/>
    <w:unhideWhenUsed/>
    <w:qFormat/>
    <w:rsid w:val="00B3651E"/>
    <w:pPr>
      <w:spacing w:after="0"/>
      <w:contextualSpacing/>
    </w:pPr>
    <w:rPr>
      <w:color w:val="000000" w:themeColor="text1"/>
      <w:sz w:val="20"/>
      <w:lang w:eastAsia="ja-JP"/>
    </w:rPr>
  </w:style>
  <w:style w:type="character" w:customStyle="1" w:styleId="HeaderChar">
    <w:name w:val="Header Char"/>
    <w:basedOn w:val="DefaultParagraphFont"/>
    <w:link w:val="Header"/>
    <w:uiPriority w:val="99"/>
    <w:rsid w:val="00B3651E"/>
    <w:rPr>
      <w:color w:val="000000" w:themeColor="text1"/>
      <w:sz w:val="20"/>
      <w:lang w:eastAsia="ja-JP"/>
    </w:rPr>
  </w:style>
  <w:style w:type="paragraph" w:styleId="ListNumber">
    <w:name w:val="List Number"/>
    <w:basedOn w:val="Normal"/>
    <w:uiPriority w:val="6"/>
    <w:qFormat/>
    <w:rsid w:val="00B3651E"/>
    <w:pPr>
      <w:numPr>
        <w:numId w:val="6"/>
      </w:numPr>
      <w:spacing w:line="312" w:lineRule="auto"/>
      <w:contextualSpacing/>
    </w:pPr>
    <w:rPr>
      <w:color w:val="000000" w:themeColor="text1"/>
      <w:sz w:val="20"/>
      <w:lang w:eastAsia="ja-JP"/>
    </w:rPr>
  </w:style>
  <w:style w:type="paragraph" w:styleId="BlockText">
    <w:name w:val="Block Text"/>
    <w:basedOn w:val="Normal"/>
    <w:autoRedefine/>
    <w:uiPriority w:val="2"/>
    <w:unhideWhenUsed/>
    <w:qFormat/>
    <w:rsid w:val="00B3651E"/>
    <w:pPr>
      <w:spacing w:before="360" w:after="360" w:line="312" w:lineRule="auto"/>
      <w:contextualSpacing/>
    </w:pPr>
    <w:rPr>
      <w:rFonts w:eastAsiaTheme="minorEastAsia"/>
      <w:iCs/>
      <w:color w:val="000000" w:themeColor="text1"/>
      <w:sz w:val="28"/>
      <w:lang w:eastAsia="ja-JP"/>
    </w:rPr>
  </w:style>
  <w:style w:type="paragraph" w:styleId="BalloonText">
    <w:name w:val="Balloon Text"/>
    <w:basedOn w:val="Normal"/>
    <w:link w:val="BalloonTextChar"/>
    <w:uiPriority w:val="99"/>
    <w:unhideWhenUsed/>
    <w:rsid w:val="00B3651E"/>
    <w:pPr>
      <w:spacing w:after="0"/>
      <w:contextualSpacing/>
    </w:pPr>
    <w:rPr>
      <w:rFonts w:ascii="Segoe UI" w:hAnsi="Segoe UI" w:cs="Segoe UI"/>
      <w:color w:val="000000" w:themeColor="text1"/>
      <w:sz w:val="20"/>
      <w:szCs w:val="18"/>
      <w:lang w:eastAsia="ja-JP"/>
    </w:rPr>
  </w:style>
  <w:style w:type="character" w:customStyle="1" w:styleId="BalloonTextChar">
    <w:name w:val="Balloon Text Char"/>
    <w:basedOn w:val="DefaultParagraphFont"/>
    <w:link w:val="BalloonText"/>
    <w:uiPriority w:val="99"/>
    <w:rsid w:val="00B3651E"/>
    <w:rPr>
      <w:rFonts w:ascii="Segoe UI" w:hAnsi="Segoe UI" w:cs="Segoe UI"/>
      <w:color w:val="000000" w:themeColor="text1"/>
      <w:sz w:val="20"/>
      <w:szCs w:val="18"/>
      <w:lang w:eastAsia="ja-JP"/>
    </w:rPr>
  </w:style>
  <w:style w:type="paragraph" w:styleId="BodyText3">
    <w:name w:val="Body Text 3"/>
    <w:basedOn w:val="Normal"/>
    <w:link w:val="BodyText3Char"/>
    <w:uiPriority w:val="99"/>
    <w:unhideWhenUsed/>
    <w:rsid w:val="00B3651E"/>
    <w:pPr>
      <w:spacing w:line="312" w:lineRule="auto"/>
      <w:contextualSpacing/>
    </w:pPr>
    <w:rPr>
      <w:color w:val="000000" w:themeColor="text1"/>
      <w:sz w:val="20"/>
      <w:szCs w:val="16"/>
      <w:lang w:eastAsia="ja-JP"/>
    </w:rPr>
  </w:style>
  <w:style w:type="character" w:customStyle="1" w:styleId="BodyText3Char">
    <w:name w:val="Body Text 3 Char"/>
    <w:basedOn w:val="DefaultParagraphFont"/>
    <w:link w:val="BodyText3"/>
    <w:uiPriority w:val="99"/>
    <w:rsid w:val="00B3651E"/>
    <w:rPr>
      <w:color w:val="000000" w:themeColor="text1"/>
      <w:sz w:val="20"/>
      <w:szCs w:val="16"/>
      <w:lang w:eastAsia="ja-JP"/>
    </w:rPr>
  </w:style>
  <w:style w:type="paragraph" w:styleId="BodyTextIndent3">
    <w:name w:val="Body Text Indent 3"/>
    <w:basedOn w:val="Normal"/>
    <w:link w:val="BodyTextIndent3Char"/>
    <w:uiPriority w:val="99"/>
    <w:semiHidden/>
    <w:unhideWhenUsed/>
    <w:rsid w:val="00B3651E"/>
    <w:pPr>
      <w:spacing w:line="312" w:lineRule="auto"/>
      <w:ind w:left="360"/>
      <w:contextualSpacing/>
    </w:pPr>
    <w:rPr>
      <w:color w:val="000000" w:themeColor="text1"/>
      <w:sz w:val="20"/>
      <w:szCs w:val="16"/>
      <w:lang w:eastAsia="ja-JP"/>
    </w:rPr>
  </w:style>
  <w:style w:type="character" w:customStyle="1" w:styleId="BodyTextIndent3Char">
    <w:name w:val="Body Text Indent 3 Char"/>
    <w:basedOn w:val="DefaultParagraphFont"/>
    <w:link w:val="BodyTextIndent3"/>
    <w:uiPriority w:val="99"/>
    <w:semiHidden/>
    <w:rsid w:val="00B3651E"/>
    <w:rPr>
      <w:color w:val="000000" w:themeColor="text1"/>
      <w:sz w:val="20"/>
      <w:szCs w:val="16"/>
      <w:lang w:eastAsia="ja-JP"/>
    </w:rPr>
  </w:style>
  <w:style w:type="character" w:styleId="CommentReference">
    <w:name w:val="annotation reference"/>
    <w:basedOn w:val="DefaultParagraphFont"/>
    <w:unhideWhenUsed/>
    <w:rsid w:val="00B3651E"/>
    <w:rPr>
      <w:color w:val="000000" w:themeColor="text1"/>
      <w:sz w:val="22"/>
      <w:szCs w:val="16"/>
    </w:rPr>
  </w:style>
  <w:style w:type="paragraph" w:styleId="CommentText">
    <w:name w:val="annotation text"/>
    <w:basedOn w:val="Normal"/>
    <w:link w:val="CommentTextChar"/>
    <w:unhideWhenUsed/>
    <w:rsid w:val="00B3651E"/>
    <w:pPr>
      <w:contextualSpacing/>
    </w:pPr>
    <w:rPr>
      <w:color w:val="000000" w:themeColor="text1"/>
      <w:sz w:val="20"/>
      <w:szCs w:val="20"/>
      <w:lang w:eastAsia="ja-JP"/>
    </w:rPr>
  </w:style>
  <w:style w:type="character" w:customStyle="1" w:styleId="CommentTextChar">
    <w:name w:val="Comment Text Char"/>
    <w:basedOn w:val="DefaultParagraphFont"/>
    <w:link w:val="CommentText"/>
    <w:rsid w:val="00B3651E"/>
    <w:rPr>
      <w:color w:val="000000" w:themeColor="text1"/>
      <w:sz w:val="20"/>
      <w:szCs w:val="20"/>
      <w:lang w:eastAsia="ja-JP"/>
    </w:rPr>
  </w:style>
  <w:style w:type="paragraph" w:styleId="CommentSubject">
    <w:name w:val="annotation subject"/>
    <w:basedOn w:val="CommentText"/>
    <w:next w:val="CommentText"/>
    <w:link w:val="CommentSubjectChar"/>
    <w:uiPriority w:val="99"/>
    <w:semiHidden/>
    <w:unhideWhenUsed/>
    <w:rsid w:val="00B3651E"/>
    <w:rPr>
      <w:b/>
      <w:bCs/>
    </w:rPr>
  </w:style>
  <w:style w:type="character" w:customStyle="1" w:styleId="CommentSubjectChar">
    <w:name w:val="Comment Subject Char"/>
    <w:basedOn w:val="CommentTextChar"/>
    <w:link w:val="CommentSubject"/>
    <w:uiPriority w:val="99"/>
    <w:semiHidden/>
    <w:rsid w:val="00B3651E"/>
    <w:rPr>
      <w:b/>
      <w:bCs/>
      <w:color w:val="000000" w:themeColor="text1"/>
      <w:sz w:val="20"/>
      <w:szCs w:val="20"/>
      <w:lang w:eastAsia="ja-JP"/>
    </w:rPr>
  </w:style>
  <w:style w:type="paragraph" w:styleId="DocumentMap">
    <w:name w:val="Document Map"/>
    <w:basedOn w:val="Normal"/>
    <w:link w:val="DocumentMapChar"/>
    <w:uiPriority w:val="99"/>
    <w:semiHidden/>
    <w:unhideWhenUsed/>
    <w:rsid w:val="00B3651E"/>
    <w:pPr>
      <w:spacing w:after="0"/>
      <w:contextualSpacing/>
    </w:pPr>
    <w:rPr>
      <w:rFonts w:ascii="Segoe UI" w:hAnsi="Segoe UI" w:cs="Segoe UI"/>
      <w:color w:val="000000" w:themeColor="text1"/>
      <w:sz w:val="20"/>
      <w:szCs w:val="16"/>
      <w:lang w:eastAsia="ja-JP"/>
    </w:rPr>
  </w:style>
  <w:style w:type="character" w:customStyle="1" w:styleId="DocumentMapChar">
    <w:name w:val="Document Map Char"/>
    <w:basedOn w:val="DefaultParagraphFont"/>
    <w:link w:val="DocumentMap"/>
    <w:uiPriority w:val="99"/>
    <w:semiHidden/>
    <w:rsid w:val="00B3651E"/>
    <w:rPr>
      <w:rFonts w:ascii="Segoe UI" w:hAnsi="Segoe UI" w:cs="Segoe UI"/>
      <w:color w:val="000000" w:themeColor="text1"/>
      <w:sz w:val="20"/>
      <w:szCs w:val="16"/>
      <w:lang w:eastAsia="ja-JP"/>
    </w:rPr>
  </w:style>
  <w:style w:type="paragraph" w:styleId="EndnoteText">
    <w:name w:val="endnote text"/>
    <w:basedOn w:val="Normal"/>
    <w:link w:val="EndnoteTextChar"/>
    <w:uiPriority w:val="99"/>
    <w:unhideWhenUsed/>
    <w:rsid w:val="00B3651E"/>
    <w:pPr>
      <w:spacing w:after="0"/>
      <w:contextualSpacing/>
    </w:pPr>
    <w:rPr>
      <w:color w:val="000000" w:themeColor="text1"/>
      <w:sz w:val="20"/>
      <w:szCs w:val="20"/>
      <w:lang w:eastAsia="ja-JP"/>
    </w:rPr>
  </w:style>
  <w:style w:type="character" w:customStyle="1" w:styleId="EndnoteTextChar">
    <w:name w:val="Endnote Text Char"/>
    <w:basedOn w:val="DefaultParagraphFont"/>
    <w:link w:val="EndnoteText"/>
    <w:uiPriority w:val="99"/>
    <w:rsid w:val="00B3651E"/>
    <w:rPr>
      <w:color w:val="000000" w:themeColor="text1"/>
      <w:sz w:val="20"/>
      <w:szCs w:val="20"/>
      <w:lang w:eastAsia="ja-JP"/>
    </w:rPr>
  </w:style>
  <w:style w:type="paragraph" w:styleId="EnvelopeReturn">
    <w:name w:val="envelope return"/>
    <w:basedOn w:val="Normal"/>
    <w:uiPriority w:val="99"/>
    <w:semiHidden/>
    <w:unhideWhenUsed/>
    <w:rsid w:val="00B3651E"/>
    <w:pPr>
      <w:spacing w:after="0"/>
      <w:contextualSpacing/>
    </w:pPr>
    <w:rPr>
      <w:rFonts w:asciiTheme="majorHAnsi" w:eastAsiaTheme="majorEastAsia" w:hAnsiTheme="majorHAnsi" w:cstheme="majorBidi"/>
      <w:color w:val="000000" w:themeColor="text1"/>
      <w:sz w:val="20"/>
      <w:szCs w:val="20"/>
      <w:lang w:eastAsia="ja-JP"/>
    </w:rPr>
  </w:style>
  <w:style w:type="paragraph" w:styleId="FootnoteText">
    <w:name w:val="footnote text"/>
    <w:basedOn w:val="Normal"/>
    <w:link w:val="FootnoteTextChar"/>
    <w:uiPriority w:val="99"/>
    <w:semiHidden/>
    <w:unhideWhenUsed/>
    <w:rsid w:val="00B3651E"/>
    <w:pPr>
      <w:spacing w:after="0"/>
      <w:contextualSpacing/>
    </w:pPr>
    <w:rPr>
      <w:color w:val="000000" w:themeColor="text1"/>
      <w:sz w:val="20"/>
      <w:szCs w:val="20"/>
      <w:lang w:eastAsia="ja-JP"/>
    </w:rPr>
  </w:style>
  <w:style w:type="character" w:customStyle="1" w:styleId="FootnoteTextChar">
    <w:name w:val="Footnote Text Char"/>
    <w:basedOn w:val="DefaultParagraphFont"/>
    <w:link w:val="FootnoteText"/>
    <w:uiPriority w:val="99"/>
    <w:semiHidden/>
    <w:rsid w:val="00B3651E"/>
    <w:rPr>
      <w:color w:val="000000" w:themeColor="text1"/>
      <w:sz w:val="20"/>
      <w:szCs w:val="20"/>
      <w:lang w:eastAsia="ja-JP"/>
    </w:rPr>
  </w:style>
  <w:style w:type="character" w:styleId="HTMLCode">
    <w:name w:val="HTML Code"/>
    <w:basedOn w:val="DefaultParagraphFont"/>
    <w:uiPriority w:val="99"/>
    <w:semiHidden/>
    <w:unhideWhenUsed/>
    <w:rsid w:val="00B3651E"/>
    <w:rPr>
      <w:rFonts w:ascii="Consolas" w:hAnsi="Consolas"/>
      <w:color w:val="000000" w:themeColor="text1"/>
      <w:sz w:val="22"/>
      <w:szCs w:val="20"/>
    </w:rPr>
  </w:style>
  <w:style w:type="character" w:styleId="HTMLKeyboard">
    <w:name w:val="HTML Keyboard"/>
    <w:basedOn w:val="DefaultParagraphFont"/>
    <w:uiPriority w:val="99"/>
    <w:semiHidden/>
    <w:unhideWhenUsed/>
    <w:rsid w:val="00B3651E"/>
    <w:rPr>
      <w:rFonts w:ascii="Consolas" w:hAnsi="Consolas"/>
      <w:color w:val="000000" w:themeColor="text1"/>
      <w:sz w:val="22"/>
      <w:szCs w:val="20"/>
    </w:rPr>
  </w:style>
  <w:style w:type="paragraph" w:styleId="HTMLPreformatted">
    <w:name w:val="HTML Preformatted"/>
    <w:basedOn w:val="Normal"/>
    <w:link w:val="HTMLPreformattedChar"/>
    <w:uiPriority w:val="99"/>
    <w:semiHidden/>
    <w:unhideWhenUsed/>
    <w:rsid w:val="00B3651E"/>
    <w:pPr>
      <w:spacing w:after="0"/>
      <w:contextualSpacing/>
    </w:pPr>
    <w:rPr>
      <w:rFonts w:ascii="Consolas" w:hAnsi="Consolas"/>
      <w:color w:val="000000" w:themeColor="text1"/>
      <w:sz w:val="20"/>
      <w:szCs w:val="20"/>
      <w:lang w:eastAsia="ja-JP"/>
    </w:rPr>
  </w:style>
  <w:style w:type="character" w:customStyle="1" w:styleId="HTMLPreformattedChar">
    <w:name w:val="HTML Preformatted Char"/>
    <w:basedOn w:val="DefaultParagraphFont"/>
    <w:link w:val="HTMLPreformatted"/>
    <w:uiPriority w:val="99"/>
    <w:semiHidden/>
    <w:rsid w:val="00B3651E"/>
    <w:rPr>
      <w:rFonts w:ascii="Consolas" w:hAnsi="Consolas"/>
      <w:color w:val="000000" w:themeColor="text1"/>
      <w:sz w:val="20"/>
      <w:szCs w:val="20"/>
      <w:lang w:eastAsia="ja-JP"/>
    </w:rPr>
  </w:style>
  <w:style w:type="character" w:styleId="HTMLTypewriter">
    <w:name w:val="HTML Typewriter"/>
    <w:basedOn w:val="DefaultParagraphFont"/>
    <w:uiPriority w:val="99"/>
    <w:semiHidden/>
    <w:unhideWhenUsed/>
    <w:rsid w:val="00B3651E"/>
    <w:rPr>
      <w:rFonts w:ascii="Consolas" w:hAnsi="Consolas"/>
      <w:color w:val="000000" w:themeColor="text1"/>
      <w:sz w:val="22"/>
      <w:szCs w:val="20"/>
    </w:rPr>
  </w:style>
  <w:style w:type="paragraph" w:styleId="MacroText">
    <w:name w:val="macro"/>
    <w:link w:val="MacroTextChar"/>
    <w:uiPriority w:val="99"/>
    <w:semiHidden/>
    <w:unhideWhenUsed/>
    <w:rsid w:val="00B3651E"/>
    <w:pPr>
      <w:tabs>
        <w:tab w:val="left" w:pos="480"/>
        <w:tab w:val="left" w:pos="960"/>
        <w:tab w:val="left" w:pos="1440"/>
        <w:tab w:val="left" w:pos="1920"/>
        <w:tab w:val="left" w:pos="2400"/>
        <w:tab w:val="left" w:pos="2880"/>
        <w:tab w:val="left" w:pos="3360"/>
        <w:tab w:val="left" w:pos="3840"/>
        <w:tab w:val="left" w:pos="4320"/>
      </w:tabs>
      <w:spacing w:line="312" w:lineRule="auto"/>
    </w:pPr>
    <w:rPr>
      <w:rFonts w:ascii="Consolas" w:hAnsi="Consolas"/>
      <w:color w:val="44546A" w:themeColor="text2"/>
      <w:szCs w:val="20"/>
      <w:lang w:eastAsia="ja-JP"/>
    </w:rPr>
  </w:style>
  <w:style w:type="character" w:customStyle="1" w:styleId="MacroTextChar">
    <w:name w:val="Macro Text Char"/>
    <w:basedOn w:val="DefaultParagraphFont"/>
    <w:link w:val="MacroText"/>
    <w:uiPriority w:val="99"/>
    <w:semiHidden/>
    <w:rsid w:val="00B3651E"/>
    <w:rPr>
      <w:rFonts w:ascii="Consolas" w:hAnsi="Consolas"/>
      <w:color w:val="44546A" w:themeColor="text2"/>
      <w:szCs w:val="20"/>
      <w:lang w:eastAsia="ja-JP"/>
    </w:rPr>
  </w:style>
  <w:style w:type="paragraph" w:styleId="PlainText">
    <w:name w:val="Plain Text"/>
    <w:basedOn w:val="Normal"/>
    <w:link w:val="PlainTextChar"/>
    <w:uiPriority w:val="99"/>
    <w:semiHidden/>
    <w:unhideWhenUsed/>
    <w:rsid w:val="00B3651E"/>
    <w:pPr>
      <w:spacing w:after="0"/>
      <w:contextualSpacing/>
    </w:pPr>
    <w:rPr>
      <w:rFonts w:ascii="Consolas" w:hAnsi="Consolas"/>
      <w:color w:val="000000" w:themeColor="text1"/>
      <w:sz w:val="20"/>
      <w:szCs w:val="21"/>
      <w:lang w:eastAsia="ja-JP"/>
    </w:rPr>
  </w:style>
  <w:style w:type="character" w:customStyle="1" w:styleId="PlainTextChar">
    <w:name w:val="Plain Text Char"/>
    <w:basedOn w:val="DefaultParagraphFont"/>
    <w:link w:val="PlainText"/>
    <w:uiPriority w:val="99"/>
    <w:semiHidden/>
    <w:rsid w:val="00B3651E"/>
    <w:rPr>
      <w:rFonts w:ascii="Consolas" w:hAnsi="Consolas"/>
      <w:color w:val="000000" w:themeColor="text1"/>
      <w:sz w:val="20"/>
      <w:szCs w:val="21"/>
      <w:lang w:eastAsia="ja-JP"/>
    </w:rPr>
  </w:style>
  <w:style w:type="character" w:styleId="Hyperlink">
    <w:name w:val="Hyperlink"/>
    <w:basedOn w:val="DefaultParagraphFont"/>
    <w:uiPriority w:val="99"/>
    <w:unhideWhenUsed/>
    <w:qFormat/>
    <w:rsid w:val="00B3651E"/>
    <w:rPr>
      <w:color w:val="00589F"/>
      <w:u w:val="single"/>
    </w:rPr>
  </w:style>
  <w:style w:type="paragraph" w:customStyle="1" w:styleId="iFooterbold">
    <w:name w:val="i Footer bold"/>
    <w:basedOn w:val="Normal"/>
    <w:autoRedefine/>
    <w:rsid w:val="00B3651E"/>
    <w:pPr>
      <w:suppressAutoHyphens/>
      <w:spacing w:before="100" w:beforeAutospacing="1" w:after="100" w:afterAutospacing="1"/>
      <w:contextualSpacing/>
    </w:pPr>
    <w:rPr>
      <w:rFonts w:ascii="Tahoma" w:hAnsi="Tahoma" w:cstheme="majorBidi"/>
      <w:b/>
      <w:color w:val="00599D"/>
      <w:sz w:val="14"/>
      <w:szCs w:val="14"/>
      <w:lang w:val="en-GB"/>
    </w:rPr>
  </w:style>
  <w:style w:type="paragraph" w:styleId="Bibliography">
    <w:name w:val="Bibliography"/>
    <w:basedOn w:val="Normal"/>
    <w:next w:val="Normal"/>
    <w:uiPriority w:val="37"/>
    <w:unhideWhenUsed/>
    <w:rsid w:val="00B3651E"/>
    <w:pPr>
      <w:spacing w:after="0"/>
      <w:ind w:left="720" w:hanging="720"/>
      <w:contextualSpacing/>
    </w:pPr>
    <w:rPr>
      <w:color w:val="000000" w:themeColor="text1"/>
      <w:sz w:val="20"/>
      <w:lang w:eastAsia="ja-JP"/>
    </w:rPr>
  </w:style>
  <w:style w:type="paragraph" w:styleId="BodyText">
    <w:name w:val="Body Text"/>
    <w:basedOn w:val="Normal"/>
    <w:link w:val="BodyTextChar"/>
    <w:uiPriority w:val="99"/>
    <w:unhideWhenUsed/>
    <w:rsid w:val="00B3651E"/>
    <w:pPr>
      <w:spacing w:line="312" w:lineRule="auto"/>
      <w:contextualSpacing/>
    </w:pPr>
    <w:rPr>
      <w:color w:val="000000" w:themeColor="text1"/>
      <w:sz w:val="20"/>
      <w:lang w:eastAsia="ja-JP"/>
    </w:rPr>
  </w:style>
  <w:style w:type="character" w:customStyle="1" w:styleId="BodyTextChar">
    <w:name w:val="Body Text Char"/>
    <w:basedOn w:val="DefaultParagraphFont"/>
    <w:link w:val="BodyText"/>
    <w:uiPriority w:val="99"/>
    <w:rsid w:val="00B3651E"/>
    <w:rPr>
      <w:color w:val="000000" w:themeColor="text1"/>
      <w:sz w:val="20"/>
      <w:lang w:eastAsia="ja-JP"/>
    </w:rPr>
  </w:style>
  <w:style w:type="paragraph" w:styleId="BodyText2">
    <w:name w:val="Body Text 2"/>
    <w:basedOn w:val="Normal"/>
    <w:link w:val="BodyText2Char"/>
    <w:uiPriority w:val="99"/>
    <w:unhideWhenUsed/>
    <w:rsid w:val="00B3651E"/>
    <w:pPr>
      <w:contextualSpacing/>
    </w:pPr>
    <w:rPr>
      <w:color w:val="000000" w:themeColor="text1"/>
      <w:sz w:val="20"/>
      <w:lang w:eastAsia="ja-JP"/>
    </w:rPr>
  </w:style>
  <w:style w:type="character" w:customStyle="1" w:styleId="BodyText2Char">
    <w:name w:val="Body Text 2 Char"/>
    <w:basedOn w:val="DefaultParagraphFont"/>
    <w:link w:val="BodyText2"/>
    <w:uiPriority w:val="99"/>
    <w:rsid w:val="00B3651E"/>
    <w:rPr>
      <w:color w:val="000000" w:themeColor="text1"/>
      <w:sz w:val="20"/>
      <w:lang w:eastAsia="ja-JP"/>
    </w:rPr>
  </w:style>
  <w:style w:type="paragraph" w:styleId="BodyTextFirstIndent">
    <w:name w:val="Body Text First Indent"/>
    <w:basedOn w:val="BodyText"/>
    <w:link w:val="BodyTextFirstIndentChar"/>
    <w:uiPriority w:val="99"/>
    <w:unhideWhenUsed/>
    <w:rsid w:val="00B3651E"/>
    <w:pPr>
      <w:spacing w:after="200"/>
      <w:ind w:firstLine="360"/>
    </w:pPr>
  </w:style>
  <w:style w:type="character" w:customStyle="1" w:styleId="BodyTextFirstIndentChar">
    <w:name w:val="Body Text First Indent Char"/>
    <w:basedOn w:val="BodyTextChar"/>
    <w:link w:val="BodyTextFirstIndent"/>
    <w:uiPriority w:val="99"/>
    <w:rsid w:val="00B3651E"/>
    <w:rPr>
      <w:color w:val="000000" w:themeColor="text1"/>
      <w:sz w:val="20"/>
      <w:lang w:eastAsia="ja-JP"/>
    </w:rPr>
  </w:style>
  <w:style w:type="paragraph" w:styleId="Date">
    <w:name w:val="Date"/>
    <w:basedOn w:val="Normal"/>
    <w:next w:val="Normal"/>
    <w:link w:val="DateChar"/>
    <w:uiPriority w:val="99"/>
    <w:unhideWhenUsed/>
    <w:rsid w:val="00B3651E"/>
    <w:pPr>
      <w:spacing w:line="312" w:lineRule="auto"/>
      <w:contextualSpacing/>
    </w:pPr>
    <w:rPr>
      <w:color w:val="000000" w:themeColor="text1"/>
      <w:sz w:val="20"/>
      <w:lang w:eastAsia="ja-JP"/>
    </w:rPr>
  </w:style>
  <w:style w:type="character" w:customStyle="1" w:styleId="DateChar">
    <w:name w:val="Date Char"/>
    <w:basedOn w:val="DefaultParagraphFont"/>
    <w:link w:val="Date"/>
    <w:uiPriority w:val="99"/>
    <w:rsid w:val="00B3651E"/>
    <w:rPr>
      <w:color w:val="000000" w:themeColor="text1"/>
      <w:sz w:val="20"/>
      <w:lang w:eastAsia="ja-JP"/>
    </w:rPr>
  </w:style>
  <w:style w:type="paragraph" w:styleId="NoteHeading">
    <w:name w:val="Note Heading"/>
    <w:basedOn w:val="Normal"/>
    <w:next w:val="Normal"/>
    <w:link w:val="NoteHeadingChar"/>
    <w:uiPriority w:val="99"/>
    <w:unhideWhenUsed/>
    <w:rsid w:val="00B3651E"/>
    <w:pPr>
      <w:spacing w:after="0"/>
      <w:contextualSpacing/>
    </w:pPr>
    <w:rPr>
      <w:color w:val="000000" w:themeColor="text1"/>
      <w:sz w:val="20"/>
      <w:lang w:eastAsia="ja-JP"/>
    </w:rPr>
  </w:style>
  <w:style w:type="character" w:customStyle="1" w:styleId="NoteHeadingChar">
    <w:name w:val="Note Heading Char"/>
    <w:basedOn w:val="DefaultParagraphFont"/>
    <w:link w:val="NoteHeading"/>
    <w:uiPriority w:val="99"/>
    <w:rsid w:val="00B3651E"/>
    <w:rPr>
      <w:color w:val="000000" w:themeColor="text1"/>
      <w:sz w:val="20"/>
      <w:lang w:eastAsia="ja-JP"/>
    </w:rPr>
  </w:style>
  <w:style w:type="paragraph" w:styleId="Salutation">
    <w:name w:val="Salutation"/>
    <w:basedOn w:val="Normal"/>
    <w:next w:val="Normal"/>
    <w:link w:val="SalutationChar"/>
    <w:uiPriority w:val="99"/>
    <w:unhideWhenUsed/>
    <w:rsid w:val="00B3651E"/>
    <w:pPr>
      <w:spacing w:line="312" w:lineRule="auto"/>
      <w:contextualSpacing/>
    </w:pPr>
    <w:rPr>
      <w:color w:val="000000" w:themeColor="text1"/>
      <w:sz w:val="20"/>
      <w:lang w:eastAsia="ja-JP"/>
    </w:rPr>
  </w:style>
  <w:style w:type="character" w:customStyle="1" w:styleId="SalutationChar">
    <w:name w:val="Salutation Char"/>
    <w:basedOn w:val="DefaultParagraphFont"/>
    <w:link w:val="Salutation"/>
    <w:uiPriority w:val="99"/>
    <w:rsid w:val="00B3651E"/>
    <w:rPr>
      <w:color w:val="000000" w:themeColor="text1"/>
      <w:sz w:val="20"/>
      <w:lang w:eastAsia="ja-JP"/>
    </w:rPr>
  </w:style>
  <w:style w:type="character" w:customStyle="1" w:styleId="UnresolvedMention1">
    <w:name w:val="Unresolved Mention1"/>
    <w:basedOn w:val="DefaultParagraphFont"/>
    <w:uiPriority w:val="99"/>
    <w:unhideWhenUsed/>
    <w:rsid w:val="00B3651E"/>
    <w:rPr>
      <w:color w:val="605E5C"/>
      <w:shd w:val="clear" w:color="auto" w:fill="E1DFDD"/>
    </w:rPr>
  </w:style>
  <w:style w:type="paragraph" w:customStyle="1" w:styleId="Footernormal">
    <w:name w:val="Footer normal"/>
    <w:basedOn w:val="Normal"/>
    <w:autoRedefine/>
    <w:rsid w:val="00B3651E"/>
    <w:pPr>
      <w:spacing w:line="312" w:lineRule="auto"/>
      <w:contextualSpacing/>
    </w:pPr>
    <w:rPr>
      <w:color w:val="000000" w:themeColor="text1"/>
      <w:sz w:val="14"/>
      <w:szCs w:val="14"/>
      <w:lang w:eastAsia="ja-JP"/>
    </w:rPr>
  </w:style>
  <w:style w:type="paragraph" w:styleId="IntenseQuote">
    <w:name w:val="Intense Quote"/>
    <w:basedOn w:val="Normal"/>
    <w:next w:val="Normal"/>
    <w:link w:val="IntenseQuoteChar"/>
    <w:autoRedefine/>
    <w:uiPriority w:val="30"/>
    <w:unhideWhenUsed/>
    <w:qFormat/>
    <w:rsid w:val="00B3651E"/>
    <w:pPr>
      <w:pBdr>
        <w:top w:val="single" w:sz="4" w:space="10" w:color="4472C4" w:themeColor="accent1"/>
        <w:bottom w:val="single" w:sz="4" w:space="10" w:color="4472C4" w:themeColor="accent1"/>
      </w:pBdr>
      <w:spacing w:before="360" w:after="360" w:line="312" w:lineRule="auto"/>
      <w:ind w:left="864" w:right="864"/>
      <w:contextualSpacing/>
      <w:jc w:val="center"/>
    </w:pPr>
    <w:rPr>
      <w:i/>
      <w:iCs/>
      <w:color w:val="00589F"/>
      <w:sz w:val="20"/>
      <w:lang w:eastAsia="ja-JP"/>
    </w:rPr>
  </w:style>
  <w:style w:type="character" w:customStyle="1" w:styleId="IntenseQuoteChar">
    <w:name w:val="Intense Quote Char"/>
    <w:basedOn w:val="DefaultParagraphFont"/>
    <w:link w:val="IntenseQuote"/>
    <w:uiPriority w:val="30"/>
    <w:rsid w:val="00B3651E"/>
    <w:rPr>
      <w:i/>
      <w:iCs/>
      <w:color w:val="00589F"/>
      <w:sz w:val="20"/>
      <w:lang w:eastAsia="ja-JP"/>
    </w:rPr>
  </w:style>
  <w:style w:type="character" w:customStyle="1" w:styleId="SmartHyperlink1">
    <w:name w:val="Smart Hyperlink1"/>
    <w:basedOn w:val="DefaultParagraphFont"/>
    <w:uiPriority w:val="99"/>
    <w:semiHidden/>
    <w:unhideWhenUsed/>
    <w:rsid w:val="00B3651E"/>
    <w:rPr>
      <w:color w:val="4472C4" w:themeColor="accent1"/>
      <w:u w:val="dotted"/>
    </w:rPr>
  </w:style>
  <w:style w:type="character" w:styleId="FollowedHyperlink">
    <w:name w:val="FollowedHyperlink"/>
    <w:basedOn w:val="DefaultParagraphFont"/>
    <w:uiPriority w:val="99"/>
    <w:semiHidden/>
    <w:unhideWhenUsed/>
    <w:rsid w:val="00B3651E"/>
    <w:rPr>
      <w:color w:val="ED7D31" w:themeColor="accent2"/>
      <w:u w:val="single"/>
    </w:rPr>
  </w:style>
  <w:style w:type="paragraph" w:styleId="TOC1">
    <w:name w:val="toc 1"/>
    <w:basedOn w:val="Normal"/>
    <w:next w:val="Normal"/>
    <w:autoRedefine/>
    <w:uiPriority w:val="39"/>
    <w:unhideWhenUsed/>
    <w:rsid w:val="00B3651E"/>
    <w:pPr>
      <w:spacing w:before="360" w:after="0" w:line="312" w:lineRule="auto"/>
      <w:contextualSpacing/>
    </w:pPr>
    <w:rPr>
      <w:rFonts w:asciiTheme="majorHAnsi" w:hAnsiTheme="majorHAnsi" w:cs="Times New Roman (Body CS)"/>
      <w:bCs/>
      <w:color w:val="000000" w:themeColor="text1"/>
      <w:sz w:val="24"/>
      <w:szCs w:val="24"/>
      <w:lang w:eastAsia="ja-JP"/>
    </w:rPr>
  </w:style>
  <w:style w:type="paragraph" w:styleId="TOC2">
    <w:name w:val="toc 2"/>
    <w:basedOn w:val="Normal"/>
    <w:next w:val="Normal"/>
    <w:autoRedefine/>
    <w:uiPriority w:val="39"/>
    <w:unhideWhenUsed/>
    <w:rsid w:val="00B3651E"/>
    <w:pPr>
      <w:spacing w:before="240" w:after="0" w:line="312" w:lineRule="auto"/>
      <w:contextualSpacing/>
    </w:pPr>
    <w:rPr>
      <w:bCs/>
      <w:color w:val="000000" w:themeColor="text1"/>
      <w:sz w:val="20"/>
      <w:szCs w:val="20"/>
      <w:lang w:eastAsia="ja-JP"/>
    </w:rPr>
  </w:style>
  <w:style w:type="paragraph" w:styleId="TOC3">
    <w:name w:val="toc 3"/>
    <w:basedOn w:val="Normal"/>
    <w:next w:val="Normal"/>
    <w:autoRedefine/>
    <w:uiPriority w:val="39"/>
    <w:unhideWhenUsed/>
    <w:rsid w:val="00B3651E"/>
    <w:pPr>
      <w:spacing w:after="0" w:line="312" w:lineRule="auto"/>
      <w:ind w:left="200"/>
      <w:contextualSpacing/>
    </w:pPr>
    <w:rPr>
      <w:color w:val="000000" w:themeColor="text1"/>
      <w:sz w:val="20"/>
      <w:szCs w:val="20"/>
      <w:lang w:eastAsia="ja-JP"/>
    </w:rPr>
  </w:style>
  <w:style w:type="paragraph" w:styleId="TOC4">
    <w:name w:val="toc 4"/>
    <w:basedOn w:val="Normal"/>
    <w:next w:val="Normal"/>
    <w:autoRedefine/>
    <w:uiPriority w:val="39"/>
    <w:unhideWhenUsed/>
    <w:rsid w:val="00B3651E"/>
    <w:pPr>
      <w:spacing w:after="0" w:line="312" w:lineRule="auto"/>
      <w:ind w:left="400"/>
      <w:contextualSpacing/>
    </w:pPr>
    <w:rPr>
      <w:color w:val="000000" w:themeColor="text1"/>
      <w:sz w:val="20"/>
      <w:szCs w:val="20"/>
      <w:lang w:eastAsia="ja-JP"/>
    </w:rPr>
  </w:style>
  <w:style w:type="paragraph" w:styleId="TOC5">
    <w:name w:val="toc 5"/>
    <w:basedOn w:val="Normal"/>
    <w:next w:val="Normal"/>
    <w:autoRedefine/>
    <w:uiPriority w:val="39"/>
    <w:unhideWhenUsed/>
    <w:rsid w:val="00B3651E"/>
    <w:pPr>
      <w:spacing w:after="0" w:line="312" w:lineRule="auto"/>
      <w:ind w:left="600"/>
      <w:contextualSpacing/>
    </w:pPr>
    <w:rPr>
      <w:color w:val="000000" w:themeColor="text1"/>
      <w:sz w:val="20"/>
      <w:szCs w:val="20"/>
      <w:lang w:eastAsia="ja-JP"/>
    </w:rPr>
  </w:style>
  <w:style w:type="paragraph" w:styleId="TOC6">
    <w:name w:val="toc 6"/>
    <w:basedOn w:val="Normal"/>
    <w:next w:val="Normal"/>
    <w:autoRedefine/>
    <w:uiPriority w:val="39"/>
    <w:unhideWhenUsed/>
    <w:rsid w:val="00B3651E"/>
    <w:pPr>
      <w:spacing w:after="0" w:line="312" w:lineRule="auto"/>
      <w:ind w:left="800"/>
      <w:contextualSpacing/>
    </w:pPr>
    <w:rPr>
      <w:color w:val="000000" w:themeColor="text1"/>
      <w:sz w:val="20"/>
      <w:szCs w:val="20"/>
      <w:lang w:eastAsia="ja-JP"/>
    </w:rPr>
  </w:style>
  <w:style w:type="paragraph" w:styleId="TOC7">
    <w:name w:val="toc 7"/>
    <w:basedOn w:val="Normal"/>
    <w:next w:val="Normal"/>
    <w:autoRedefine/>
    <w:uiPriority w:val="39"/>
    <w:unhideWhenUsed/>
    <w:rsid w:val="00B3651E"/>
    <w:pPr>
      <w:spacing w:after="0" w:line="312" w:lineRule="auto"/>
      <w:ind w:left="1000"/>
      <w:contextualSpacing/>
    </w:pPr>
    <w:rPr>
      <w:color w:val="000000" w:themeColor="text1"/>
      <w:sz w:val="20"/>
      <w:szCs w:val="20"/>
      <w:lang w:eastAsia="ja-JP"/>
    </w:rPr>
  </w:style>
  <w:style w:type="paragraph" w:styleId="TOC8">
    <w:name w:val="toc 8"/>
    <w:basedOn w:val="Normal"/>
    <w:next w:val="Normal"/>
    <w:autoRedefine/>
    <w:uiPriority w:val="39"/>
    <w:unhideWhenUsed/>
    <w:rsid w:val="00B3651E"/>
    <w:pPr>
      <w:spacing w:after="0" w:line="312" w:lineRule="auto"/>
      <w:ind w:left="1200"/>
      <w:contextualSpacing/>
    </w:pPr>
    <w:rPr>
      <w:color w:val="000000" w:themeColor="text1"/>
      <w:sz w:val="20"/>
      <w:szCs w:val="20"/>
      <w:lang w:eastAsia="ja-JP"/>
    </w:rPr>
  </w:style>
  <w:style w:type="paragraph" w:styleId="TOC9">
    <w:name w:val="toc 9"/>
    <w:basedOn w:val="Normal"/>
    <w:next w:val="Normal"/>
    <w:autoRedefine/>
    <w:uiPriority w:val="39"/>
    <w:unhideWhenUsed/>
    <w:rsid w:val="00B3651E"/>
    <w:pPr>
      <w:spacing w:after="0" w:line="312" w:lineRule="auto"/>
      <w:ind w:left="1400"/>
      <w:contextualSpacing/>
    </w:pPr>
    <w:rPr>
      <w:color w:val="000000" w:themeColor="text1"/>
      <w:sz w:val="20"/>
      <w:szCs w:val="20"/>
      <w:lang w:eastAsia="ja-JP"/>
    </w:rPr>
  </w:style>
  <w:style w:type="table" w:styleId="GridTable1Light-Accent1">
    <w:name w:val="Grid Table 1 Light Accent 1"/>
    <w:aliases w:val="IIASA table"/>
    <w:basedOn w:val="TableNormal"/>
    <w:uiPriority w:val="46"/>
    <w:rsid w:val="00B3651E"/>
    <w:pPr>
      <w:spacing w:before="120" w:after="120"/>
      <w:ind w:left="57" w:right="57"/>
    </w:pPr>
    <w:rPr>
      <w:rFonts w:ascii="Tahoma" w:hAnsi="Tahoma"/>
      <w:sz w:val="20"/>
      <w:szCs w:val="24"/>
      <w:lang w:val="en-GB"/>
    </w:rPr>
    <w:tblPr>
      <w:tblStyleRowBandSize w:val="1"/>
      <w:tblStyleColBandSize w:val="1"/>
      <w:tblBorders>
        <w:top w:val="single" w:sz="4" w:space="0" w:color="00599D"/>
        <w:left w:val="single" w:sz="4" w:space="0" w:color="00599D"/>
        <w:bottom w:val="single" w:sz="4" w:space="0" w:color="00599D"/>
        <w:right w:val="single" w:sz="4" w:space="0" w:color="00599D"/>
        <w:insideH w:val="single" w:sz="4" w:space="0" w:color="00599D"/>
        <w:insideV w:val="single" w:sz="4" w:space="0" w:color="00599D"/>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ListParagraph">
    <w:name w:val="List Paragraph"/>
    <w:basedOn w:val="Normal"/>
    <w:uiPriority w:val="34"/>
    <w:unhideWhenUsed/>
    <w:qFormat/>
    <w:rsid w:val="00B3651E"/>
    <w:pPr>
      <w:spacing w:line="312" w:lineRule="auto"/>
      <w:ind w:left="720"/>
      <w:contextualSpacing/>
    </w:pPr>
    <w:rPr>
      <w:color w:val="000000" w:themeColor="text1"/>
      <w:sz w:val="20"/>
      <w:lang w:eastAsia="ja-JP"/>
    </w:rPr>
  </w:style>
  <w:style w:type="table" w:styleId="PlainTable4">
    <w:name w:val="Plain Table 4"/>
    <w:basedOn w:val="TableNormal"/>
    <w:uiPriority w:val="44"/>
    <w:rsid w:val="00B3651E"/>
    <w:rPr>
      <w:color w:val="44546A" w:themeColor="text2"/>
      <w:lang w:eastAsia="ja-JP"/>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oterbold">
    <w:name w:val="Footer bold"/>
    <w:basedOn w:val="Normal"/>
    <w:rsid w:val="00B3651E"/>
    <w:pPr>
      <w:suppressAutoHyphens/>
      <w:spacing w:after="0" w:line="276" w:lineRule="auto"/>
      <w:contextualSpacing/>
    </w:pPr>
    <w:rPr>
      <w:rFonts w:ascii="Tahoma" w:hAnsi="Tahoma" w:cs="Tahoma"/>
      <w:b/>
      <w:color w:val="00599D"/>
      <w:sz w:val="14"/>
      <w:szCs w:val="14"/>
    </w:rPr>
  </w:style>
  <w:style w:type="character" w:customStyle="1" w:styleId="Highlight-BoldBlue">
    <w:name w:val="Highlight-BoldBlue"/>
    <w:uiPriority w:val="1"/>
    <w:qFormat/>
    <w:rsid w:val="00B3651E"/>
    <w:rPr>
      <w:b/>
      <w:color w:val="005AA0"/>
    </w:rPr>
  </w:style>
  <w:style w:type="paragraph" w:customStyle="1" w:styleId="Titleofdoc">
    <w:name w:val="Title of doc"/>
    <w:autoRedefine/>
    <w:rsid w:val="00B3651E"/>
    <w:pPr>
      <w:spacing w:after="200" w:line="312" w:lineRule="auto"/>
    </w:pPr>
    <w:rPr>
      <w:rFonts w:asciiTheme="majorHAnsi" w:eastAsiaTheme="majorEastAsia" w:hAnsiTheme="majorHAnsi" w:cstheme="majorBidi"/>
      <w:b/>
      <w:color w:val="00589F"/>
      <w:sz w:val="44"/>
      <w:szCs w:val="44"/>
      <w:lang w:eastAsia="ja-JP"/>
    </w:rPr>
  </w:style>
  <w:style w:type="character" w:styleId="PageNumber">
    <w:name w:val="page number"/>
    <w:basedOn w:val="DefaultParagraphFont"/>
    <w:uiPriority w:val="99"/>
    <w:unhideWhenUsed/>
    <w:qFormat/>
    <w:rsid w:val="00B3651E"/>
    <w:rPr>
      <w:sz w:val="15"/>
    </w:rPr>
  </w:style>
  <w:style w:type="paragraph" w:customStyle="1" w:styleId="Heading0-Notlisted">
    <w:name w:val="Heading 0 - Not listed"/>
    <w:basedOn w:val="Heading6"/>
    <w:autoRedefine/>
    <w:rsid w:val="00B3651E"/>
  </w:style>
  <w:style w:type="paragraph" w:styleId="Index1">
    <w:name w:val="index 1"/>
    <w:basedOn w:val="Normal"/>
    <w:next w:val="Normal"/>
    <w:autoRedefine/>
    <w:uiPriority w:val="99"/>
    <w:semiHidden/>
    <w:unhideWhenUsed/>
    <w:rsid w:val="00B3651E"/>
    <w:pPr>
      <w:spacing w:after="0"/>
      <w:ind w:left="200" w:hanging="200"/>
      <w:contextualSpacing/>
    </w:pPr>
    <w:rPr>
      <w:color w:val="000000" w:themeColor="text1"/>
      <w:sz w:val="20"/>
      <w:lang w:eastAsia="ja-JP"/>
    </w:rPr>
  </w:style>
  <w:style w:type="character" w:styleId="FootnoteReference">
    <w:name w:val="footnote reference"/>
    <w:basedOn w:val="DefaultParagraphFont"/>
    <w:uiPriority w:val="99"/>
    <w:semiHidden/>
    <w:unhideWhenUsed/>
    <w:rsid w:val="00B3651E"/>
    <w:rPr>
      <w:vertAlign w:val="superscript"/>
    </w:rPr>
  </w:style>
  <w:style w:type="paragraph" w:customStyle="1" w:styleId="SMText">
    <w:name w:val="SM Text"/>
    <w:basedOn w:val="Normal"/>
    <w:qFormat/>
    <w:rsid w:val="00B3651E"/>
    <w:pPr>
      <w:spacing w:after="0"/>
      <w:ind w:firstLine="480"/>
    </w:pPr>
    <w:rPr>
      <w:rFonts w:ascii="Times New Roman" w:eastAsia="Times New Roman" w:hAnsi="Times New Roman" w:cs="Times New Roman"/>
      <w:sz w:val="24"/>
      <w:szCs w:val="20"/>
    </w:rPr>
  </w:style>
  <w:style w:type="table" w:styleId="TableGridLight">
    <w:name w:val="Grid Table Light"/>
    <w:basedOn w:val="TableNormal"/>
    <w:uiPriority w:val="40"/>
    <w:rsid w:val="00B3651E"/>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B3651E"/>
    <w:rPr>
      <w:color w:val="000000" w:themeColor="text1"/>
      <w:sz w:val="20"/>
      <w:lang w:eastAsia="ja-JP"/>
    </w:rPr>
  </w:style>
  <w:style w:type="character" w:styleId="EndnoteReference">
    <w:name w:val="endnote reference"/>
    <w:basedOn w:val="DefaultParagraphFont"/>
    <w:uiPriority w:val="99"/>
    <w:semiHidden/>
    <w:unhideWhenUsed/>
    <w:rsid w:val="007F5696"/>
    <w:rPr>
      <w:vertAlign w:val="superscript"/>
    </w:rPr>
  </w:style>
  <w:style w:type="paragraph" w:customStyle="1" w:styleId="L0HeadTitle">
    <w:name w:val="L0 Head Title"/>
    <w:basedOn w:val="Normal"/>
    <w:link w:val="L0HeadTitleChar"/>
    <w:qFormat/>
    <w:rsid w:val="003C5D34"/>
    <w:pPr>
      <w:spacing w:after="0"/>
      <w:ind w:firstLine="0"/>
    </w:pPr>
    <w:rPr>
      <w:rFonts w:ascii="Times New Roman Bold" w:hAnsi="Times New Roman Bold" w:cs="Times New Roman"/>
      <w:b/>
      <w:bCs/>
      <w:sz w:val="28"/>
      <w:szCs w:val="28"/>
    </w:rPr>
  </w:style>
  <w:style w:type="character" w:customStyle="1" w:styleId="L0HeadTitleChar">
    <w:name w:val="L0 Head Title Char"/>
    <w:basedOn w:val="DefaultParagraphFont"/>
    <w:link w:val="L0HeadTitle"/>
    <w:rsid w:val="003C5D34"/>
    <w:rPr>
      <w:rFonts w:ascii="Times New Roman Bold" w:hAnsi="Times New Roman Bold" w:cs="Times New Roman"/>
      <w:b/>
      <w:bCs/>
      <w:sz w:val="28"/>
      <w:szCs w:val="28"/>
    </w:rPr>
  </w:style>
  <w:style w:type="paragraph" w:customStyle="1" w:styleId="L1Head">
    <w:name w:val="L1 Head"/>
    <w:basedOn w:val="Heading1"/>
    <w:link w:val="L1HeadChar"/>
    <w:qFormat/>
    <w:rsid w:val="003C5D34"/>
    <w:pPr>
      <w:spacing w:before="0"/>
    </w:pPr>
    <w:rPr>
      <w:rFonts w:ascii="Times New Roman Bold" w:eastAsiaTheme="minorHAnsi" w:hAnsi="Times New Roman Bold" w:cstheme="minorBidi"/>
      <w:b/>
      <w:caps/>
      <w:color w:val="auto"/>
      <w:kern w:val="4"/>
      <w:sz w:val="26"/>
      <w:szCs w:val="44"/>
      <w14:ligatures w14:val="standardContextual"/>
    </w:rPr>
  </w:style>
  <w:style w:type="character" w:customStyle="1" w:styleId="L1HeadChar">
    <w:name w:val="L1 Head Char"/>
    <w:basedOn w:val="DefaultParagraphFont"/>
    <w:link w:val="L1Head"/>
    <w:rsid w:val="003C5D34"/>
    <w:rPr>
      <w:rFonts w:ascii="Times New Roman Bold" w:hAnsi="Times New Roman Bold"/>
      <w:b/>
      <w:caps/>
      <w:kern w:val="4"/>
      <w:sz w:val="26"/>
      <w:szCs w:val="44"/>
      <w14:ligatures w14:val="standardContextual"/>
    </w:rPr>
  </w:style>
  <w:style w:type="paragraph" w:customStyle="1" w:styleId="PRPRManIndent">
    <w:name w:val="PRPR Man Indent"/>
    <w:basedOn w:val="Normal"/>
    <w:link w:val="PRPRManIndentChar"/>
    <w:qFormat/>
    <w:rsid w:val="003C5D34"/>
    <w:pPr>
      <w:widowControl w:val="0"/>
      <w:spacing w:after="0"/>
    </w:pPr>
    <w:rPr>
      <w:rFonts w:ascii="Times New Roman" w:hAnsi="Times New Roman" w:cs="Times New Roman"/>
      <w:kern w:val="2"/>
      <w:sz w:val="24"/>
      <w:szCs w:val="24"/>
      <w14:ligatures w14:val="standardContextual"/>
    </w:rPr>
  </w:style>
  <w:style w:type="character" w:customStyle="1" w:styleId="PRPRManIndentChar">
    <w:name w:val="PRPR Man Indent Char"/>
    <w:basedOn w:val="DefaultParagraphFont"/>
    <w:link w:val="PRPRManIndent"/>
    <w:rsid w:val="003C5D34"/>
    <w:rPr>
      <w:rFonts w:ascii="Times New Roman" w:hAnsi="Times New Roman" w:cs="Times New Roman"/>
      <w:kern w:val="2"/>
      <w:sz w:val="24"/>
      <w:szCs w:val="24"/>
      <w14:ligatures w14:val="standardContextual"/>
    </w:rPr>
  </w:style>
  <w:style w:type="paragraph" w:customStyle="1" w:styleId="L2Head">
    <w:name w:val="L2 Head"/>
    <w:basedOn w:val="PRPRManIndent"/>
    <w:link w:val="L2HeadChar"/>
    <w:qFormat/>
    <w:rsid w:val="003C5D34"/>
    <w:pPr>
      <w:keepNext/>
      <w:spacing w:before="120"/>
      <w:ind w:firstLine="0"/>
    </w:pPr>
    <w:rPr>
      <w:rFonts w:ascii="Times New Roman Bold" w:hAnsi="Times New Roman Bold"/>
      <w:b/>
      <w:bCs/>
      <w:i/>
      <w:iCs/>
    </w:rPr>
  </w:style>
  <w:style w:type="character" w:customStyle="1" w:styleId="L2HeadChar">
    <w:name w:val="L2 Head Char"/>
    <w:basedOn w:val="DefaultParagraphFont"/>
    <w:link w:val="L2Head"/>
    <w:rsid w:val="003C5D34"/>
    <w:rPr>
      <w:rFonts w:ascii="Times New Roman Bold" w:hAnsi="Times New Roman Bold" w:cs="Times New Roman"/>
      <w:b/>
      <w:bCs/>
      <w:i/>
      <w:iCs/>
      <w:kern w:val="2"/>
      <w:sz w:val="24"/>
      <w:szCs w:val="24"/>
      <w14:ligatures w14:val="standardContextual"/>
    </w:rPr>
  </w:style>
  <w:style w:type="paragraph" w:customStyle="1" w:styleId="L3Head">
    <w:name w:val="L3 Head"/>
    <w:basedOn w:val="L2Head"/>
    <w:link w:val="L3HeadChar"/>
    <w:qFormat/>
    <w:rsid w:val="003C5D34"/>
    <w:pPr>
      <w:keepNext w:val="0"/>
      <w:ind w:firstLine="360"/>
    </w:pPr>
    <w:rPr>
      <w:bCs w:val="0"/>
      <w:i w:val="0"/>
    </w:rPr>
  </w:style>
  <w:style w:type="character" w:customStyle="1" w:styleId="L3HeadChar">
    <w:name w:val="L3 Head Char"/>
    <w:basedOn w:val="L2HeadChar"/>
    <w:link w:val="L3Head"/>
    <w:rsid w:val="003C5D34"/>
    <w:rPr>
      <w:rFonts w:ascii="Times New Roman Bold" w:hAnsi="Times New Roman Bold" w:cs="Times New Roman"/>
      <w:b/>
      <w:bCs w:val="0"/>
      <w:i w:val="0"/>
      <w:iCs/>
      <w:kern w:val="2"/>
      <w:sz w:val="24"/>
      <w:szCs w:val="24"/>
      <w14:ligatures w14:val="standardContextual"/>
    </w:rPr>
  </w:style>
  <w:style w:type="paragraph" w:customStyle="1" w:styleId="PRPRManLeft">
    <w:name w:val="PRPR Man Left"/>
    <w:basedOn w:val="PRPRManIndent"/>
    <w:link w:val="PRPRManLeftChar"/>
    <w:qFormat/>
    <w:rsid w:val="003C5D34"/>
    <w:pPr>
      <w:ind w:firstLine="0"/>
    </w:pPr>
  </w:style>
  <w:style w:type="character" w:customStyle="1" w:styleId="PRPRManLeftChar">
    <w:name w:val="PRPR Man Left Char"/>
    <w:basedOn w:val="PRPRManIndentChar"/>
    <w:link w:val="PRPRManLeft"/>
    <w:rsid w:val="003C5D34"/>
    <w:rPr>
      <w:rFonts w:ascii="Times New Roman" w:hAnsi="Times New Roman" w:cs="Times New Roman"/>
      <w:kern w:val="2"/>
      <w:sz w:val="24"/>
      <w:szCs w:val="24"/>
      <w14:ligatures w14:val="standardContextual"/>
    </w:rPr>
  </w:style>
  <w:style w:type="paragraph" w:customStyle="1" w:styleId="PRPRAbstract">
    <w:name w:val="PRPR Abstract"/>
    <w:basedOn w:val="PRPRManLeft"/>
    <w:link w:val="PRPRAbstractChar"/>
    <w:qFormat/>
    <w:rsid w:val="003C5D34"/>
    <w:pPr>
      <w:spacing w:line="240" w:lineRule="auto"/>
    </w:pPr>
  </w:style>
  <w:style w:type="character" w:customStyle="1" w:styleId="PRPRAbstractChar">
    <w:name w:val="PRPR Abstract Char"/>
    <w:basedOn w:val="PRPRManLeftChar"/>
    <w:link w:val="PRPRAbstract"/>
    <w:rsid w:val="003C5D34"/>
    <w:rPr>
      <w:rFonts w:ascii="Times New Roman" w:hAnsi="Times New Roman" w:cs="Times New Roman"/>
      <w:kern w:val="2"/>
      <w:sz w:val="24"/>
      <w:szCs w:val="24"/>
      <w14:ligatures w14:val="standardContextual"/>
    </w:rPr>
  </w:style>
  <w:style w:type="paragraph" w:customStyle="1" w:styleId="PRPRDL">
    <w:name w:val="PRPR DL"/>
    <w:basedOn w:val="Normal"/>
    <w:link w:val="PRPRDLChar"/>
    <w:qFormat/>
    <w:rsid w:val="003C5D34"/>
    <w:pPr>
      <w:spacing w:after="0" w:line="240" w:lineRule="auto"/>
      <w:ind w:firstLine="0"/>
    </w:pPr>
    <w:rPr>
      <w:rFonts w:ascii="Aptos" w:hAnsi="Aptos"/>
      <w:kern w:val="2"/>
      <w:sz w:val="24"/>
      <w:szCs w:val="24"/>
      <w14:ligatures w14:val="standardContextual"/>
    </w:rPr>
  </w:style>
  <w:style w:type="character" w:customStyle="1" w:styleId="PRPRDLChar">
    <w:name w:val="PRPR DL Char"/>
    <w:basedOn w:val="DefaultParagraphFont"/>
    <w:link w:val="PRPRDL"/>
    <w:rsid w:val="003C5D34"/>
    <w:rPr>
      <w:rFonts w:ascii="Aptos" w:hAnsi="Aptos"/>
      <w:kern w:val="2"/>
      <w:sz w:val="24"/>
      <w:szCs w:val="24"/>
      <w14:ligatures w14:val="standardContextual"/>
    </w:rPr>
  </w:style>
  <w:style w:type="numbering" w:customStyle="1" w:styleId="PRPRDLList">
    <w:name w:val="PRPR DL List"/>
    <w:uiPriority w:val="99"/>
    <w:rsid w:val="003C5D34"/>
    <w:pPr>
      <w:numPr>
        <w:numId w:val="24"/>
      </w:numPr>
    </w:pPr>
  </w:style>
  <w:style w:type="paragraph" w:customStyle="1" w:styleId="PRPRFootnote">
    <w:name w:val="PRPR Footnote"/>
    <w:basedOn w:val="FootnoteText"/>
    <w:link w:val="PRPRFootnoteChar"/>
    <w:qFormat/>
    <w:rsid w:val="003C5D34"/>
    <w:pPr>
      <w:widowControl w:val="0"/>
      <w:spacing w:after="60" w:line="240" w:lineRule="auto"/>
      <w:ind w:firstLine="0"/>
      <w:contextualSpacing w:val="0"/>
    </w:pPr>
    <w:rPr>
      <w:rFonts w:ascii="Times New Roman" w:hAnsi="Times New Roman" w:cs="Times New Roman"/>
    </w:rPr>
  </w:style>
  <w:style w:type="character" w:customStyle="1" w:styleId="PRPRFootnoteChar">
    <w:name w:val="PRPR Footnote Char"/>
    <w:basedOn w:val="FootnoteTextChar"/>
    <w:link w:val="PRPRFootnote"/>
    <w:rsid w:val="003C5D34"/>
    <w:rPr>
      <w:rFonts w:ascii="Times New Roman" w:hAnsi="Times New Roman" w:cs="Times New Roman"/>
      <w:color w:val="000000" w:themeColor="text1"/>
      <w:sz w:val="20"/>
      <w:szCs w:val="20"/>
      <w:lang w:eastAsia="ja-JP"/>
    </w:rPr>
  </w:style>
  <w:style w:type="paragraph" w:customStyle="1" w:styleId="PRPRManCenter">
    <w:name w:val="PRPR Man Center"/>
    <w:basedOn w:val="PRPRManIndent"/>
    <w:link w:val="PRPRManCenterChar"/>
    <w:qFormat/>
    <w:rsid w:val="003C5D34"/>
    <w:pPr>
      <w:ind w:firstLine="0"/>
      <w:jc w:val="center"/>
    </w:pPr>
  </w:style>
  <w:style w:type="character" w:customStyle="1" w:styleId="PRPRManCenterChar">
    <w:name w:val="PRPR Man Center Char"/>
    <w:basedOn w:val="PRPRManIndentChar"/>
    <w:link w:val="PRPRManCenter"/>
    <w:rsid w:val="003C5D34"/>
    <w:rPr>
      <w:rFonts w:ascii="Times New Roman" w:hAnsi="Times New Roman" w:cs="Times New Roman"/>
      <w:kern w:val="2"/>
      <w:sz w:val="24"/>
      <w:szCs w:val="24"/>
      <w14:ligatures w14:val="standardContextual"/>
    </w:rPr>
  </w:style>
  <w:style w:type="paragraph" w:customStyle="1" w:styleId="PRPRRefs">
    <w:name w:val="PRPR Refs"/>
    <w:basedOn w:val="Normal"/>
    <w:link w:val="PRPRRefsChar"/>
    <w:qFormat/>
    <w:rsid w:val="003C5D34"/>
    <w:pPr>
      <w:widowControl w:val="0"/>
      <w:spacing w:line="240" w:lineRule="auto"/>
      <w:ind w:left="720" w:hanging="720"/>
    </w:pPr>
    <w:rPr>
      <w:rFonts w:ascii="Times New Roman" w:eastAsia="Times New Roman" w:hAnsi="Times New Roman" w:cs="Times New Roman"/>
      <w:color w:val="222222"/>
      <w:kern w:val="2"/>
      <w:sz w:val="24"/>
      <w:szCs w:val="24"/>
      <w:shd w:val="clear" w:color="auto" w:fill="FFFFFF"/>
      <w14:ligatures w14:val="standardContextual"/>
    </w:rPr>
  </w:style>
  <w:style w:type="character" w:customStyle="1" w:styleId="PRPRRefsChar">
    <w:name w:val="PRPR Refs Char"/>
    <w:basedOn w:val="DefaultParagraphFont"/>
    <w:link w:val="PRPRRefs"/>
    <w:rsid w:val="003C5D34"/>
    <w:rPr>
      <w:rFonts w:ascii="Times New Roman" w:eastAsia="Times New Roman" w:hAnsi="Times New Roman" w:cs="Times New Roman"/>
      <w:color w:val="222222"/>
      <w:kern w:val="2"/>
      <w:sz w:val="24"/>
      <w:szCs w:val="24"/>
      <w14:ligatures w14:val="standardContextual"/>
    </w:rPr>
  </w:style>
  <w:style w:type="paragraph" w:customStyle="1" w:styleId="PRPRTabCen">
    <w:name w:val="PRPR Tab Cen"/>
    <w:basedOn w:val="Normal"/>
    <w:link w:val="PRPRTabCenChar"/>
    <w:qFormat/>
    <w:rsid w:val="003C5D34"/>
    <w:pPr>
      <w:framePr w:hSpace="144" w:wrap="around" w:vAnchor="text" w:hAnchor="margin" w:y="1"/>
      <w:widowControl w:val="0"/>
      <w:spacing w:after="0" w:line="240" w:lineRule="auto"/>
      <w:ind w:firstLine="0"/>
      <w:suppressOverlap/>
      <w:jc w:val="center"/>
    </w:pPr>
    <w:rPr>
      <w:rFonts w:ascii="Times New Roman" w:hAnsi="Times New Roman" w:cs="Times New Roman"/>
      <w:lang w:eastAsia="en-GB"/>
    </w:rPr>
  </w:style>
  <w:style w:type="character" w:customStyle="1" w:styleId="PRPRTabCenChar">
    <w:name w:val="PRPR Tab Cen Char"/>
    <w:basedOn w:val="DefaultParagraphFont"/>
    <w:link w:val="PRPRTabCen"/>
    <w:rsid w:val="003C5D34"/>
    <w:rPr>
      <w:rFonts w:ascii="Times New Roman" w:hAnsi="Times New Roman" w:cs="Times New Roman"/>
      <w:lang w:eastAsia="en-GB"/>
    </w:rPr>
  </w:style>
  <w:style w:type="paragraph" w:customStyle="1" w:styleId="PRPRTabDec">
    <w:name w:val="PRPR Tab Dec"/>
    <w:basedOn w:val="Normal"/>
    <w:link w:val="PRPRTabDecChar"/>
    <w:qFormat/>
    <w:rsid w:val="003C5D34"/>
    <w:pPr>
      <w:framePr w:hSpace="144" w:wrap="around" w:vAnchor="text" w:hAnchor="margin" w:y="1"/>
      <w:widowControl w:val="0"/>
      <w:tabs>
        <w:tab w:val="decimal" w:pos="430"/>
      </w:tabs>
      <w:spacing w:after="0" w:line="240" w:lineRule="auto"/>
      <w:ind w:firstLine="0"/>
      <w:suppressOverlap/>
    </w:pPr>
    <w:rPr>
      <w:rFonts w:ascii="Times New Roman" w:hAnsi="Times New Roman" w:cs="Times New Roman"/>
      <w:lang w:eastAsia="en-GB"/>
    </w:rPr>
  </w:style>
  <w:style w:type="character" w:customStyle="1" w:styleId="PRPRTabDecChar">
    <w:name w:val="PRPR Tab Dec Char"/>
    <w:basedOn w:val="DefaultParagraphFont"/>
    <w:link w:val="PRPRTabDec"/>
    <w:rsid w:val="003C5D34"/>
    <w:rPr>
      <w:rFonts w:ascii="Times New Roman" w:hAnsi="Times New Roman" w:cs="Times New Roman"/>
      <w:lang w:eastAsia="en-GB"/>
    </w:rPr>
  </w:style>
  <w:style w:type="paragraph" w:customStyle="1" w:styleId="PRPRTabInd1">
    <w:name w:val="PRPR Tab Ind 1"/>
    <w:basedOn w:val="Normal"/>
    <w:link w:val="PRPRTabInd1Char"/>
    <w:qFormat/>
    <w:rsid w:val="003C5D34"/>
    <w:pPr>
      <w:widowControl w:val="0"/>
      <w:spacing w:after="0" w:line="240" w:lineRule="auto"/>
      <w:ind w:firstLine="0"/>
    </w:pPr>
    <w:rPr>
      <w:rFonts w:ascii="Times New Roman" w:hAnsi="Times New Roman" w:cs="Times New Roman"/>
      <w:lang w:eastAsia="en-GB"/>
    </w:rPr>
  </w:style>
  <w:style w:type="character" w:customStyle="1" w:styleId="PRPRTabInd1Char">
    <w:name w:val="PRPR Tab Ind 1 Char"/>
    <w:basedOn w:val="DefaultParagraphFont"/>
    <w:link w:val="PRPRTabInd1"/>
    <w:rsid w:val="003C5D34"/>
    <w:rPr>
      <w:rFonts w:ascii="Times New Roman" w:hAnsi="Times New Roman" w:cs="Times New Roman"/>
      <w:lang w:eastAsia="en-GB"/>
    </w:rPr>
  </w:style>
  <w:style w:type="paragraph" w:customStyle="1" w:styleId="PRPRTabInd2">
    <w:name w:val="PRPR Tab Ind 2"/>
    <w:basedOn w:val="PRPRTabInd1"/>
    <w:next w:val="Normal"/>
    <w:link w:val="PRPRTabInd2Char"/>
    <w:qFormat/>
    <w:rsid w:val="003C5D34"/>
    <w:pPr>
      <w:ind w:left="216"/>
    </w:pPr>
  </w:style>
  <w:style w:type="character" w:customStyle="1" w:styleId="PRPRTabInd2Char">
    <w:name w:val="PRPR Tab Ind 2 Char"/>
    <w:basedOn w:val="PRPRTabInd1Char"/>
    <w:link w:val="PRPRTabInd2"/>
    <w:rsid w:val="003C5D34"/>
    <w:rPr>
      <w:rFonts w:ascii="Times New Roman" w:hAnsi="Times New Roman" w:cs="Times New Roman"/>
      <w:lang w:eastAsia="en-GB"/>
    </w:rPr>
  </w:style>
  <w:style w:type="paragraph" w:customStyle="1" w:styleId="PRPRTabInd3">
    <w:name w:val="PRPR Tab Ind 3"/>
    <w:basedOn w:val="PRPRTabInd2"/>
    <w:link w:val="PRPRTabInd3Char"/>
    <w:qFormat/>
    <w:rsid w:val="003C5D34"/>
    <w:pPr>
      <w:ind w:left="432"/>
    </w:pPr>
  </w:style>
  <w:style w:type="character" w:customStyle="1" w:styleId="PRPRTabInd3Char">
    <w:name w:val="PRPR Tab Ind 3 Char"/>
    <w:basedOn w:val="PRPRTabInd2Char"/>
    <w:link w:val="PRPRTabInd3"/>
    <w:rsid w:val="003C5D34"/>
    <w:rPr>
      <w:rFonts w:ascii="Times New Roman" w:hAnsi="Times New Roman" w:cs="Times New Roman"/>
      <w:lang w:eastAsia="en-GB"/>
    </w:rPr>
  </w:style>
  <w:style w:type="paragraph" w:customStyle="1" w:styleId="PRPRTabNote">
    <w:name w:val="PRPR Tab Note"/>
    <w:basedOn w:val="Normal"/>
    <w:link w:val="PRPRTabNoteChar"/>
    <w:qFormat/>
    <w:rsid w:val="003C5D34"/>
    <w:pPr>
      <w:spacing w:before="120" w:after="0" w:line="240" w:lineRule="auto"/>
      <w:ind w:firstLine="0"/>
    </w:pPr>
    <w:rPr>
      <w:rFonts w:ascii="Times New Roman" w:hAnsi="Times New Roman" w:cs="Times New Roman"/>
      <w:iCs/>
      <w:kern w:val="2"/>
      <w:sz w:val="20"/>
      <w:szCs w:val="20"/>
      <w14:ligatures w14:val="standardContextual"/>
    </w:rPr>
  </w:style>
  <w:style w:type="character" w:customStyle="1" w:styleId="PRPRTabNoteChar">
    <w:name w:val="PRPR Tab Note Char"/>
    <w:basedOn w:val="DefaultParagraphFont"/>
    <w:link w:val="PRPRTabNote"/>
    <w:rsid w:val="003C5D34"/>
    <w:rPr>
      <w:rFonts w:ascii="Times New Roman" w:hAnsi="Times New Roman" w:cs="Times New Roman"/>
      <w:iCs/>
      <w:kern w:val="2"/>
      <w:sz w:val="20"/>
      <w:szCs w:val="20"/>
      <w14:ligatures w14:val="standardContextual"/>
    </w:rPr>
  </w:style>
  <w:style w:type="paragraph" w:customStyle="1" w:styleId="PRPRTabSpanner">
    <w:name w:val="PRPR Tab Spanner"/>
    <w:basedOn w:val="Normal"/>
    <w:link w:val="PRPRTabSpannerChar"/>
    <w:qFormat/>
    <w:rsid w:val="003C5D34"/>
    <w:pPr>
      <w:framePr w:hSpace="144" w:wrap="around" w:vAnchor="text" w:hAnchor="margin" w:y="1"/>
      <w:widowControl w:val="0"/>
      <w:spacing w:after="0" w:line="240" w:lineRule="auto"/>
      <w:ind w:firstLine="0"/>
      <w:suppressOverlap/>
      <w:jc w:val="center"/>
    </w:pPr>
    <w:rPr>
      <w:rFonts w:ascii="Times New Roman" w:hAnsi="Times New Roman" w:cs="Times New Roman"/>
      <w:lang w:eastAsia="en-GB"/>
    </w:rPr>
  </w:style>
  <w:style w:type="character" w:customStyle="1" w:styleId="PRPRTabSpannerChar">
    <w:name w:val="PRPR Tab Spanner Char"/>
    <w:basedOn w:val="DefaultParagraphFont"/>
    <w:link w:val="PRPRTabSpanner"/>
    <w:rsid w:val="003C5D34"/>
    <w:rPr>
      <w:rFonts w:ascii="Times New Roman" w:hAnsi="Times New Roman" w:cs="Times New Roman"/>
      <w:lang w:eastAsia="en-GB"/>
    </w:rPr>
  </w:style>
  <w:style w:type="paragraph" w:customStyle="1" w:styleId="PRPRTabTitle">
    <w:name w:val="PRPR Tab Title"/>
    <w:basedOn w:val="Normal"/>
    <w:link w:val="PRPRTabTitleChar"/>
    <w:qFormat/>
    <w:rsid w:val="003C5D34"/>
    <w:pPr>
      <w:framePr w:hSpace="144" w:wrap="around" w:vAnchor="text" w:hAnchor="margin" w:y="1"/>
      <w:widowControl w:val="0"/>
      <w:spacing w:line="240" w:lineRule="auto"/>
      <w:ind w:firstLine="0"/>
      <w:suppressOverlap/>
    </w:pPr>
    <w:rPr>
      <w:rFonts w:ascii="Times New Roman" w:hAnsi="Times New Roman" w:cs="Times New Roman"/>
      <w:b/>
      <w:bCs/>
      <w:sz w:val="24"/>
      <w:szCs w:val="24"/>
    </w:rPr>
  </w:style>
  <w:style w:type="character" w:customStyle="1" w:styleId="PRPRTabTitleChar">
    <w:name w:val="PRPR Tab Title Char"/>
    <w:basedOn w:val="DefaultParagraphFont"/>
    <w:link w:val="PRPRTabTitle"/>
    <w:rsid w:val="003C5D34"/>
    <w:rPr>
      <w:rFonts w:ascii="Times New Roman" w:hAnsi="Times New Roman" w:cs="Times New Roman"/>
      <w:b/>
      <w:bCs/>
      <w:sz w:val="24"/>
      <w:szCs w:val="24"/>
    </w:rPr>
  </w:style>
  <w:style w:type="paragraph" w:customStyle="1" w:styleId="PRPREquation">
    <w:name w:val="PRPR Equation"/>
    <w:basedOn w:val="PRPRManCenter"/>
    <w:link w:val="PRPREquationChar"/>
    <w:qFormat/>
    <w:rsid w:val="003C5D34"/>
    <w:pPr>
      <w:tabs>
        <w:tab w:val="center" w:pos="4680"/>
        <w:tab w:val="right" w:pos="9000"/>
      </w:tabs>
      <w:spacing w:before="120" w:after="120"/>
    </w:pPr>
    <w:rPr>
      <w:color w:val="000000" w:themeColor="text1"/>
      <w:sz w:val="22"/>
      <w:szCs w:val="22"/>
      <w:lang w:val="en-CA"/>
    </w:rPr>
  </w:style>
  <w:style w:type="character" w:customStyle="1" w:styleId="PRPREquationChar">
    <w:name w:val="PRPR Equation Char"/>
    <w:basedOn w:val="PRPRManCenterChar"/>
    <w:link w:val="PRPREquation"/>
    <w:rsid w:val="003C5D34"/>
    <w:rPr>
      <w:rFonts w:ascii="Times New Roman" w:hAnsi="Times New Roman" w:cs="Times New Roman"/>
      <w:color w:val="000000" w:themeColor="text1"/>
      <w:kern w:val="2"/>
      <w:sz w:val="24"/>
      <w:szCs w:val="24"/>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67983">
      <w:bodyDiv w:val="1"/>
      <w:marLeft w:val="0"/>
      <w:marRight w:val="0"/>
      <w:marTop w:val="0"/>
      <w:marBottom w:val="0"/>
      <w:divBdr>
        <w:top w:val="none" w:sz="0" w:space="0" w:color="auto"/>
        <w:left w:val="none" w:sz="0" w:space="0" w:color="auto"/>
        <w:bottom w:val="none" w:sz="0" w:space="0" w:color="auto"/>
        <w:right w:val="none" w:sz="0" w:space="0" w:color="auto"/>
      </w:divBdr>
      <w:divsChild>
        <w:div w:id="843322700">
          <w:marLeft w:val="0"/>
          <w:marRight w:val="0"/>
          <w:marTop w:val="0"/>
          <w:marBottom w:val="0"/>
          <w:divBdr>
            <w:top w:val="none" w:sz="0" w:space="0" w:color="auto"/>
            <w:left w:val="none" w:sz="0" w:space="0" w:color="auto"/>
            <w:bottom w:val="none" w:sz="0" w:space="0" w:color="auto"/>
            <w:right w:val="none" w:sz="0" w:space="0" w:color="auto"/>
          </w:divBdr>
        </w:div>
      </w:divsChild>
    </w:div>
    <w:div w:id="896546007">
      <w:bodyDiv w:val="1"/>
      <w:marLeft w:val="0"/>
      <w:marRight w:val="0"/>
      <w:marTop w:val="0"/>
      <w:marBottom w:val="0"/>
      <w:divBdr>
        <w:top w:val="none" w:sz="0" w:space="0" w:color="auto"/>
        <w:left w:val="none" w:sz="0" w:space="0" w:color="auto"/>
        <w:bottom w:val="none" w:sz="0" w:space="0" w:color="auto"/>
        <w:right w:val="none" w:sz="0" w:space="0" w:color="auto"/>
      </w:divBdr>
      <w:divsChild>
        <w:div w:id="715811482">
          <w:marLeft w:val="0"/>
          <w:marRight w:val="0"/>
          <w:marTop w:val="0"/>
          <w:marBottom w:val="0"/>
          <w:divBdr>
            <w:top w:val="none" w:sz="0" w:space="0" w:color="auto"/>
            <w:left w:val="none" w:sz="0" w:space="0" w:color="auto"/>
            <w:bottom w:val="none" w:sz="0" w:space="0" w:color="auto"/>
            <w:right w:val="none" w:sz="0" w:space="0" w:color="auto"/>
          </w:divBdr>
        </w:div>
      </w:divsChild>
    </w:div>
    <w:div w:id="1385451888">
      <w:bodyDiv w:val="1"/>
      <w:marLeft w:val="0"/>
      <w:marRight w:val="0"/>
      <w:marTop w:val="0"/>
      <w:marBottom w:val="0"/>
      <w:divBdr>
        <w:top w:val="none" w:sz="0" w:space="0" w:color="auto"/>
        <w:left w:val="none" w:sz="0" w:space="0" w:color="auto"/>
        <w:bottom w:val="none" w:sz="0" w:space="0" w:color="auto"/>
        <w:right w:val="none" w:sz="0" w:space="0" w:color="auto"/>
      </w:divBdr>
      <w:divsChild>
        <w:div w:id="10567169">
          <w:marLeft w:val="0"/>
          <w:marRight w:val="0"/>
          <w:marTop w:val="0"/>
          <w:marBottom w:val="0"/>
          <w:divBdr>
            <w:top w:val="none" w:sz="0" w:space="0" w:color="auto"/>
            <w:left w:val="none" w:sz="0" w:space="0" w:color="auto"/>
            <w:bottom w:val="none" w:sz="0" w:space="0" w:color="auto"/>
            <w:right w:val="none" w:sz="0" w:space="0" w:color="auto"/>
          </w:divBdr>
        </w:div>
      </w:divsChild>
    </w:div>
    <w:div w:id="2017078021">
      <w:bodyDiv w:val="1"/>
      <w:marLeft w:val="0"/>
      <w:marRight w:val="0"/>
      <w:marTop w:val="0"/>
      <w:marBottom w:val="0"/>
      <w:divBdr>
        <w:top w:val="none" w:sz="0" w:space="0" w:color="auto"/>
        <w:left w:val="none" w:sz="0" w:space="0" w:color="auto"/>
        <w:bottom w:val="none" w:sz="0" w:space="0" w:color="auto"/>
        <w:right w:val="none" w:sz="0" w:space="0" w:color="auto"/>
      </w:divBdr>
      <w:divsChild>
        <w:div w:id="10981339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hyperlink" Target="http://ukcatalogue.oup.com/product/9780198703167.do" TargetMode="External"/><Relationship Id="rId39" Type="http://schemas.openxmlformats.org/officeDocument/2006/relationships/hyperlink" Target="https://doi.org/10.1080/09645292.2018.1484426" TargetMode="External"/><Relationship Id="rId21" Type="http://schemas.openxmlformats.org/officeDocument/2006/relationships/hyperlink" Target="https://doi.org/10.1177/1523422316630651" TargetMode="External"/><Relationship Id="rId34" Type="http://schemas.openxmlformats.org/officeDocument/2006/relationships/hyperlink" Target="https://doi.org/10.1073/pnas.1918988117" TargetMode="External"/><Relationship Id="rId42" Type="http://schemas.openxmlformats.org/officeDocument/2006/relationships/hyperlink" Target="https://doi.org/10.1111/padr.12315"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9.xml"/><Relationship Id="rId29" Type="http://schemas.openxmlformats.org/officeDocument/2006/relationships/hyperlink" Target="https://pure.iiasa.ac.at/194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s://doi.org/10.1257/aer.20130954" TargetMode="External"/><Relationship Id="rId32" Type="http://schemas.openxmlformats.org/officeDocument/2006/relationships/hyperlink" Target="https://data.europa.eu/doi/10.2760/835878" TargetMode="External"/><Relationship Id="rId37" Type="http://schemas.openxmlformats.org/officeDocument/2006/relationships/hyperlink" Target="https://doi.org/10.3386/w19131" TargetMode="External"/><Relationship Id="rId40" Type="http://schemas.openxmlformats.org/officeDocument/2006/relationships/hyperlink" Target="https://doi.org/10.1016/j.econlet.2010.11.003"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hyperlink" Target="http://ec.europa.eu/economy_finance/publications/european_economy/2015/pdf/ee3_en.pdf" TargetMode="External"/><Relationship Id="rId28" Type="http://schemas.openxmlformats.org/officeDocument/2006/relationships/hyperlink" Target="https://international.ipums.org/" TargetMode="External"/><Relationship Id="rId36" Type="http://schemas.openxmlformats.org/officeDocument/2006/relationships/hyperlink" Target="http://papers.nber.org/books/minc74-1" TargetMode="Externa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hyperlink" Target="http://pure.iiasa.ac.at/11189/" TargetMode="External"/><Relationship Id="rId44" Type="http://schemas.openxmlformats.org/officeDocument/2006/relationships/hyperlink" Target="https://data.worldbank.org/indicator/SL.TLF.CACT.FE.ZS"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hyperlink" Target="https://doi.org/10.1016/j.gloenvcha.2015.02.012" TargetMode="External"/><Relationship Id="rId27" Type="http://schemas.openxmlformats.org/officeDocument/2006/relationships/hyperlink" Target="https://doi.org/10.1016/j.econedurev.2003.10.002" TargetMode="External"/><Relationship Id="rId30" Type="http://schemas.openxmlformats.org/officeDocument/2006/relationships/hyperlink" Target="https://doi.org/10.4054/DemRes.2015.32.15" TargetMode="External"/><Relationship Id="rId35" Type="http://schemas.openxmlformats.org/officeDocument/2006/relationships/hyperlink" Target="https://doi.org/10.1073/pnas.2108900118" TargetMode="External"/><Relationship Id="rId43" Type="http://schemas.openxmlformats.org/officeDocument/2006/relationships/hyperlink" Target="http://www.wittgensteincentre.org/dataexplorer" TargetMode="External"/><Relationship Id="rId8"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hyperlink" Target="https://doi.org/10.1007/s10680-018-9467-3" TargetMode="External"/><Relationship Id="rId33" Type="http://schemas.openxmlformats.org/officeDocument/2006/relationships/hyperlink" Target="https://doi.org/10.1073/pnas.2015826118" TargetMode="External"/><Relationship Id="rId38" Type="http://schemas.openxmlformats.org/officeDocument/2006/relationships/hyperlink" Target="http://www.iiasa.ac.at/publication/more_IR-14-005.php" TargetMode="External"/><Relationship Id="rId46" Type="http://schemas.openxmlformats.org/officeDocument/2006/relationships/fontTable" Target="fontTable.xml"/><Relationship Id="rId20" Type="http://schemas.openxmlformats.org/officeDocument/2006/relationships/hyperlink" Target="http://ukcatalogue.oup.com/product/9780198703167.do" TargetMode="External"/><Relationship Id="rId41" Type="http://schemas.openxmlformats.org/officeDocument/2006/relationships/hyperlink" Target="https://www.ilo.org/publications/how-tight-link-between-wages-and-productivity-survey-literature"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marois\Dropbox\ADRI\China%20vs%20India\salary\Model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marois\Dropbox\ADRI\China%20vs%20India\salary\Models.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Users\marois\Dropbox\ADRI\China%20vs%20India\PRPR\V2\Figures%20for%20SI.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marois\Dropbox\ADRI\China%20vs%20India\PRPR\V2\Revision\Figures%20for%20SI.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marois\Dropbox\ADRI\China%20vs%20India\PRPR\V2\Revision\Figures%20for%20SI.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marois\Dropbox\ADRI\China%20vs%20India\DataLF\LFP%20Rates%20by%20edu%20cntry%20age.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marois\Dropbox\ADRI\China%20vs%20India\DataLF\LFP%20Rates%20by%20edu%20cntry%20age.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marois\Dropbox\ADRI\China%20vs%20India\DataLF\LFP%20Rates%20by%20edu%20cntry%20age.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marois\Dropbox\ADRI\China%20vs%20India\DataLF\LFP%20Rates%20by%20edu%20cntry%20age.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marois\Dropbox\ADRI\China%20vs%20India\DataLF\LFP%20Rates%20by%20edu%20cntry%20age.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marois\Dropbox\ADRI\China%20vs%20India\DataLF\LFP%20Rates%20by%20edu%20cntry%20age.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marois\Dropbox\ADRI\China%20vs%20India\DataLF\LFP%20Rates%20by%20edu%20cntry%20ag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935516916300992"/>
          <c:y val="9.4647518401836675E-2"/>
          <c:w val="0.854593987817999"/>
          <c:h val="0.69780202633117905"/>
        </c:manualLayout>
      </c:layout>
      <c:lineChart>
        <c:grouping val="standard"/>
        <c:varyColors val="0"/>
        <c:ser>
          <c:idx val="0"/>
          <c:order val="0"/>
          <c:tx>
            <c:strRef>
              <c:f>pnas!$A$53</c:f>
              <c:strCache>
                <c:ptCount val="1"/>
                <c:pt idx="0">
                  <c:v>e1 Less than primary</c:v>
                </c:pt>
              </c:strCache>
            </c:strRef>
          </c:tx>
          <c:spPr>
            <a:ln w="28575" cap="rnd">
              <a:solidFill>
                <a:sysClr val="windowText" lastClr="000000"/>
              </a:solidFill>
              <a:prstDash val="sysDot"/>
              <a:round/>
            </a:ln>
            <a:effectLst/>
          </c:spPr>
          <c:marker>
            <c:symbol val="none"/>
          </c:marker>
          <c:cat>
            <c:numRef>
              <c:f>pnas!$E$51:$L$51</c:f>
              <c:numCache>
                <c:formatCode>General</c:formatCode>
                <c:ptCount val="8"/>
                <c:pt idx="0">
                  <c:v>6</c:v>
                </c:pt>
                <c:pt idx="1">
                  <c:v>7</c:v>
                </c:pt>
                <c:pt idx="2">
                  <c:v>8</c:v>
                </c:pt>
                <c:pt idx="3">
                  <c:v>9</c:v>
                </c:pt>
                <c:pt idx="4">
                  <c:v>10</c:v>
                </c:pt>
                <c:pt idx="5">
                  <c:v>11</c:v>
                </c:pt>
                <c:pt idx="6">
                  <c:v>12</c:v>
                </c:pt>
                <c:pt idx="7">
                  <c:v>13</c:v>
                </c:pt>
              </c:numCache>
            </c:numRef>
          </c:cat>
          <c:val>
            <c:numRef>
              <c:f>pnas!$E$53:$L$53</c:f>
              <c:numCache>
                <c:formatCode>0.0</c:formatCode>
                <c:ptCount val="8"/>
                <c:pt idx="0">
                  <c:v>0.21584904097640381</c:v>
                </c:pt>
                <c:pt idx="1">
                  <c:v>0.23206982100157006</c:v>
                </c:pt>
                <c:pt idx="2">
                  <c:v>0.24950957194935258</c:v>
                </c:pt>
                <c:pt idx="3">
                  <c:v>0.26825989792928717</c:v>
                </c:pt>
                <c:pt idx="4">
                  <c:v>0.28841928698286284</c:v>
                </c:pt>
                <c:pt idx="5">
                  <c:v>0.31009362840222426</c:v>
                </c:pt>
                <c:pt idx="6">
                  <c:v>0.33339676892471543</c:v>
                </c:pt>
                <c:pt idx="7">
                  <c:v>0.3584511107247339</c:v>
                </c:pt>
              </c:numCache>
            </c:numRef>
          </c:val>
          <c:smooth val="0"/>
          <c:extLst>
            <c:ext xmlns:c16="http://schemas.microsoft.com/office/drawing/2014/chart" uri="{C3380CC4-5D6E-409C-BE32-E72D297353CC}">
              <c16:uniqueId val="{00000000-7D1A-464A-92AB-1AE732432B94}"/>
            </c:ext>
          </c:extLst>
        </c:ser>
        <c:ser>
          <c:idx val="1"/>
          <c:order val="1"/>
          <c:tx>
            <c:strRef>
              <c:f>pnas!$A$54</c:f>
              <c:strCache>
                <c:ptCount val="1"/>
                <c:pt idx="0">
                  <c:v>e2 Primary complete</c:v>
                </c:pt>
              </c:strCache>
            </c:strRef>
          </c:tx>
          <c:spPr>
            <a:ln w="19050" cap="rnd">
              <a:solidFill>
                <a:sysClr val="windowText" lastClr="000000"/>
              </a:solidFill>
              <a:prstDash val="sysDash"/>
              <a:round/>
            </a:ln>
            <a:effectLst/>
          </c:spPr>
          <c:marker>
            <c:symbol val="none"/>
          </c:marker>
          <c:cat>
            <c:numRef>
              <c:f>pnas!$E$51:$L$51</c:f>
              <c:numCache>
                <c:formatCode>General</c:formatCode>
                <c:ptCount val="8"/>
                <c:pt idx="0">
                  <c:v>6</c:v>
                </c:pt>
                <c:pt idx="1">
                  <c:v>7</c:v>
                </c:pt>
                <c:pt idx="2">
                  <c:v>8</c:v>
                </c:pt>
                <c:pt idx="3">
                  <c:v>9</c:v>
                </c:pt>
                <c:pt idx="4">
                  <c:v>10</c:v>
                </c:pt>
                <c:pt idx="5">
                  <c:v>11</c:v>
                </c:pt>
                <c:pt idx="6">
                  <c:v>12</c:v>
                </c:pt>
                <c:pt idx="7">
                  <c:v>13</c:v>
                </c:pt>
              </c:numCache>
            </c:numRef>
          </c:cat>
          <c:val>
            <c:numRef>
              <c:f>pnas!$E$54:$L$54</c:f>
              <c:numCache>
                <c:formatCode>0.0</c:formatCode>
                <c:ptCount val="8"/>
                <c:pt idx="0">
                  <c:v>0.54358129869061367</c:v>
                </c:pt>
                <c:pt idx="1">
                  <c:v>0.55946908916717331</c:v>
                </c:pt>
                <c:pt idx="2">
                  <c:v>0.5758212478750081</c:v>
                </c:pt>
                <c:pt idx="3">
                  <c:v>0.59265134736560188</c:v>
                </c:pt>
                <c:pt idx="4">
                  <c:v>0.60997335688888144</c:v>
                </c:pt>
                <c:pt idx="5">
                  <c:v>0.6278016539879141</c:v>
                </c:pt>
                <c:pt idx="6">
                  <c:v>0.64615103643249783</c:v>
                </c:pt>
                <c:pt idx="7">
                  <c:v>0.66503673450154499</c:v>
                </c:pt>
              </c:numCache>
            </c:numRef>
          </c:val>
          <c:smooth val="0"/>
          <c:extLst>
            <c:ext xmlns:c16="http://schemas.microsoft.com/office/drawing/2014/chart" uri="{C3380CC4-5D6E-409C-BE32-E72D297353CC}">
              <c16:uniqueId val="{00000001-7D1A-464A-92AB-1AE732432B94}"/>
            </c:ext>
          </c:extLst>
        </c:ser>
        <c:ser>
          <c:idx val="2"/>
          <c:order val="2"/>
          <c:tx>
            <c:strRef>
              <c:f>pnas!$A$55</c:f>
              <c:strCache>
                <c:ptCount val="1"/>
                <c:pt idx="0">
                  <c:v>e3 Lower secondary</c:v>
                </c:pt>
              </c:strCache>
            </c:strRef>
          </c:tx>
          <c:spPr>
            <a:ln w="15875" cap="rnd">
              <a:solidFill>
                <a:sysClr val="windowText" lastClr="000000"/>
              </a:solidFill>
              <a:round/>
            </a:ln>
            <a:effectLst/>
          </c:spPr>
          <c:marker>
            <c:symbol val="star"/>
            <c:size val="5"/>
            <c:spPr>
              <a:noFill/>
              <a:ln w="9525">
                <a:solidFill>
                  <a:sysClr val="windowText" lastClr="000000"/>
                </a:solidFill>
              </a:ln>
              <a:effectLst/>
            </c:spPr>
          </c:marker>
          <c:cat>
            <c:numRef>
              <c:f>pnas!$E$51:$L$51</c:f>
              <c:numCache>
                <c:formatCode>General</c:formatCode>
                <c:ptCount val="8"/>
                <c:pt idx="0">
                  <c:v>6</c:v>
                </c:pt>
                <c:pt idx="1">
                  <c:v>7</c:v>
                </c:pt>
                <c:pt idx="2">
                  <c:v>8</c:v>
                </c:pt>
                <c:pt idx="3">
                  <c:v>9</c:v>
                </c:pt>
                <c:pt idx="4">
                  <c:v>10</c:v>
                </c:pt>
                <c:pt idx="5">
                  <c:v>11</c:v>
                </c:pt>
                <c:pt idx="6">
                  <c:v>12</c:v>
                </c:pt>
                <c:pt idx="7">
                  <c:v>13</c:v>
                </c:pt>
              </c:numCache>
            </c:numRef>
          </c:cat>
          <c:val>
            <c:numRef>
              <c:f>pnas!$E$55:$L$55</c:f>
              <c:numCache>
                <c:formatCode>0.0</c:formatCode>
                <c:ptCount val="8"/>
                <c:pt idx="0">
                  <c:v>0.94609149201804665</c:v>
                </c:pt>
                <c:pt idx="1">
                  <c:v>0.94857255316705014</c:v>
                </c:pt>
                <c:pt idx="2">
                  <c:v>0.95106012073163537</c:v>
                </c:pt>
                <c:pt idx="3">
                  <c:v>0.95355421177443778</c:v>
                </c:pt>
                <c:pt idx="4">
                  <c:v>0.95605484340283975</c:v>
                </c:pt>
                <c:pt idx="5">
                  <c:v>0.95856203276908569</c:v>
                </c:pt>
                <c:pt idx="6">
                  <c:v>0.96107579707040114</c:v>
                </c:pt>
                <c:pt idx="7">
                  <c:v>0.9635961535491101</c:v>
                </c:pt>
              </c:numCache>
            </c:numRef>
          </c:val>
          <c:smooth val="0"/>
          <c:extLst>
            <c:ext xmlns:c16="http://schemas.microsoft.com/office/drawing/2014/chart" uri="{C3380CC4-5D6E-409C-BE32-E72D297353CC}">
              <c16:uniqueId val="{00000002-7D1A-464A-92AB-1AE732432B94}"/>
            </c:ext>
          </c:extLst>
        </c:ser>
        <c:ser>
          <c:idx val="3"/>
          <c:order val="3"/>
          <c:tx>
            <c:strRef>
              <c:f>pnas!$A$56</c:f>
              <c:strCache>
                <c:ptCount val="1"/>
                <c:pt idx="0">
                  <c:v>e4 Upper secondary</c:v>
                </c:pt>
              </c:strCache>
            </c:strRef>
          </c:tx>
          <c:spPr>
            <a:ln w="12700" cap="rnd">
              <a:solidFill>
                <a:sysClr val="windowText" lastClr="000000"/>
              </a:solidFill>
              <a:round/>
            </a:ln>
            <a:effectLst/>
          </c:spPr>
          <c:marker>
            <c:symbol val="circle"/>
            <c:size val="5"/>
            <c:spPr>
              <a:solidFill>
                <a:sysClr val="windowText" lastClr="000000"/>
              </a:solidFill>
              <a:ln w="9525">
                <a:noFill/>
              </a:ln>
              <a:effectLst/>
            </c:spPr>
          </c:marker>
          <c:cat>
            <c:numRef>
              <c:f>pnas!$E$51:$L$51</c:f>
              <c:numCache>
                <c:formatCode>General</c:formatCode>
                <c:ptCount val="8"/>
                <c:pt idx="0">
                  <c:v>6</c:v>
                </c:pt>
                <c:pt idx="1">
                  <c:v>7</c:v>
                </c:pt>
                <c:pt idx="2">
                  <c:v>8</c:v>
                </c:pt>
                <c:pt idx="3">
                  <c:v>9</c:v>
                </c:pt>
                <c:pt idx="4">
                  <c:v>10</c:v>
                </c:pt>
                <c:pt idx="5">
                  <c:v>11</c:v>
                </c:pt>
                <c:pt idx="6">
                  <c:v>12</c:v>
                </c:pt>
                <c:pt idx="7">
                  <c:v>13</c:v>
                </c:pt>
              </c:numCache>
            </c:numRef>
          </c:cat>
          <c:val>
            <c:numRef>
              <c:f>pnas!$E$56:$L$56</c:f>
              <c:numCache>
                <c:formatCode>0.0</c:formatCode>
                <c:ptCount val="8"/>
                <c:pt idx="0">
                  <c:v>1.6466517766984194</c:v>
                </c:pt>
                <c:pt idx="1">
                  <c:v>1.6082924080064638</c:v>
                </c:pt>
                <c:pt idx="2">
                  <c:v>1.5708266351477425</c:v>
                </c:pt>
                <c:pt idx="3">
                  <c:v>1.5342336414732738</c:v>
                </c:pt>
                <c:pt idx="4">
                  <c:v>1.4984930952656983</c:v>
                </c:pt>
                <c:pt idx="5">
                  <c:v>1.4635851384426115</c:v>
                </c:pt>
                <c:pt idx="6">
                  <c:v>1.4294903755230615</c:v>
                </c:pt>
                <c:pt idx="7">
                  <c:v>1.3961898628510769</c:v>
                </c:pt>
              </c:numCache>
            </c:numRef>
          </c:val>
          <c:smooth val="0"/>
          <c:extLst>
            <c:ext xmlns:c16="http://schemas.microsoft.com/office/drawing/2014/chart" uri="{C3380CC4-5D6E-409C-BE32-E72D297353CC}">
              <c16:uniqueId val="{00000003-7D1A-464A-92AB-1AE732432B94}"/>
            </c:ext>
          </c:extLst>
        </c:ser>
        <c:ser>
          <c:idx val="4"/>
          <c:order val="4"/>
          <c:tx>
            <c:strRef>
              <c:f>pnas!$A$57</c:f>
              <c:strCache>
                <c:ptCount val="1"/>
                <c:pt idx="0">
                  <c:v>e5 Postsecondary</c:v>
                </c:pt>
              </c:strCache>
            </c:strRef>
          </c:tx>
          <c:spPr>
            <a:ln w="28575" cap="rnd">
              <a:solidFill>
                <a:sysClr val="windowText" lastClr="000000"/>
              </a:solidFill>
              <a:round/>
            </a:ln>
            <a:effectLst/>
          </c:spPr>
          <c:marker>
            <c:symbol val="none"/>
          </c:marker>
          <c:cat>
            <c:numRef>
              <c:f>pnas!$E$51:$L$51</c:f>
              <c:numCache>
                <c:formatCode>General</c:formatCode>
                <c:ptCount val="8"/>
                <c:pt idx="0">
                  <c:v>6</c:v>
                </c:pt>
                <c:pt idx="1">
                  <c:v>7</c:v>
                </c:pt>
                <c:pt idx="2">
                  <c:v>8</c:v>
                </c:pt>
                <c:pt idx="3">
                  <c:v>9</c:v>
                </c:pt>
                <c:pt idx="4">
                  <c:v>10</c:v>
                </c:pt>
                <c:pt idx="5">
                  <c:v>11</c:v>
                </c:pt>
                <c:pt idx="6">
                  <c:v>12</c:v>
                </c:pt>
                <c:pt idx="7">
                  <c:v>13</c:v>
                </c:pt>
              </c:numCache>
            </c:numRef>
          </c:cat>
          <c:val>
            <c:numRef>
              <c:f>pnas!$E$57:$L$57</c:f>
              <c:numCache>
                <c:formatCode>0.0</c:formatCode>
                <c:ptCount val="8"/>
                <c:pt idx="0">
                  <c:v>3.4474126735683819</c:v>
                </c:pt>
                <c:pt idx="1">
                  <c:v>3.2515538832409989</c:v>
                </c:pt>
                <c:pt idx="2">
                  <c:v>3.0668224714379875</c:v>
                </c:pt>
                <c:pt idx="3">
                  <c:v>2.8925862553881858</c:v>
                </c:pt>
                <c:pt idx="4">
                  <c:v>2.7282489686915139</c:v>
                </c:pt>
                <c:pt idx="5">
                  <c:v>2.5732482207924385</c:v>
                </c:pt>
                <c:pt idx="6">
                  <c:v>2.4270535723824409</c:v>
                </c:pt>
                <c:pt idx="7">
                  <c:v>2.2891647201451666</c:v>
                </c:pt>
              </c:numCache>
            </c:numRef>
          </c:val>
          <c:smooth val="0"/>
          <c:extLst>
            <c:ext xmlns:c16="http://schemas.microsoft.com/office/drawing/2014/chart" uri="{C3380CC4-5D6E-409C-BE32-E72D297353CC}">
              <c16:uniqueId val="{00000004-7D1A-464A-92AB-1AE732432B94}"/>
            </c:ext>
          </c:extLst>
        </c:ser>
        <c:dLbls>
          <c:showLegendKey val="0"/>
          <c:showVal val="0"/>
          <c:showCatName val="0"/>
          <c:showSerName val="0"/>
          <c:showPercent val="0"/>
          <c:showBubbleSize val="0"/>
        </c:dLbls>
        <c:smooth val="0"/>
        <c:axId val="494256240"/>
        <c:axId val="494258208"/>
      </c:lineChart>
      <c:catAx>
        <c:axId val="494256240"/>
        <c:scaling>
          <c:orientation val="minMax"/>
        </c:scaling>
        <c:delete val="0"/>
        <c:axPos val="b"/>
        <c:title>
          <c:tx>
            <c:rich>
              <a:bodyPr rot="0" spcFirstLastPara="1" vertOverflow="ellipsis" vert="horz" wrap="square" anchor="ctr" anchorCtr="1"/>
              <a:lstStyle/>
              <a:p>
                <a:pPr algn="r">
                  <a:defRPr sz="1000" b="0" i="0" u="none" strike="noStrike" kern="1200" baseline="0">
                    <a:solidFill>
                      <a:schemeClr val="tx1"/>
                    </a:solidFill>
                    <a:latin typeface="+mn-lt"/>
                    <a:ea typeface="+mn-ea"/>
                    <a:cs typeface="Times New Roman" panose="02020603050405020304" pitchFamily="18" charset="0"/>
                  </a:defRPr>
                </a:pPr>
                <a:r>
                  <a:rPr lang="en-CA" sz="1000" b="0" i="0" baseline="0">
                    <a:solidFill>
                      <a:schemeClr val="tx1"/>
                    </a:solidFill>
                    <a:effectLst/>
                    <a:latin typeface="+mn-lt"/>
                    <a:cs typeface="Times New Roman" panose="02020603050405020304" pitchFamily="18" charset="0"/>
                  </a:rPr>
                  <a:t>Average years of schooling of the country's population aged 25-54</a:t>
                </a:r>
                <a:endParaRPr lang="en-CA" sz="1000">
                  <a:solidFill>
                    <a:schemeClr val="tx1"/>
                  </a:solidFill>
                  <a:effectLst/>
                  <a:latin typeface="+mn-lt"/>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lgn="r">
                <a:defRPr sz="1000" b="0" i="0" u="none" strike="noStrike" kern="1200" baseline="0">
                  <a:solidFill>
                    <a:schemeClr val="tx1"/>
                  </a:solidFill>
                  <a:latin typeface="+mn-lt"/>
                  <a:ea typeface="+mn-ea"/>
                  <a:cs typeface="Times New Roman" panose="02020603050405020304" pitchFamily="18" charset="0"/>
                </a:defRPr>
              </a:pPr>
              <a:endParaRPr lang="en-CA"/>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94258208"/>
        <c:crosses val="autoZero"/>
        <c:auto val="1"/>
        <c:lblAlgn val="ctr"/>
        <c:lblOffset val="100"/>
        <c:noMultiLvlLbl val="0"/>
      </c:catAx>
      <c:valAx>
        <c:axId val="494258208"/>
        <c:scaling>
          <c:orientation val="minMax"/>
          <c:max val="3.5"/>
        </c:scaling>
        <c:delete val="0"/>
        <c:axPos val="l"/>
        <c:majorGridlines>
          <c:spPr>
            <a:ln w="9525" cap="flat" cmpd="sng" algn="ctr">
              <a:solidFill>
                <a:schemeClr val="tx1">
                  <a:lumMod val="15000"/>
                  <a:lumOff val="85000"/>
                </a:schemeClr>
              </a:solidFill>
              <a:prstDash val="sysDot"/>
              <a:round/>
            </a:ln>
            <a:effectLst/>
          </c:spPr>
        </c:majorGridlines>
        <c:title>
          <c:tx>
            <c:rich>
              <a:bodyPr rot="-5400000" spcFirstLastPara="1" vertOverflow="ellipsis" vert="horz" wrap="square" anchor="ctr" anchorCtr="1"/>
              <a:lstStyle/>
              <a:p>
                <a:pPr>
                  <a:defRPr sz="1050" b="0" i="0" u="none" strike="noStrike" kern="1200" baseline="0">
                    <a:solidFill>
                      <a:schemeClr val="tx1"/>
                    </a:solidFill>
                    <a:latin typeface="+mn-lt"/>
                    <a:ea typeface="+mn-ea"/>
                    <a:cs typeface="Times New Roman" panose="02020603050405020304" pitchFamily="18" charset="0"/>
                  </a:defRPr>
                </a:pPr>
                <a:r>
                  <a:rPr lang="en-CA" sz="1050">
                    <a:solidFill>
                      <a:schemeClr val="tx1"/>
                    </a:solidFill>
                    <a:latin typeface="+mn-lt"/>
                    <a:cs typeface="Times New Roman" panose="02020603050405020304" pitchFamily="18" charset="0"/>
                  </a:rPr>
                  <a:t>W</a:t>
                </a:r>
                <a:endParaRPr lang="en-CA" sz="1050" baseline="30000">
                  <a:solidFill>
                    <a:schemeClr val="tx1"/>
                  </a:solidFill>
                  <a:latin typeface="+mn-lt"/>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50" b="0" i="0" u="none" strike="noStrike" kern="1200" baseline="0">
                  <a:solidFill>
                    <a:schemeClr val="tx1"/>
                  </a:solidFill>
                  <a:latin typeface="+mn-lt"/>
                  <a:ea typeface="+mn-ea"/>
                  <a:cs typeface="Times New Roman" panose="02020603050405020304" pitchFamily="18" charset="0"/>
                </a:defRPr>
              </a:pPr>
              <a:endParaRPr lang="en-CA"/>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494256240"/>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935516916300992"/>
          <c:y val="9.4647518401836675E-2"/>
          <c:w val="0.854593987817999"/>
          <c:h val="1.4199681342594405E-2"/>
        </c:manualLayout>
      </c:layout>
      <c:lineChart>
        <c:grouping val="standard"/>
        <c:varyColors val="0"/>
        <c:ser>
          <c:idx val="0"/>
          <c:order val="0"/>
          <c:tx>
            <c:strRef>
              <c:f>pnas!$A$53</c:f>
              <c:strCache>
                <c:ptCount val="1"/>
                <c:pt idx="0">
                  <c:v>e1 Less than primary</c:v>
                </c:pt>
              </c:strCache>
            </c:strRef>
          </c:tx>
          <c:spPr>
            <a:ln w="28575" cap="rnd">
              <a:solidFill>
                <a:sysClr val="windowText" lastClr="000000"/>
              </a:solidFill>
              <a:prstDash val="sysDot"/>
              <a:round/>
            </a:ln>
            <a:effectLst/>
          </c:spPr>
          <c:marker>
            <c:symbol val="none"/>
          </c:marker>
          <c:cat>
            <c:numRef>
              <c:f>pnas!$B$51:$D$51</c:f>
              <c:numCache>
                <c:formatCode>General</c:formatCode>
                <c:ptCount val="3"/>
              </c:numCache>
            </c:numRef>
          </c:cat>
          <c:val>
            <c:numRef>
              <c:f>pnas!$B$53:$D$53</c:f>
              <c:numCache>
                <c:formatCode>General</c:formatCode>
                <c:ptCount val="3"/>
              </c:numCache>
            </c:numRef>
          </c:val>
          <c:smooth val="0"/>
          <c:extLst>
            <c:ext xmlns:c16="http://schemas.microsoft.com/office/drawing/2014/chart" uri="{C3380CC4-5D6E-409C-BE32-E72D297353CC}">
              <c16:uniqueId val="{00000000-B36E-4731-81C8-C67B6402F082}"/>
            </c:ext>
          </c:extLst>
        </c:ser>
        <c:ser>
          <c:idx val="1"/>
          <c:order val="1"/>
          <c:tx>
            <c:strRef>
              <c:f>pnas!$A$54</c:f>
              <c:strCache>
                <c:ptCount val="1"/>
                <c:pt idx="0">
                  <c:v>e2 Primary complete</c:v>
                </c:pt>
              </c:strCache>
            </c:strRef>
          </c:tx>
          <c:spPr>
            <a:ln w="19050" cap="rnd">
              <a:solidFill>
                <a:sysClr val="windowText" lastClr="000000"/>
              </a:solidFill>
              <a:prstDash val="sysDash"/>
              <a:round/>
            </a:ln>
            <a:effectLst/>
          </c:spPr>
          <c:marker>
            <c:symbol val="none"/>
          </c:marker>
          <c:cat>
            <c:numRef>
              <c:f>pnas!$B$51:$D$51</c:f>
              <c:numCache>
                <c:formatCode>General</c:formatCode>
                <c:ptCount val="3"/>
              </c:numCache>
            </c:numRef>
          </c:cat>
          <c:val>
            <c:numRef>
              <c:f>pnas!$B$54:$D$54</c:f>
              <c:numCache>
                <c:formatCode>General</c:formatCode>
                <c:ptCount val="3"/>
              </c:numCache>
            </c:numRef>
          </c:val>
          <c:smooth val="0"/>
          <c:extLst>
            <c:ext xmlns:c16="http://schemas.microsoft.com/office/drawing/2014/chart" uri="{C3380CC4-5D6E-409C-BE32-E72D297353CC}">
              <c16:uniqueId val="{00000001-B36E-4731-81C8-C67B6402F082}"/>
            </c:ext>
          </c:extLst>
        </c:ser>
        <c:ser>
          <c:idx val="2"/>
          <c:order val="2"/>
          <c:tx>
            <c:strRef>
              <c:f>pnas!$A$55</c:f>
              <c:strCache>
                <c:ptCount val="1"/>
                <c:pt idx="0">
                  <c:v>e3 Lower secondary</c:v>
                </c:pt>
              </c:strCache>
            </c:strRef>
          </c:tx>
          <c:spPr>
            <a:ln w="15875" cap="rnd">
              <a:solidFill>
                <a:sysClr val="windowText" lastClr="000000"/>
              </a:solidFill>
              <a:round/>
            </a:ln>
            <a:effectLst/>
          </c:spPr>
          <c:marker>
            <c:symbol val="star"/>
            <c:size val="5"/>
            <c:spPr>
              <a:noFill/>
              <a:ln w="9525">
                <a:solidFill>
                  <a:sysClr val="windowText" lastClr="000000"/>
                </a:solidFill>
              </a:ln>
              <a:effectLst/>
            </c:spPr>
          </c:marker>
          <c:cat>
            <c:numRef>
              <c:f>pnas!$B$51:$D$51</c:f>
              <c:numCache>
                <c:formatCode>General</c:formatCode>
                <c:ptCount val="3"/>
              </c:numCache>
            </c:numRef>
          </c:cat>
          <c:val>
            <c:numRef>
              <c:f>pnas!$B$55:$D$55</c:f>
              <c:numCache>
                <c:formatCode>General</c:formatCode>
                <c:ptCount val="3"/>
              </c:numCache>
            </c:numRef>
          </c:val>
          <c:smooth val="0"/>
          <c:extLst>
            <c:ext xmlns:c16="http://schemas.microsoft.com/office/drawing/2014/chart" uri="{C3380CC4-5D6E-409C-BE32-E72D297353CC}">
              <c16:uniqueId val="{00000002-B36E-4731-81C8-C67B6402F082}"/>
            </c:ext>
          </c:extLst>
        </c:ser>
        <c:ser>
          <c:idx val="3"/>
          <c:order val="3"/>
          <c:tx>
            <c:strRef>
              <c:f>pnas!$A$56</c:f>
              <c:strCache>
                <c:ptCount val="1"/>
                <c:pt idx="0">
                  <c:v>e4 Upper secondary</c:v>
                </c:pt>
              </c:strCache>
            </c:strRef>
          </c:tx>
          <c:spPr>
            <a:ln w="12700" cap="rnd">
              <a:solidFill>
                <a:sysClr val="windowText" lastClr="000000"/>
              </a:solidFill>
              <a:round/>
            </a:ln>
            <a:effectLst/>
          </c:spPr>
          <c:marker>
            <c:symbol val="circle"/>
            <c:size val="5"/>
            <c:spPr>
              <a:solidFill>
                <a:sysClr val="windowText" lastClr="000000"/>
              </a:solidFill>
              <a:ln w="9525">
                <a:noFill/>
              </a:ln>
              <a:effectLst/>
            </c:spPr>
          </c:marker>
          <c:cat>
            <c:numRef>
              <c:f>pnas!$B$51:$D$51</c:f>
              <c:numCache>
                <c:formatCode>General</c:formatCode>
                <c:ptCount val="3"/>
              </c:numCache>
            </c:numRef>
          </c:cat>
          <c:val>
            <c:numRef>
              <c:f>pnas!$B$56:$D$56</c:f>
              <c:numCache>
                <c:formatCode>General</c:formatCode>
                <c:ptCount val="3"/>
              </c:numCache>
            </c:numRef>
          </c:val>
          <c:smooth val="0"/>
          <c:extLst>
            <c:ext xmlns:c16="http://schemas.microsoft.com/office/drawing/2014/chart" uri="{C3380CC4-5D6E-409C-BE32-E72D297353CC}">
              <c16:uniqueId val="{00000003-B36E-4731-81C8-C67B6402F082}"/>
            </c:ext>
          </c:extLst>
        </c:ser>
        <c:ser>
          <c:idx val="4"/>
          <c:order val="4"/>
          <c:tx>
            <c:strRef>
              <c:f>pnas!$A$57</c:f>
              <c:strCache>
                <c:ptCount val="1"/>
                <c:pt idx="0">
                  <c:v>e5 Postsecondary</c:v>
                </c:pt>
              </c:strCache>
            </c:strRef>
          </c:tx>
          <c:spPr>
            <a:ln w="28575" cap="rnd">
              <a:solidFill>
                <a:sysClr val="windowText" lastClr="000000"/>
              </a:solidFill>
              <a:round/>
            </a:ln>
            <a:effectLst/>
          </c:spPr>
          <c:marker>
            <c:symbol val="none"/>
          </c:marker>
          <c:cat>
            <c:numRef>
              <c:f>pnas!$B$51:$D$51</c:f>
              <c:numCache>
                <c:formatCode>General</c:formatCode>
                <c:ptCount val="3"/>
              </c:numCache>
            </c:numRef>
          </c:cat>
          <c:val>
            <c:numRef>
              <c:f>pnas!$B$57:$D$57</c:f>
              <c:numCache>
                <c:formatCode>General</c:formatCode>
                <c:ptCount val="3"/>
              </c:numCache>
            </c:numRef>
          </c:val>
          <c:smooth val="0"/>
          <c:extLst>
            <c:ext xmlns:c16="http://schemas.microsoft.com/office/drawing/2014/chart" uri="{C3380CC4-5D6E-409C-BE32-E72D297353CC}">
              <c16:uniqueId val="{00000004-B36E-4731-81C8-C67B6402F082}"/>
            </c:ext>
          </c:extLst>
        </c:ser>
        <c:dLbls>
          <c:showLegendKey val="0"/>
          <c:showVal val="0"/>
          <c:showCatName val="0"/>
          <c:showSerName val="0"/>
          <c:showPercent val="0"/>
          <c:showBubbleSize val="0"/>
        </c:dLbls>
        <c:smooth val="0"/>
        <c:axId val="494256240"/>
        <c:axId val="494258208"/>
      </c:lineChart>
      <c:catAx>
        <c:axId val="494256240"/>
        <c:scaling>
          <c:orientation val="minMax"/>
        </c:scaling>
        <c:delete val="1"/>
        <c:axPos val="b"/>
        <c:numFmt formatCode="General" sourceLinked="1"/>
        <c:majorTickMark val="none"/>
        <c:minorTickMark val="none"/>
        <c:tickLblPos val="nextTo"/>
        <c:crossAx val="494258208"/>
        <c:crosses val="autoZero"/>
        <c:auto val="1"/>
        <c:lblAlgn val="ctr"/>
        <c:lblOffset val="100"/>
        <c:noMultiLvlLbl val="0"/>
      </c:catAx>
      <c:valAx>
        <c:axId val="494258208"/>
        <c:scaling>
          <c:orientation val="minMax"/>
          <c:max val="3.5"/>
        </c:scaling>
        <c:delete val="1"/>
        <c:axPos val="l"/>
        <c:majorGridlines>
          <c:spPr>
            <a:ln w="9525" cap="flat" cmpd="sng" algn="ctr">
              <a:solidFill>
                <a:schemeClr val="tx1">
                  <a:lumMod val="15000"/>
                  <a:lumOff val="85000"/>
                </a:schemeClr>
              </a:solidFill>
              <a:prstDash val="sysDot"/>
              <a:round/>
            </a:ln>
            <a:effectLst/>
          </c:spPr>
        </c:majorGridlines>
        <c:numFmt formatCode="General" sourceLinked="1"/>
        <c:majorTickMark val="none"/>
        <c:minorTickMark val="none"/>
        <c:tickLblPos val="nextTo"/>
        <c:crossAx val="494256240"/>
        <c:crosses val="autoZero"/>
        <c:crossBetween val="between"/>
      </c:valAx>
      <c:spPr>
        <a:noFill/>
        <a:ln>
          <a:noFill/>
        </a:ln>
        <a:effectLst/>
      </c:spPr>
    </c:plotArea>
    <c:legend>
      <c:legendPos val="b"/>
      <c:layout>
        <c:manualLayout>
          <c:xMode val="edge"/>
          <c:yMode val="edge"/>
          <c:x val="3.6886822336863065E-2"/>
          <c:y val="0.2026163396242136"/>
          <c:w val="0.96311317766313698"/>
          <c:h val="0.66611506894971462"/>
        </c:manualLayout>
      </c:layout>
      <c:overlay val="0"/>
      <c:spPr>
        <a:solidFill>
          <a:sysClr val="window" lastClr="FFFFFF"/>
        </a:solid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2825482503732968"/>
          <c:y val="5.5241671438197339E-2"/>
          <c:w val="0.84583233632898358"/>
          <c:h val="0.62952095940982755"/>
        </c:manualLayout>
      </c:layout>
      <c:barChart>
        <c:barDir val="col"/>
        <c:grouping val="clustered"/>
        <c:varyColors val="0"/>
        <c:ser>
          <c:idx val="0"/>
          <c:order val="0"/>
          <c:tx>
            <c:strRef>
              <c:f>'Assumption edu W'!$L$15</c:f>
              <c:strCache>
                <c:ptCount val="1"/>
                <c:pt idx="0">
                  <c:v>e1</c:v>
                </c:pt>
              </c:strCache>
            </c:strRef>
          </c:tx>
          <c:spPr>
            <a:solidFill>
              <a:schemeClr val="accent3">
                <a:shade val="53000"/>
              </a:schemeClr>
            </a:solidFill>
            <a:ln>
              <a:noFill/>
            </a:ln>
            <a:effectLst/>
          </c:spPr>
          <c:invertIfNegative val="0"/>
          <c:cat>
            <c:multiLvlStrRef>
              <c:f>'Assumption edu W'!$M$13:$R$14</c:f>
              <c:multiLvlStrCache>
                <c:ptCount val="6"/>
                <c:lvl>
                  <c:pt idx="0">
                    <c:v>China</c:v>
                  </c:pt>
                  <c:pt idx="1">
                    <c:v>India</c:v>
                  </c:pt>
                  <c:pt idx="2">
                    <c:v>China</c:v>
                  </c:pt>
                  <c:pt idx="3">
                    <c:v>India</c:v>
                  </c:pt>
                  <c:pt idx="4">
                    <c:v>China</c:v>
                  </c:pt>
                  <c:pt idx="5">
                    <c:v>India</c:v>
                  </c:pt>
                </c:lvl>
                <c:lvl>
                  <c:pt idx="0">
                    <c:v>2020</c:v>
                  </c:pt>
                  <c:pt idx="2">
                    <c:v>2060</c:v>
                  </c:pt>
                  <c:pt idx="4">
                    <c:v>2100</c:v>
                  </c:pt>
                </c:lvl>
              </c:multiLvlStrCache>
            </c:multiLvlStrRef>
          </c:cat>
          <c:val>
            <c:numRef>
              <c:f>'Assumption edu W'!$M$15:$R$15</c:f>
              <c:numCache>
                <c:formatCode>0.0</c:formatCode>
                <c:ptCount val="6"/>
                <c:pt idx="0">
                  <c:v>0.29980973565750291</c:v>
                </c:pt>
                <c:pt idx="1">
                  <c:v>0.24734967629534937</c:v>
                </c:pt>
                <c:pt idx="2">
                  <c:v>0.39262693216080008</c:v>
                </c:pt>
                <c:pt idx="3">
                  <c:v>0.36083974459526474</c:v>
                </c:pt>
                <c:pt idx="4">
                  <c:v>0.43584014620736622</c:v>
                </c:pt>
                <c:pt idx="5">
                  <c:v>0.41015881525729592</c:v>
                </c:pt>
              </c:numCache>
            </c:numRef>
          </c:val>
          <c:extLst>
            <c:ext xmlns:c16="http://schemas.microsoft.com/office/drawing/2014/chart" uri="{C3380CC4-5D6E-409C-BE32-E72D297353CC}">
              <c16:uniqueId val="{00000000-9C99-4FBA-8D1D-0F22905639C8}"/>
            </c:ext>
          </c:extLst>
        </c:ser>
        <c:ser>
          <c:idx val="1"/>
          <c:order val="1"/>
          <c:tx>
            <c:strRef>
              <c:f>'Assumption edu W'!$L$16</c:f>
              <c:strCache>
                <c:ptCount val="1"/>
                <c:pt idx="0">
                  <c:v>e2</c:v>
                </c:pt>
              </c:strCache>
            </c:strRef>
          </c:tx>
          <c:spPr>
            <a:solidFill>
              <a:schemeClr val="accent3">
                <a:shade val="76000"/>
              </a:schemeClr>
            </a:solidFill>
            <a:ln>
              <a:noFill/>
            </a:ln>
            <a:effectLst/>
          </c:spPr>
          <c:invertIfNegative val="0"/>
          <c:cat>
            <c:multiLvlStrRef>
              <c:f>'Assumption edu W'!$M$13:$R$14</c:f>
              <c:multiLvlStrCache>
                <c:ptCount val="6"/>
                <c:lvl>
                  <c:pt idx="0">
                    <c:v>China</c:v>
                  </c:pt>
                  <c:pt idx="1">
                    <c:v>India</c:v>
                  </c:pt>
                  <c:pt idx="2">
                    <c:v>China</c:v>
                  </c:pt>
                  <c:pt idx="3">
                    <c:v>India</c:v>
                  </c:pt>
                  <c:pt idx="4">
                    <c:v>China</c:v>
                  </c:pt>
                  <c:pt idx="5">
                    <c:v>India</c:v>
                  </c:pt>
                </c:lvl>
                <c:lvl>
                  <c:pt idx="0">
                    <c:v>2020</c:v>
                  </c:pt>
                  <c:pt idx="2">
                    <c:v>2060</c:v>
                  </c:pt>
                  <c:pt idx="4">
                    <c:v>2100</c:v>
                  </c:pt>
                </c:lvl>
              </c:multiLvlStrCache>
            </c:multiLvlStrRef>
          </c:cat>
          <c:val>
            <c:numRef>
              <c:f>'Assumption edu W'!$M$16:$R$16</c:f>
              <c:numCache>
                <c:formatCode>0.0</c:formatCode>
                <c:ptCount val="6"/>
                <c:pt idx="0">
                  <c:v>0.61943951368011962</c:v>
                </c:pt>
                <c:pt idx="1">
                  <c:v>0.57383421409453494</c:v>
                </c:pt>
                <c:pt idx="2">
                  <c:v>0.68955735620124559</c:v>
                </c:pt>
                <c:pt idx="3">
                  <c:v>0.66679519112608676</c:v>
                </c:pt>
                <c:pt idx="4">
                  <c:v>0.71878661899603102</c:v>
                </c:pt>
                <c:pt idx="5">
                  <c:v>0.70163858760470266</c:v>
                </c:pt>
              </c:numCache>
            </c:numRef>
          </c:val>
          <c:extLst>
            <c:ext xmlns:c16="http://schemas.microsoft.com/office/drawing/2014/chart" uri="{C3380CC4-5D6E-409C-BE32-E72D297353CC}">
              <c16:uniqueId val="{00000001-9C99-4FBA-8D1D-0F22905639C8}"/>
            </c:ext>
          </c:extLst>
        </c:ser>
        <c:ser>
          <c:idx val="2"/>
          <c:order val="2"/>
          <c:tx>
            <c:strRef>
              <c:f>'Assumption edu W'!$L$17</c:f>
              <c:strCache>
                <c:ptCount val="1"/>
                <c:pt idx="0">
                  <c:v>e3</c:v>
                </c:pt>
              </c:strCache>
            </c:strRef>
          </c:tx>
          <c:spPr>
            <a:solidFill>
              <a:schemeClr val="accent3"/>
            </a:solidFill>
            <a:ln>
              <a:noFill/>
            </a:ln>
            <a:effectLst/>
          </c:spPr>
          <c:invertIfNegative val="0"/>
          <c:cat>
            <c:multiLvlStrRef>
              <c:f>'Assumption edu W'!$M$13:$R$14</c:f>
              <c:multiLvlStrCache>
                <c:ptCount val="6"/>
                <c:lvl>
                  <c:pt idx="0">
                    <c:v>China</c:v>
                  </c:pt>
                  <c:pt idx="1">
                    <c:v>India</c:v>
                  </c:pt>
                  <c:pt idx="2">
                    <c:v>China</c:v>
                  </c:pt>
                  <c:pt idx="3">
                    <c:v>India</c:v>
                  </c:pt>
                  <c:pt idx="4">
                    <c:v>China</c:v>
                  </c:pt>
                  <c:pt idx="5">
                    <c:v>India</c:v>
                  </c:pt>
                </c:lvl>
                <c:lvl>
                  <c:pt idx="0">
                    <c:v>2020</c:v>
                  </c:pt>
                  <c:pt idx="2">
                    <c:v>2060</c:v>
                  </c:pt>
                  <c:pt idx="4">
                    <c:v>2100</c:v>
                  </c:pt>
                </c:lvl>
              </c:multiLvlStrCache>
            </c:multiLvlStrRef>
          </c:cat>
          <c:val>
            <c:numRef>
              <c:f>'Assumption edu W'!$M$17:$R$17</c:f>
              <c:numCache>
                <c:formatCode>0.0</c:formatCode>
                <c:ptCount val="6"/>
                <c:pt idx="0">
                  <c:v>0.95739423840685411</c:v>
                </c:pt>
                <c:pt idx="1">
                  <c:v>0.95076129704382673</c:v>
                </c:pt>
                <c:pt idx="2">
                  <c:v>0.96677315248451345</c:v>
                </c:pt>
                <c:pt idx="3">
                  <c:v>0.96382750220939972</c:v>
                </c:pt>
                <c:pt idx="4">
                  <c:v>0.97042870616885046</c:v>
                </c:pt>
                <c:pt idx="5">
                  <c:v>0.96830085439406932</c:v>
                </c:pt>
              </c:numCache>
            </c:numRef>
          </c:val>
          <c:extLst>
            <c:ext xmlns:c16="http://schemas.microsoft.com/office/drawing/2014/chart" uri="{C3380CC4-5D6E-409C-BE32-E72D297353CC}">
              <c16:uniqueId val="{00000002-9C99-4FBA-8D1D-0F22905639C8}"/>
            </c:ext>
          </c:extLst>
        </c:ser>
        <c:ser>
          <c:idx val="3"/>
          <c:order val="3"/>
          <c:tx>
            <c:strRef>
              <c:f>'Assumption edu W'!$L$18</c:f>
              <c:strCache>
                <c:ptCount val="1"/>
                <c:pt idx="0">
                  <c:v>e4</c:v>
                </c:pt>
              </c:strCache>
            </c:strRef>
          </c:tx>
          <c:spPr>
            <a:solidFill>
              <a:schemeClr val="accent3">
                <a:tint val="77000"/>
              </a:schemeClr>
            </a:solidFill>
            <a:ln>
              <a:noFill/>
            </a:ln>
            <a:effectLst/>
          </c:spPr>
          <c:invertIfNegative val="0"/>
          <c:cat>
            <c:multiLvlStrRef>
              <c:f>'Assumption edu W'!$M$13:$R$14</c:f>
              <c:multiLvlStrCache>
                <c:ptCount val="6"/>
                <c:lvl>
                  <c:pt idx="0">
                    <c:v>China</c:v>
                  </c:pt>
                  <c:pt idx="1">
                    <c:v>India</c:v>
                  </c:pt>
                  <c:pt idx="2">
                    <c:v>China</c:v>
                  </c:pt>
                  <c:pt idx="3">
                    <c:v>India</c:v>
                  </c:pt>
                  <c:pt idx="4">
                    <c:v>China</c:v>
                  </c:pt>
                  <c:pt idx="5">
                    <c:v>India</c:v>
                  </c:pt>
                </c:lvl>
                <c:lvl>
                  <c:pt idx="0">
                    <c:v>2020</c:v>
                  </c:pt>
                  <c:pt idx="2">
                    <c:v>2060</c:v>
                  </c:pt>
                  <c:pt idx="4">
                    <c:v>2100</c:v>
                  </c:pt>
                </c:lvl>
              </c:multiLvlStrCache>
            </c:multiLvlStrRef>
          </c:cat>
          <c:val>
            <c:numRef>
              <c:f>'Assumption edu W'!$M$18:$R$18</c:f>
              <c:numCache>
                <c:formatCode>0.0</c:formatCode>
                <c:ptCount val="6"/>
                <c:pt idx="0">
                  <c:v>1.4797308009769248</c:v>
                </c:pt>
                <c:pt idx="1">
                  <c:v>1.57527561402524</c:v>
                </c:pt>
                <c:pt idx="2">
                  <c:v>1.3554352222617265</c:v>
                </c:pt>
                <c:pt idx="3">
                  <c:v>1.3931765951196693</c:v>
                </c:pt>
                <c:pt idx="4">
                  <c:v>1.3101688997381697</c:v>
                </c:pt>
                <c:pt idx="5">
                  <c:v>1.3363098341286268</c:v>
                </c:pt>
              </c:numCache>
            </c:numRef>
          </c:val>
          <c:extLst>
            <c:ext xmlns:c16="http://schemas.microsoft.com/office/drawing/2014/chart" uri="{C3380CC4-5D6E-409C-BE32-E72D297353CC}">
              <c16:uniqueId val="{00000003-9C99-4FBA-8D1D-0F22905639C8}"/>
            </c:ext>
          </c:extLst>
        </c:ser>
        <c:ser>
          <c:idx val="4"/>
          <c:order val="4"/>
          <c:tx>
            <c:strRef>
              <c:f>'Assumption edu W'!$L$19</c:f>
              <c:strCache>
                <c:ptCount val="1"/>
                <c:pt idx="0">
                  <c:v>e5</c:v>
                </c:pt>
              </c:strCache>
            </c:strRef>
          </c:tx>
          <c:spPr>
            <a:solidFill>
              <a:schemeClr val="accent3">
                <a:tint val="54000"/>
              </a:schemeClr>
            </a:solidFill>
            <a:ln>
              <a:noFill/>
            </a:ln>
            <a:effectLst/>
          </c:spPr>
          <c:invertIfNegative val="0"/>
          <c:cat>
            <c:multiLvlStrRef>
              <c:f>'Assumption edu W'!$M$13:$R$14</c:f>
              <c:multiLvlStrCache>
                <c:ptCount val="6"/>
                <c:lvl>
                  <c:pt idx="0">
                    <c:v>China</c:v>
                  </c:pt>
                  <c:pt idx="1">
                    <c:v>India</c:v>
                  </c:pt>
                  <c:pt idx="2">
                    <c:v>China</c:v>
                  </c:pt>
                  <c:pt idx="3">
                    <c:v>India</c:v>
                  </c:pt>
                  <c:pt idx="4">
                    <c:v>China</c:v>
                  </c:pt>
                  <c:pt idx="5">
                    <c:v>India</c:v>
                  </c:pt>
                </c:lvl>
                <c:lvl>
                  <c:pt idx="0">
                    <c:v>2020</c:v>
                  </c:pt>
                  <c:pt idx="2">
                    <c:v>2060</c:v>
                  </c:pt>
                  <c:pt idx="4">
                    <c:v>2100</c:v>
                  </c:pt>
                </c:lvl>
              </c:multiLvlStrCache>
            </c:multiLvlStrRef>
          </c:cat>
          <c:val>
            <c:numRef>
              <c:f>'Assumption edu W'!$M$19:$R$19</c:f>
              <c:numCache>
                <c:formatCode>0.00</c:formatCode>
                <c:ptCount val="6"/>
                <c:pt idx="0" formatCode="0.000">
                  <c:v>2.6442666820282033</c:v>
                </c:pt>
                <c:pt idx="1">
                  <c:v>3.0884219047013062</c:v>
                </c:pt>
                <c:pt idx="2" formatCode="0.0">
                  <c:v>2.1269193111946252</c:v>
                </c:pt>
                <c:pt idx="3" formatCode="0.0">
                  <c:v>2.27692457088457</c:v>
                </c:pt>
                <c:pt idx="4" formatCode="0.0">
                  <c:v>1.9549942651384322</c:v>
                </c:pt>
                <c:pt idx="5" formatCode="0.0">
                  <c:v>2.0532238342916616</c:v>
                </c:pt>
              </c:numCache>
            </c:numRef>
          </c:val>
          <c:extLst>
            <c:ext xmlns:c16="http://schemas.microsoft.com/office/drawing/2014/chart" uri="{C3380CC4-5D6E-409C-BE32-E72D297353CC}">
              <c16:uniqueId val="{00000004-9C99-4FBA-8D1D-0F22905639C8}"/>
            </c:ext>
          </c:extLst>
        </c:ser>
        <c:dLbls>
          <c:showLegendKey val="0"/>
          <c:showVal val="0"/>
          <c:showCatName val="0"/>
          <c:showSerName val="0"/>
          <c:showPercent val="0"/>
          <c:showBubbleSize val="0"/>
        </c:dLbls>
        <c:gapWidth val="219"/>
        <c:overlap val="-27"/>
        <c:axId val="664964703"/>
        <c:axId val="371791583"/>
      </c:barChart>
      <c:catAx>
        <c:axId val="6649647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Times New Roman" panose="02020603050405020304" pitchFamily="18" charset="0"/>
              </a:defRPr>
            </a:pPr>
            <a:endParaRPr lang="en-US"/>
          </a:p>
        </c:txPr>
        <c:crossAx val="371791583"/>
        <c:crosses val="autoZero"/>
        <c:auto val="1"/>
        <c:lblAlgn val="ctr"/>
        <c:lblOffset val="100"/>
        <c:noMultiLvlLbl val="0"/>
      </c:catAx>
      <c:valAx>
        <c:axId val="37179158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chemeClr val="tx1"/>
                    </a:solidFill>
                    <a:latin typeface="+mn-lt"/>
                    <a:ea typeface="+mn-ea"/>
                    <a:cs typeface="Times New Roman" panose="02020603050405020304" pitchFamily="18" charset="0"/>
                  </a:defRPr>
                </a:pPr>
                <a:r>
                  <a:rPr lang="en-US" sz="1050">
                    <a:solidFill>
                      <a:schemeClr val="tx1"/>
                    </a:solidFill>
                    <a:latin typeface="+mn-lt"/>
                    <a:cs typeface="Times New Roman" panose="02020603050405020304" pitchFamily="18" charset="0"/>
                  </a:rPr>
                  <a:t>We,c</a:t>
                </a:r>
              </a:p>
            </c:rich>
          </c:tx>
          <c:overlay val="0"/>
          <c:spPr>
            <a:noFill/>
            <a:ln>
              <a:noFill/>
            </a:ln>
            <a:effectLst/>
          </c:spPr>
          <c:txPr>
            <a:bodyPr rot="-5400000" spcFirstLastPara="1" vertOverflow="ellipsis" vert="horz" wrap="square" anchor="ctr" anchorCtr="1"/>
            <a:lstStyle/>
            <a:p>
              <a:pPr>
                <a:defRPr sz="1050" b="0" i="0" u="none" strike="noStrike" kern="1200" baseline="0">
                  <a:solidFill>
                    <a:schemeClr val="tx1"/>
                  </a:solidFill>
                  <a:latin typeface="+mn-lt"/>
                  <a:ea typeface="+mn-ea"/>
                  <a:cs typeface="Times New Roman" panose="02020603050405020304" pitchFamily="18"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6649647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933910524323095"/>
          <c:y val="0.15207089543173705"/>
          <c:w val="0.77786253366743163"/>
          <c:h val="0.68571075557887817"/>
        </c:manualLayout>
      </c:layout>
      <c:lineChart>
        <c:grouping val="standard"/>
        <c:varyColors val="0"/>
        <c:ser>
          <c:idx val="0"/>
          <c:order val="0"/>
          <c:tx>
            <c:strRef>
              <c:f>SAF!$J$2</c:f>
              <c:strCache>
                <c:ptCount val="1"/>
                <c:pt idx="0">
                  <c:v>China</c:v>
                </c:pt>
              </c:strCache>
            </c:strRef>
          </c:tx>
          <c:spPr>
            <a:ln w="28575" cap="rnd">
              <a:solidFill>
                <a:srgbClr val="70AD47"/>
              </a:solidFill>
              <a:round/>
            </a:ln>
            <a:effectLst/>
          </c:spPr>
          <c:marker>
            <c:symbol val="none"/>
          </c:marker>
          <c:cat>
            <c:numRef>
              <c:f>SAF!$A$4:$A$20</c:f>
              <c:numCache>
                <c:formatCode>General</c:formatCode>
                <c:ptCount val="17"/>
                <c:pt idx="0">
                  <c:v>2020</c:v>
                </c:pt>
                <c:pt idx="1">
                  <c:v>2025</c:v>
                </c:pt>
                <c:pt idx="2">
                  <c:v>2030</c:v>
                </c:pt>
                <c:pt idx="3">
                  <c:v>2035</c:v>
                </c:pt>
                <c:pt idx="4">
                  <c:v>2040</c:v>
                </c:pt>
                <c:pt idx="5">
                  <c:v>2045</c:v>
                </c:pt>
                <c:pt idx="6">
                  <c:v>2050</c:v>
                </c:pt>
                <c:pt idx="7">
                  <c:v>2055</c:v>
                </c:pt>
                <c:pt idx="8">
                  <c:v>2060</c:v>
                </c:pt>
                <c:pt idx="9">
                  <c:v>2065</c:v>
                </c:pt>
                <c:pt idx="10">
                  <c:v>2070</c:v>
                </c:pt>
                <c:pt idx="11">
                  <c:v>2075</c:v>
                </c:pt>
                <c:pt idx="12">
                  <c:v>2080</c:v>
                </c:pt>
                <c:pt idx="13">
                  <c:v>2085</c:v>
                </c:pt>
                <c:pt idx="14">
                  <c:v>2090</c:v>
                </c:pt>
                <c:pt idx="15">
                  <c:v>2095</c:v>
                </c:pt>
                <c:pt idx="16">
                  <c:v>2100</c:v>
                </c:pt>
              </c:numCache>
            </c:numRef>
          </c:cat>
          <c:val>
            <c:numRef>
              <c:f>SAF!$J$4:$J$20</c:f>
              <c:numCache>
                <c:formatCode>General</c:formatCode>
                <c:ptCount val="17"/>
                <c:pt idx="0">
                  <c:v>1.1457999999999995</c:v>
                </c:pt>
                <c:pt idx="1">
                  <c:v>1.1795800000000003</c:v>
                </c:pt>
                <c:pt idx="2">
                  <c:v>1.21099</c:v>
                </c:pt>
                <c:pt idx="3">
                  <c:v>1.2400599999999999</c:v>
                </c:pt>
                <c:pt idx="4">
                  <c:v>1.2668200000000001</c:v>
                </c:pt>
                <c:pt idx="5">
                  <c:v>1.2913500000000002</c:v>
                </c:pt>
                <c:pt idx="6">
                  <c:v>1.3137400000000001</c:v>
                </c:pt>
                <c:pt idx="7">
                  <c:v>1.3341000000000001</c:v>
                </c:pt>
                <c:pt idx="8">
                  <c:v>1.3525399999999996</c:v>
                </c:pt>
                <c:pt idx="9">
                  <c:v>1.3692000000000002</c:v>
                </c:pt>
                <c:pt idx="10">
                  <c:v>1.3842099999999999</c:v>
                </c:pt>
                <c:pt idx="11">
                  <c:v>1.3976899999999997</c:v>
                </c:pt>
                <c:pt idx="12">
                  <c:v>1.4097800000000005</c:v>
                </c:pt>
                <c:pt idx="13">
                  <c:v>1.4205899999999994</c:v>
                </c:pt>
                <c:pt idx="14">
                  <c:v>1.4302500000000002</c:v>
                </c:pt>
                <c:pt idx="15">
                  <c:v>1.4388500000000004</c:v>
                </c:pt>
                <c:pt idx="16">
                  <c:v>1.4465100000000002</c:v>
                </c:pt>
              </c:numCache>
            </c:numRef>
          </c:val>
          <c:smooth val="0"/>
          <c:extLst>
            <c:ext xmlns:c16="http://schemas.microsoft.com/office/drawing/2014/chart" uri="{C3380CC4-5D6E-409C-BE32-E72D297353CC}">
              <c16:uniqueId val="{00000000-4D7B-4C43-9BBD-7237650D9F52}"/>
            </c:ext>
          </c:extLst>
        </c:ser>
        <c:ser>
          <c:idx val="2"/>
          <c:order val="1"/>
          <c:tx>
            <c:strRef>
              <c:f>SAF!$L$2</c:f>
              <c:strCache>
                <c:ptCount val="1"/>
                <c:pt idx="0">
                  <c:v>India</c:v>
                </c:pt>
              </c:strCache>
            </c:strRef>
          </c:tx>
          <c:spPr>
            <a:ln w="28575" cap="rnd">
              <a:solidFill>
                <a:srgbClr val="9E480E"/>
              </a:solidFill>
              <a:prstDash val="solid"/>
              <a:round/>
            </a:ln>
            <a:effectLst/>
          </c:spPr>
          <c:marker>
            <c:symbol val="x"/>
            <c:size val="5"/>
            <c:spPr>
              <a:noFill/>
              <a:ln w="9525">
                <a:solidFill>
                  <a:srgbClr val="C00000"/>
                </a:solidFill>
              </a:ln>
              <a:effectLst/>
            </c:spPr>
          </c:marker>
          <c:cat>
            <c:numRef>
              <c:f>SAF!$A$4:$A$20</c:f>
              <c:numCache>
                <c:formatCode>General</c:formatCode>
                <c:ptCount val="17"/>
                <c:pt idx="0">
                  <c:v>2020</c:v>
                </c:pt>
                <c:pt idx="1">
                  <c:v>2025</c:v>
                </c:pt>
                <c:pt idx="2">
                  <c:v>2030</c:v>
                </c:pt>
                <c:pt idx="3">
                  <c:v>2035</c:v>
                </c:pt>
                <c:pt idx="4">
                  <c:v>2040</c:v>
                </c:pt>
                <c:pt idx="5">
                  <c:v>2045</c:v>
                </c:pt>
                <c:pt idx="6">
                  <c:v>2050</c:v>
                </c:pt>
                <c:pt idx="7">
                  <c:v>2055</c:v>
                </c:pt>
                <c:pt idx="8">
                  <c:v>2060</c:v>
                </c:pt>
                <c:pt idx="9">
                  <c:v>2065</c:v>
                </c:pt>
                <c:pt idx="10">
                  <c:v>2070</c:v>
                </c:pt>
                <c:pt idx="11">
                  <c:v>2075</c:v>
                </c:pt>
                <c:pt idx="12">
                  <c:v>2080</c:v>
                </c:pt>
                <c:pt idx="13">
                  <c:v>2085</c:v>
                </c:pt>
                <c:pt idx="14">
                  <c:v>2090</c:v>
                </c:pt>
                <c:pt idx="15">
                  <c:v>2095</c:v>
                </c:pt>
                <c:pt idx="16">
                  <c:v>2100</c:v>
                </c:pt>
              </c:numCache>
            </c:numRef>
          </c:cat>
          <c:val>
            <c:numRef>
              <c:f>SAF!$L$4:$L$20</c:f>
              <c:numCache>
                <c:formatCode>General</c:formatCode>
                <c:ptCount val="17"/>
                <c:pt idx="0">
                  <c:v>0.80421000000000054</c:v>
                </c:pt>
                <c:pt idx="1">
                  <c:v>0.83747999999999923</c:v>
                </c:pt>
                <c:pt idx="2">
                  <c:v>0.87041999999999986</c:v>
                </c:pt>
                <c:pt idx="3">
                  <c:v>0.90289999999999926</c:v>
                </c:pt>
                <c:pt idx="4">
                  <c:v>0.93482000000000043</c:v>
                </c:pt>
                <c:pt idx="5">
                  <c:v>0.96603999999999979</c:v>
                </c:pt>
                <c:pt idx="6">
                  <c:v>0.99650000000000039</c:v>
                </c:pt>
                <c:pt idx="7">
                  <c:v>1.0260799999999994</c:v>
                </c:pt>
                <c:pt idx="8">
                  <c:v>1.0547199999999994</c:v>
                </c:pt>
                <c:pt idx="9">
                  <c:v>1.0823599999999998</c:v>
                </c:pt>
                <c:pt idx="10">
                  <c:v>1.1089399999999998</c:v>
                </c:pt>
                <c:pt idx="11">
                  <c:v>1.1344199999999998</c:v>
                </c:pt>
                <c:pt idx="12">
                  <c:v>1.1587700000000001</c:v>
                </c:pt>
                <c:pt idx="13">
                  <c:v>1.1819900000000001</c:v>
                </c:pt>
                <c:pt idx="14">
                  <c:v>1.2040500000000005</c:v>
                </c:pt>
                <c:pt idx="15">
                  <c:v>1.22496</c:v>
                </c:pt>
                <c:pt idx="16">
                  <c:v>1.2447400000000002</c:v>
                </c:pt>
              </c:numCache>
            </c:numRef>
          </c:val>
          <c:smooth val="0"/>
          <c:extLst>
            <c:ext xmlns:c16="http://schemas.microsoft.com/office/drawing/2014/chart" uri="{C3380CC4-5D6E-409C-BE32-E72D297353CC}">
              <c16:uniqueId val="{00000001-4D7B-4C43-9BBD-7237650D9F52}"/>
            </c:ext>
          </c:extLst>
        </c:ser>
        <c:dLbls>
          <c:showLegendKey val="0"/>
          <c:showVal val="0"/>
          <c:showCatName val="0"/>
          <c:showSerName val="0"/>
          <c:showPercent val="0"/>
          <c:showBubbleSize val="0"/>
        </c:dLbls>
        <c:smooth val="0"/>
        <c:axId val="441020616"/>
        <c:axId val="441022584"/>
      </c:lineChart>
      <c:catAx>
        <c:axId val="4410206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tx1">
                <a:lumMod val="15000"/>
                <a:lumOff val="85000"/>
              </a:schemeClr>
            </a:solidFill>
            <a:prstDash val="sysDot"/>
            <a:round/>
          </a:ln>
          <a:effectLst/>
        </c:spPr>
        <c:txPr>
          <a:bodyPr rot="-2700000" spcFirstLastPara="1" vertOverflow="ellipsis"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441022584"/>
        <c:crosses val="autoZero"/>
        <c:auto val="1"/>
        <c:lblAlgn val="ctr"/>
        <c:lblOffset val="100"/>
        <c:tickMarkSkip val="2"/>
        <c:noMultiLvlLbl val="0"/>
      </c:catAx>
      <c:valAx>
        <c:axId val="441022584"/>
        <c:scaling>
          <c:orientation val="minMax"/>
        </c:scaling>
        <c:delete val="0"/>
        <c:axPos val="l"/>
        <c:majorGridlines>
          <c:spPr>
            <a:ln w="9525" cap="flat" cmpd="sng" algn="ctr">
              <a:solidFill>
                <a:schemeClr val="tx1">
                  <a:lumMod val="15000"/>
                  <a:lumOff val="85000"/>
                </a:schemeClr>
              </a:solidFill>
              <a:prstDash val="sysDot"/>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441020616"/>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Times New Roman" panose="02020603050405020304" pitchFamily="18" charset="0"/>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147468679817084"/>
          <c:y val="7.4237146827234826E-2"/>
          <c:w val="0.57700624484797824"/>
          <c:h val="0.7582124828197454"/>
        </c:manualLayout>
      </c:layout>
      <c:lineChart>
        <c:grouping val="standard"/>
        <c:varyColors val="0"/>
        <c:ser>
          <c:idx val="0"/>
          <c:order val="0"/>
          <c:tx>
            <c:strRef>
              <c:f>'Assumption edu W'!$B$2</c:f>
              <c:strCache>
                <c:ptCount val="1"/>
                <c:pt idx="0">
                  <c:v>China - Average trend</c:v>
                </c:pt>
              </c:strCache>
            </c:strRef>
          </c:tx>
          <c:spPr>
            <a:ln w="28575" cap="rnd">
              <a:solidFill>
                <a:srgbClr val="70AD47"/>
              </a:solidFill>
              <a:round/>
            </a:ln>
            <a:effectLst/>
          </c:spPr>
          <c:marker>
            <c:symbol val="none"/>
          </c:marker>
          <c:cat>
            <c:numRef>
              <c:f>'Assumption edu W'!$A$3:$A$19</c:f>
              <c:numCache>
                <c:formatCode>General</c:formatCode>
                <c:ptCount val="17"/>
                <c:pt idx="0">
                  <c:v>2020</c:v>
                </c:pt>
                <c:pt idx="1">
                  <c:v>2025</c:v>
                </c:pt>
                <c:pt idx="2">
                  <c:v>2030</c:v>
                </c:pt>
                <c:pt idx="3">
                  <c:v>2035</c:v>
                </c:pt>
                <c:pt idx="4">
                  <c:v>2040</c:v>
                </c:pt>
                <c:pt idx="5">
                  <c:v>2045</c:v>
                </c:pt>
                <c:pt idx="6">
                  <c:v>2050</c:v>
                </c:pt>
                <c:pt idx="7">
                  <c:v>2055</c:v>
                </c:pt>
                <c:pt idx="8">
                  <c:v>2060</c:v>
                </c:pt>
                <c:pt idx="9">
                  <c:v>2065</c:v>
                </c:pt>
                <c:pt idx="10">
                  <c:v>2070</c:v>
                </c:pt>
                <c:pt idx="11">
                  <c:v>2075</c:v>
                </c:pt>
                <c:pt idx="12">
                  <c:v>2080</c:v>
                </c:pt>
                <c:pt idx="13">
                  <c:v>2085</c:v>
                </c:pt>
                <c:pt idx="14">
                  <c:v>2090</c:v>
                </c:pt>
                <c:pt idx="15">
                  <c:v>2095</c:v>
                </c:pt>
                <c:pt idx="16">
                  <c:v>2100</c:v>
                </c:pt>
              </c:numCache>
            </c:numRef>
          </c:cat>
          <c:val>
            <c:numRef>
              <c:f>'Assumption edu W'!$B$3:$B$19</c:f>
              <c:numCache>
                <c:formatCode>0</c:formatCode>
                <c:ptCount val="17"/>
                <c:pt idx="0">
                  <c:v>10.3422</c:v>
                </c:pt>
                <c:pt idx="1">
                  <c:v>11.0001</c:v>
                </c:pt>
                <c:pt idx="2">
                  <c:v>11.735900000000001</c:v>
                </c:pt>
                <c:pt idx="3">
                  <c:v>12.422499999999999</c:v>
                </c:pt>
                <c:pt idx="4">
                  <c:v>13.1335</c:v>
                </c:pt>
                <c:pt idx="5">
                  <c:v>13.8278</c:v>
                </c:pt>
                <c:pt idx="6">
                  <c:v>14.3375</c:v>
                </c:pt>
                <c:pt idx="7">
                  <c:v>14.685</c:v>
                </c:pt>
                <c:pt idx="8">
                  <c:v>14.946300000000001</c:v>
                </c:pt>
                <c:pt idx="9">
                  <c:v>15.150499999999999</c:v>
                </c:pt>
                <c:pt idx="10">
                  <c:v>15.3093</c:v>
                </c:pt>
                <c:pt idx="11">
                  <c:v>15.4185</c:v>
                </c:pt>
                <c:pt idx="12">
                  <c:v>15.4735</c:v>
                </c:pt>
                <c:pt idx="13">
                  <c:v>15.5075</c:v>
                </c:pt>
                <c:pt idx="14">
                  <c:v>15.5307</c:v>
                </c:pt>
                <c:pt idx="15">
                  <c:v>15.5471</c:v>
                </c:pt>
                <c:pt idx="16">
                  <c:v>15.5587</c:v>
                </c:pt>
              </c:numCache>
            </c:numRef>
          </c:val>
          <c:smooth val="0"/>
          <c:extLst>
            <c:ext xmlns:c16="http://schemas.microsoft.com/office/drawing/2014/chart" uri="{C3380CC4-5D6E-409C-BE32-E72D297353CC}">
              <c16:uniqueId val="{00000000-CA43-49EE-BC08-0FC5496FBFE5}"/>
            </c:ext>
          </c:extLst>
        </c:ser>
        <c:ser>
          <c:idx val="2"/>
          <c:order val="1"/>
          <c:tx>
            <c:strRef>
              <c:f>'Assumption edu W'!$D$2</c:f>
              <c:strCache>
                <c:ptCount val="1"/>
                <c:pt idx="0">
                  <c:v>India - Average trend</c:v>
                </c:pt>
              </c:strCache>
            </c:strRef>
          </c:tx>
          <c:spPr>
            <a:ln w="28575" cap="rnd">
              <a:solidFill>
                <a:srgbClr val="9E480E"/>
              </a:solidFill>
              <a:prstDash val="solid"/>
              <a:round/>
            </a:ln>
            <a:effectLst/>
          </c:spPr>
          <c:marker>
            <c:symbol val="x"/>
            <c:size val="5"/>
            <c:spPr>
              <a:noFill/>
              <a:ln w="9525">
                <a:solidFill>
                  <a:srgbClr val="9E480E"/>
                </a:solidFill>
              </a:ln>
              <a:effectLst/>
            </c:spPr>
          </c:marker>
          <c:cat>
            <c:numRef>
              <c:f>'Assumption edu W'!$A$3:$A$19</c:f>
              <c:numCache>
                <c:formatCode>General</c:formatCode>
                <c:ptCount val="17"/>
                <c:pt idx="0">
                  <c:v>2020</c:v>
                </c:pt>
                <c:pt idx="1">
                  <c:v>2025</c:v>
                </c:pt>
                <c:pt idx="2">
                  <c:v>2030</c:v>
                </c:pt>
                <c:pt idx="3">
                  <c:v>2035</c:v>
                </c:pt>
                <c:pt idx="4">
                  <c:v>2040</c:v>
                </c:pt>
                <c:pt idx="5">
                  <c:v>2045</c:v>
                </c:pt>
                <c:pt idx="6">
                  <c:v>2050</c:v>
                </c:pt>
                <c:pt idx="7">
                  <c:v>2055</c:v>
                </c:pt>
                <c:pt idx="8">
                  <c:v>2060</c:v>
                </c:pt>
                <c:pt idx="9">
                  <c:v>2065</c:v>
                </c:pt>
                <c:pt idx="10">
                  <c:v>2070</c:v>
                </c:pt>
                <c:pt idx="11">
                  <c:v>2075</c:v>
                </c:pt>
                <c:pt idx="12">
                  <c:v>2080</c:v>
                </c:pt>
                <c:pt idx="13">
                  <c:v>2085</c:v>
                </c:pt>
                <c:pt idx="14">
                  <c:v>2090</c:v>
                </c:pt>
                <c:pt idx="15">
                  <c:v>2095</c:v>
                </c:pt>
                <c:pt idx="16">
                  <c:v>2100</c:v>
                </c:pt>
              </c:numCache>
            </c:numRef>
          </c:cat>
          <c:val>
            <c:numRef>
              <c:f>'Assumption edu W'!$D$3:$D$19</c:f>
              <c:numCache>
                <c:formatCode>0.0</c:formatCode>
                <c:ptCount val="17"/>
                <c:pt idx="0">
                  <c:v>7.6325000000000003</c:v>
                </c:pt>
                <c:pt idx="1">
                  <c:v>8.3963999999999999</c:v>
                </c:pt>
                <c:pt idx="2">
                  <c:v>9.1757000000000009</c:v>
                </c:pt>
                <c:pt idx="3">
                  <c:v>9.9101999999999997</c:v>
                </c:pt>
                <c:pt idx="4">
                  <c:v>10.622299999999999</c:v>
                </c:pt>
                <c:pt idx="5">
                  <c:v>11.2775</c:v>
                </c:pt>
                <c:pt idx="6">
                  <c:v>11.822800000000001</c:v>
                </c:pt>
                <c:pt idx="7">
                  <c:v>12.2875</c:v>
                </c:pt>
                <c:pt idx="8">
                  <c:v>12.6868</c:v>
                </c:pt>
                <c:pt idx="9">
                  <c:v>13.023</c:v>
                </c:pt>
                <c:pt idx="10">
                  <c:v>13.3043</c:v>
                </c:pt>
                <c:pt idx="11">
                  <c:v>13.5433</c:v>
                </c:pt>
                <c:pt idx="12">
                  <c:v>13.7554</c:v>
                </c:pt>
                <c:pt idx="13">
                  <c:v>13.943</c:v>
                </c:pt>
                <c:pt idx="14">
                  <c:v>14.108700000000001</c:v>
                </c:pt>
                <c:pt idx="15">
                  <c:v>14.261900000000001</c:v>
                </c:pt>
                <c:pt idx="16">
                  <c:v>14.4011</c:v>
                </c:pt>
              </c:numCache>
            </c:numRef>
          </c:val>
          <c:smooth val="0"/>
          <c:extLst>
            <c:ext xmlns:c16="http://schemas.microsoft.com/office/drawing/2014/chart" uri="{C3380CC4-5D6E-409C-BE32-E72D297353CC}">
              <c16:uniqueId val="{00000001-CA43-49EE-BC08-0FC5496FBFE5}"/>
            </c:ext>
          </c:extLst>
        </c:ser>
        <c:ser>
          <c:idx val="1"/>
          <c:order val="2"/>
          <c:tx>
            <c:v>China - Stalled development in education</c:v>
          </c:tx>
          <c:spPr>
            <a:ln w="28575" cap="rnd">
              <a:solidFill>
                <a:srgbClr val="70AD47"/>
              </a:solidFill>
              <a:prstDash val="sysDash"/>
              <a:round/>
            </a:ln>
            <a:effectLst/>
          </c:spPr>
          <c:marker>
            <c:symbol val="none"/>
          </c:marker>
          <c:val>
            <c:numRef>
              <c:f>'Assumption edu W'!$C$3:$C$19</c:f>
              <c:numCache>
                <c:formatCode>0.0</c:formatCode>
                <c:ptCount val="17"/>
                <c:pt idx="0">
                  <c:v>10.3422</c:v>
                </c:pt>
                <c:pt idx="1">
                  <c:v>10.9284</c:v>
                </c:pt>
                <c:pt idx="2">
                  <c:v>11.497</c:v>
                </c:pt>
                <c:pt idx="3">
                  <c:v>11.920400000000001</c:v>
                </c:pt>
                <c:pt idx="4">
                  <c:v>12.268700000000001</c:v>
                </c:pt>
                <c:pt idx="5">
                  <c:v>12.508800000000001</c:v>
                </c:pt>
                <c:pt idx="6">
                  <c:v>12.578099999999999</c:v>
                </c:pt>
                <c:pt idx="7">
                  <c:v>12.5855</c:v>
                </c:pt>
                <c:pt idx="8">
                  <c:v>12.5863</c:v>
                </c:pt>
                <c:pt idx="9">
                  <c:v>12.587199999999999</c:v>
                </c:pt>
                <c:pt idx="10">
                  <c:v>12.5876</c:v>
                </c:pt>
                <c:pt idx="11">
                  <c:v>12.5875</c:v>
                </c:pt>
                <c:pt idx="12">
                  <c:v>12.588200000000001</c:v>
                </c:pt>
                <c:pt idx="13">
                  <c:v>12.5891</c:v>
                </c:pt>
                <c:pt idx="14">
                  <c:v>12.5901</c:v>
                </c:pt>
                <c:pt idx="15">
                  <c:v>12.590999999999999</c:v>
                </c:pt>
                <c:pt idx="16">
                  <c:v>12.5916</c:v>
                </c:pt>
              </c:numCache>
            </c:numRef>
          </c:val>
          <c:smooth val="0"/>
          <c:extLst>
            <c:ext xmlns:c16="http://schemas.microsoft.com/office/drawing/2014/chart" uri="{C3380CC4-5D6E-409C-BE32-E72D297353CC}">
              <c16:uniqueId val="{00000002-CA43-49EE-BC08-0FC5496FBFE5}"/>
            </c:ext>
          </c:extLst>
        </c:ser>
        <c:ser>
          <c:idx val="3"/>
          <c:order val="3"/>
          <c:tx>
            <c:v>India - Stalled development in education</c:v>
          </c:tx>
          <c:spPr>
            <a:ln w="28575" cap="rnd">
              <a:solidFill>
                <a:srgbClr val="9E480E"/>
              </a:solidFill>
              <a:prstDash val="sysDash"/>
              <a:round/>
            </a:ln>
            <a:effectLst/>
          </c:spPr>
          <c:marker>
            <c:symbol val="x"/>
            <c:size val="5"/>
            <c:spPr>
              <a:noFill/>
              <a:ln w="9525">
                <a:solidFill>
                  <a:srgbClr val="9E480E"/>
                </a:solidFill>
              </a:ln>
              <a:effectLst/>
            </c:spPr>
          </c:marker>
          <c:val>
            <c:numRef>
              <c:f>'Assumption edu W'!$E$3:$E$19</c:f>
              <c:numCache>
                <c:formatCode>0.0</c:formatCode>
                <c:ptCount val="17"/>
                <c:pt idx="0">
                  <c:v>7.6325000000000003</c:v>
                </c:pt>
                <c:pt idx="1">
                  <c:v>8.3843999999999994</c:v>
                </c:pt>
                <c:pt idx="2">
                  <c:v>9.093</c:v>
                </c:pt>
                <c:pt idx="3">
                  <c:v>9.6593999999999998</c:v>
                </c:pt>
                <c:pt idx="4">
                  <c:v>10.1274</c:v>
                </c:pt>
                <c:pt idx="5">
                  <c:v>10.4831</c:v>
                </c:pt>
                <c:pt idx="6">
                  <c:v>10.6852</c:v>
                </c:pt>
                <c:pt idx="7">
                  <c:v>10.757199999999999</c:v>
                </c:pt>
                <c:pt idx="8">
                  <c:v>10.7559</c:v>
                </c:pt>
                <c:pt idx="9">
                  <c:v>10.754799999999999</c:v>
                </c:pt>
                <c:pt idx="10">
                  <c:v>10.754099999999999</c:v>
                </c:pt>
                <c:pt idx="11">
                  <c:v>10.7538</c:v>
                </c:pt>
                <c:pt idx="12">
                  <c:v>10.754099999999999</c:v>
                </c:pt>
                <c:pt idx="13">
                  <c:v>10.7547</c:v>
                </c:pt>
                <c:pt idx="14">
                  <c:v>10.755599999999999</c:v>
                </c:pt>
                <c:pt idx="15">
                  <c:v>10.756500000000001</c:v>
                </c:pt>
                <c:pt idx="16">
                  <c:v>10.7577</c:v>
                </c:pt>
              </c:numCache>
            </c:numRef>
          </c:val>
          <c:smooth val="0"/>
          <c:extLst>
            <c:ext xmlns:c16="http://schemas.microsoft.com/office/drawing/2014/chart" uri="{C3380CC4-5D6E-409C-BE32-E72D297353CC}">
              <c16:uniqueId val="{00000003-CA43-49EE-BC08-0FC5496FBFE5}"/>
            </c:ext>
          </c:extLst>
        </c:ser>
        <c:dLbls>
          <c:showLegendKey val="0"/>
          <c:showVal val="0"/>
          <c:showCatName val="0"/>
          <c:showSerName val="0"/>
          <c:showPercent val="0"/>
          <c:showBubbleSize val="0"/>
        </c:dLbls>
        <c:smooth val="0"/>
        <c:axId val="441020616"/>
        <c:axId val="441022584"/>
      </c:lineChart>
      <c:catAx>
        <c:axId val="4410206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tx1">
                <a:lumMod val="15000"/>
                <a:lumOff val="85000"/>
              </a:schemeClr>
            </a:solidFill>
            <a:prstDash val="sysDot"/>
            <a:round/>
          </a:ln>
          <a:effectLst/>
        </c:spPr>
        <c:txPr>
          <a:bodyPr rot="-2700000" spcFirstLastPara="1" vertOverflow="ellipsis" wrap="square" anchor="ctr" anchorCtr="1"/>
          <a:lstStyle/>
          <a:p>
            <a:pPr>
              <a:defRPr sz="1000" b="0" i="0" u="none" strike="noStrike" kern="1200" baseline="0">
                <a:solidFill>
                  <a:schemeClr val="tx1"/>
                </a:solidFill>
                <a:latin typeface="+mn-lt"/>
                <a:ea typeface="+mn-ea"/>
                <a:cs typeface="Times New Roman" panose="02020603050405020304" pitchFamily="18" charset="0"/>
              </a:defRPr>
            </a:pPr>
            <a:endParaRPr lang="en-US"/>
          </a:p>
        </c:txPr>
        <c:crossAx val="441022584"/>
        <c:crosses val="autoZero"/>
        <c:auto val="1"/>
        <c:lblAlgn val="ctr"/>
        <c:lblOffset val="100"/>
        <c:tickMarkSkip val="2"/>
        <c:noMultiLvlLbl val="0"/>
      </c:catAx>
      <c:valAx>
        <c:axId val="441022584"/>
        <c:scaling>
          <c:orientation val="minMax"/>
        </c:scaling>
        <c:delete val="0"/>
        <c:axPos val="l"/>
        <c:majorGridlines>
          <c:spPr>
            <a:ln w="9525" cap="flat" cmpd="sng" algn="ctr">
              <a:solidFill>
                <a:schemeClr val="tx1">
                  <a:lumMod val="15000"/>
                  <a:lumOff val="85000"/>
                </a:schemeClr>
              </a:solidFill>
              <a:prstDash val="sysDot"/>
              <a:round/>
            </a:ln>
            <a:effectLst/>
          </c:spPr>
        </c:majorGridlines>
        <c:title>
          <c:tx>
            <c:rich>
              <a:bodyPr rot="-5400000" spcFirstLastPara="1" vertOverflow="ellipsis" vert="horz" wrap="square" anchor="ctr" anchorCtr="1"/>
              <a:lstStyle/>
              <a:p>
                <a:pPr>
                  <a:defRPr sz="1050" b="0" i="0" u="none" strike="noStrike" kern="1200" baseline="0">
                    <a:solidFill>
                      <a:schemeClr val="tx1"/>
                    </a:solidFill>
                    <a:latin typeface="+mn-lt"/>
                    <a:ea typeface="+mn-ea"/>
                    <a:cs typeface="Times New Roman" panose="02020603050405020304" pitchFamily="18" charset="0"/>
                  </a:defRPr>
                </a:pPr>
                <a:r>
                  <a:rPr lang="en-US" sz="1050">
                    <a:latin typeface="+mn-lt"/>
                    <a:cs typeface="Times New Roman" panose="02020603050405020304" pitchFamily="18" charset="0"/>
                  </a:rPr>
                  <a:t>Average years of schooling</a:t>
                </a:r>
              </a:p>
            </c:rich>
          </c:tx>
          <c:overlay val="0"/>
          <c:spPr>
            <a:noFill/>
            <a:ln>
              <a:noFill/>
            </a:ln>
            <a:effectLst/>
          </c:spPr>
          <c:txPr>
            <a:bodyPr rot="-5400000" spcFirstLastPara="1" vertOverflow="ellipsis" vert="horz" wrap="square" anchor="ctr" anchorCtr="1"/>
            <a:lstStyle/>
            <a:p>
              <a:pPr>
                <a:defRPr sz="1050" b="0" i="0" u="none" strike="noStrike" kern="1200" baseline="0">
                  <a:solidFill>
                    <a:schemeClr val="tx1"/>
                  </a:solidFill>
                  <a:latin typeface="+mn-lt"/>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Times New Roman" panose="02020603050405020304" pitchFamily="18" charset="0"/>
              </a:defRPr>
            </a:pPr>
            <a:endParaRPr lang="en-US"/>
          </a:p>
        </c:txPr>
        <c:crossAx val="441020616"/>
        <c:crosses val="autoZero"/>
        <c:crossBetween val="midCat"/>
      </c:valAx>
      <c:spPr>
        <a:noFill/>
        <a:ln>
          <a:noFill/>
        </a:ln>
        <a:effectLst/>
      </c:spPr>
    </c:plotArea>
    <c:legend>
      <c:legendPos val="t"/>
      <c:layout>
        <c:manualLayout>
          <c:xMode val="edge"/>
          <c:yMode val="edge"/>
          <c:x val="0.69983239051151436"/>
          <c:y val="0.22247241525478156"/>
          <c:w val="0.29791864963241904"/>
          <c:h val="0.51996024456975509"/>
        </c:manualLayout>
      </c:layout>
      <c:overlay val="0"/>
      <c:spPr>
        <a:noFill/>
        <a:ln>
          <a:noFill/>
        </a:ln>
        <a:effectLst/>
      </c:spPr>
      <c:txPr>
        <a:bodyPr rot="0" spcFirstLastPara="1" vertOverflow="ellipsis" vert="horz" wrap="square" anchor="ctr" anchorCtr="1"/>
        <a:lstStyle/>
        <a:p>
          <a:pPr>
            <a:spcAft>
              <a:spcPts val="0"/>
            </a:spcAft>
            <a:defRPr sz="900" b="0" i="0" u="none" strike="noStrike" kern="1200" baseline="0">
              <a:solidFill>
                <a:schemeClr val="tx1"/>
              </a:solidFill>
              <a:latin typeface="+mn-lt"/>
              <a:ea typeface="+mn-ea"/>
              <a:cs typeface="Times New Roman" panose="02020603050405020304" pitchFamily="18" charset="0"/>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a:solidFill>
            <a:schemeClr val="tx1"/>
          </a:solidFill>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37063492063492"/>
          <c:y val="6.4553901022719934E-2"/>
          <c:w val="0.80143333333333333"/>
          <c:h val="2.100443326937074E-2"/>
        </c:manualLayout>
      </c:layout>
      <c:lineChart>
        <c:grouping val="standard"/>
        <c:varyColors val="0"/>
        <c:ser>
          <c:idx val="0"/>
          <c:order val="0"/>
          <c:tx>
            <c:strRef>
              <c:f>Sheet1!$B$6</c:f>
              <c:strCache>
                <c:ptCount val="1"/>
                <c:pt idx="0">
                  <c:v>Less than upper secondary</c:v>
                </c:pt>
              </c:strCache>
            </c:strRef>
          </c:tx>
          <c:spPr>
            <a:ln w="19050" cap="rnd">
              <a:solidFill>
                <a:schemeClr val="tx2"/>
              </a:solidFill>
              <a:round/>
            </a:ln>
            <a:effectLst/>
          </c:spPr>
          <c:marker>
            <c:symbol val="none"/>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Sheet1!$B$7:$B$18</c:f>
              <c:numCache>
                <c:formatCode>General</c:formatCode>
                <c:ptCount val="12"/>
                <c:pt idx="0">
                  <c:v>0.49459330959872028</c:v>
                </c:pt>
                <c:pt idx="1">
                  <c:v>0.57645698000862722</c:v>
                </c:pt>
                <c:pt idx="2">
                  <c:v>0.58309701483629439</c:v>
                </c:pt>
                <c:pt idx="3">
                  <c:v>0.64931176379613398</c:v>
                </c:pt>
                <c:pt idx="4">
                  <c:v>0.72173470908564019</c:v>
                </c:pt>
                <c:pt idx="5">
                  <c:v>0.77668274905535206</c:v>
                </c:pt>
                <c:pt idx="6">
                  <c:v>0.71100430519100843</c:v>
                </c:pt>
                <c:pt idx="7">
                  <c:v>0.56039160908696006</c:v>
                </c:pt>
                <c:pt idx="8">
                  <c:v>0.45275320193729868</c:v>
                </c:pt>
                <c:pt idx="9">
                  <c:v>0.38378086282168067</c:v>
                </c:pt>
                <c:pt idx="10">
                  <c:v>0.28240580106127089</c:v>
                </c:pt>
                <c:pt idx="11">
                  <c:v>0.17971540294420157</c:v>
                </c:pt>
              </c:numCache>
            </c:numRef>
          </c:val>
          <c:smooth val="1"/>
          <c:extLst>
            <c:ext xmlns:c16="http://schemas.microsoft.com/office/drawing/2014/chart" uri="{C3380CC4-5D6E-409C-BE32-E72D297353CC}">
              <c16:uniqueId val="{00000000-BEFB-476C-B057-1CD8B4847D8F}"/>
            </c:ext>
          </c:extLst>
        </c:ser>
        <c:ser>
          <c:idx val="1"/>
          <c:order val="1"/>
          <c:tx>
            <c:strRef>
              <c:f>Sheet1!$C$6</c:f>
              <c:strCache>
                <c:ptCount val="1"/>
                <c:pt idx="0">
                  <c:v>Upper secondary</c:v>
                </c:pt>
              </c:strCache>
            </c:strRef>
          </c:tx>
          <c:spPr>
            <a:ln w="15875" cap="rnd">
              <a:solidFill>
                <a:schemeClr val="tx2"/>
              </a:solidFill>
              <a:round/>
            </a:ln>
            <a:effectLst/>
          </c:spPr>
          <c:marker>
            <c:symbol val="square"/>
            <c:size val="5"/>
            <c:spPr>
              <a:solidFill>
                <a:schemeClr val="tx2"/>
              </a:solidFill>
              <a:ln w="9525">
                <a:noFill/>
              </a:ln>
              <a:effectLst/>
            </c:spPr>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Sheet1!$C$7:$C$18</c:f>
              <c:numCache>
                <c:formatCode>General</c:formatCode>
                <c:ptCount val="12"/>
                <c:pt idx="0">
                  <c:v>0.49459330959872028</c:v>
                </c:pt>
                <c:pt idx="1">
                  <c:v>0.67548400494247385</c:v>
                </c:pt>
                <c:pt idx="2">
                  <c:v>0.70950797171263302</c:v>
                </c:pt>
                <c:pt idx="3">
                  <c:v>0.75061734714862283</c:v>
                </c:pt>
                <c:pt idx="4">
                  <c:v>0.75058891861127019</c:v>
                </c:pt>
                <c:pt idx="5">
                  <c:v>0.79976413127131896</c:v>
                </c:pt>
                <c:pt idx="6">
                  <c:v>0.76452614396190532</c:v>
                </c:pt>
                <c:pt idx="7">
                  <c:v>0.44950068586603498</c:v>
                </c:pt>
                <c:pt idx="8">
                  <c:v>0.21158556709133253</c:v>
                </c:pt>
                <c:pt idx="9">
                  <c:v>0.12707694047095827</c:v>
                </c:pt>
                <c:pt idx="10">
                  <c:v>7.5917157062330862E-2</c:v>
                </c:pt>
                <c:pt idx="11">
                  <c:v>1.7745502514533149E-2</c:v>
                </c:pt>
              </c:numCache>
            </c:numRef>
          </c:val>
          <c:smooth val="1"/>
          <c:extLst>
            <c:ext xmlns:c16="http://schemas.microsoft.com/office/drawing/2014/chart" uri="{C3380CC4-5D6E-409C-BE32-E72D297353CC}">
              <c16:uniqueId val="{00000001-BEFB-476C-B057-1CD8B4847D8F}"/>
            </c:ext>
          </c:extLst>
        </c:ser>
        <c:ser>
          <c:idx val="2"/>
          <c:order val="2"/>
          <c:tx>
            <c:strRef>
              <c:f>Sheet1!$D$6</c:f>
              <c:strCache>
                <c:ptCount val="1"/>
                <c:pt idx="0">
                  <c:v>Postsecondary</c:v>
                </c:pt>
              </c:strCache>
            </c:strRef>
          </c:tx>
          <c:spPr>
            <a:ln w="15875" cap="rnd">
              <a:solidFill>
                <a:sysClr val="windowText" lastClr="000000">
                  <a:lumMod val="75000"/>
                  <a:lumOff val="25000"/>
                </a:sysClr>
              </a:solidFill>
              <a:prstDash val="sysDash"/>
              <a:round/>
            </a:ln>
            <a:effectLst/>
          </c:spPr>
          <c:marker>
            <c:symbol val="none"/>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Sheet1!$D$7:$D$18</c:f>
              <c:numCache>
                <c:formatCode>General</c:formatCode>
                <c:ptCount val="12"/>
                <c:pt idx="0">
                  <c:v>0.49459330959872028</c:v>
                </c:pt>
                <c:pt idx="1">
                  <c:v>0.62061543679418019</c:v>
                </c:pt>
                <c:pt idx="2">
                  <c:v>0.88043314410976492</c:v>
                </c:pt>
                <c:pt idx="3">
                  <c:v>0.89992212420068252</c:v>
                </c:pt>
                <c:pt idx="4">
                  <c:v>0.93717611093362074</c:v>
                </c:pt>
                <c:pt idx="5">
                  <c:v>0.91888695978822843</c:v>
                </c:pt>
                <c:pt idx="6">
                  <c:v>0.91458124879069869</c:v>
                </c:pt>
                <c:pt idx="7">
                  <c:v>0.76086387855575699</c:v>
                </c:pt>
                <c:pt idx="8">
                  <c:v>0.34728064415334736</c:v>
                </c:pt>
                <c:pt idx="9">
                  <c:v>7.7462995573385249E-2</c:v>
                </c:pt>
                <c:pt idx="10">
                  <c:v>0.11242325682065221</c:v>
                </c:pt>
                <c:pt idx="11">
                  <c:v>2.2028509513533311E-2</c:v>
                </c:pt>
              </c:numCache>
            </c:numRef>
          </c:val>
          <c:smooth val="1"/>
          <c:extLst>
            <c:ext xmlns:c16="http://schemas.microsoft.com/office/drawing/2014/chart" uri="{C3380CC4-5D6E-409C-BE32-E72D297353CC}">
              <c16:uniqueId val="{00000002-BEFB-476C-B057-1CD8B4847D8F}"/>
            </c:ext>
          </c:extLst>
        </c:ser>
        <c:dLbls>
          <c:showLegendKey val="0"/>
          <c:showVal val="0"/>
          <c:showCatName val="0"/>
          <c:showSerName val="0"/>
          <c:showPercent val="0"/>
          <c:showBubbleSize val="0"/>
        </c:dLbls>
        <c:smooth val="0"/>
        <c:axId val="836646776"/>
        <c:axId val="836644808"/>
      </c:lineChart>
      <c:catAx>
        <c:axId val="836646776"/>
        <c:scaling>
          <c:orientation val="minMax"/>
        </c:scaling>
        <c:delete val="1"/>
        <c:axPos val="b"/>
        <c:majorGridlines>
          <c:spPr>
            <a:ln w="9525" cap="flat" cmpd="sng" algn="ctr">
              <a:solidFill>
                <a:schemeClr val="tx1">
                  <a:lumMod val="15000"/>
                  <a:lumOff val="85000"/>
                </a:schemeClr>
              </a:solidFill>
              <a:prstDash val="sysDash"/>
              <a:round/>
            </a:ln>
            <a:effectLst/>
          </c:spPr>
        </c:majorGridlines>
        <c:numFmt formatCode="General" sourceLinked="1"/>
        <c:majorTickMark val="none"/>
        <c:minorTickMark val="none"/>
        <c:tickLblPos val="nextTo"/>
        <c:crossAx val="836644808"/>
        <c:crosses val="autoZero"/>
        <c:auto val="1"/>
        <c:lblAlgn val="ctr"/>
        <c:lblOffset val="100"/>
        <c:noMultiLvlLbl val="0"/>
      </c:catAx>
      <c:valAx>
        <c:axId val="836644808"/>
        <c:scaling>
          <c:orientation val="minMax"/>
        </c:scaling>
        <c:delete val="1"/>
        <c:axPos val="l"/>
        <c:majorGridlines>
          <c:spPr>
            <a:ln w="9525" cap="flat" cmpd="sng" algn="ctr">
              <a:solidFill>
                <a:schemeClr val="tx1">
                  <a:lumMod val="15000"/>
                  <a:lumOff val="85000"/>
                </a:schemeClr>
              </a:solidFill>
              <a:prstDash val="sysDot"/>
              <a:round/>
            </a:ln>
            <a:effectLst/>
          </c:spPr>
        </c:majorGridlines>
        <c:numFmt formatCode="0%" sourceLinked="0"/>
        <c:majorTickMark val="none"/>
        <c:minorTickMark val="none"/>
        <c:tickLblPos val="nextTo"/>
        <c:crossAx val="836646776"/>
        <c:crosses val="autoZero"/>
        <c:crossBetween val="between"/>
      </c:valAx>
      <c:spPr>
        <a:noFill/>
        <a:ln>
          <a:noFill/>
        </a:ln>
        <a:effectLst/>
      </c:spPr>
    </c:plotArea>
    <c:legend>
      <c:legendPos val="r"/>
      <c:layout>
        <c:manualLayout>
          <c:xMode val="edge"/>
          <c:yMode val="edge"/>
          <c:x val="0"/>
          <c:y val="0"/>
          <c:w val="1"/>
          <c:h val="1"/>
        </c:manualLayout>
      </c:layout>
      <c:overlay val="0"/>
      <c:spPr>
        <a:solidFill>
          <a:sysClr val="window" lastClr="FFFFFF"/>
        </a:solid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Times New Roman" panose="02020603050405020304" pitchFamily="18" charset="0"/>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37063492063492"/>
          <c:y val="6.4553901022719934E-2"/>
          <c:w val="0.80143333333333333"/>
          <c:h val="0.74929587116942553"/>
        </c:manualLayout>
      </c:layout>
      <c:lineChart>
        <c:grouping val="standard"/>
        <c:varyColors val="0"/>
        <c:ser>
          <c:idx val="0"/>
          <c:order val="0"/>
          <c:tx>
            <c:strRef>
              <c:f>Sheet1!$B$6</c:f>
              <c:strCache>
                <c:ptCount val="1"/>
                <c:pt idx="0">
                  <c:v>Less than upper secondary</c:v>
                </c:pt>
              </c:strCache>
            </c:strRef>
          </c:tx>
          <c:spPr>
            <a:ln w="19050" cap="rnd">
              <a:solidFill>
                <a:schemeClr val="tx2"/>
              </a:solidFill>
              <a:round/>
            </a:ln>
            <a:effectLst/>
          </c:spPr>
          <c:marker>
            <c:symbol val="none"/>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Sheet1!$B$7:$B$18</c:f>
              <c:numCache>
                <c:formatCode>General</c:formatCode>
                <c:ptCount val="12"/>
                <c:pt idx="0">
                  <c:v>0.49459330959872028</c:v>
                </c:pt>
                <c:pt idx="1">
                  <c:v>0.57645698000862722</c:v>
                </c:pt>
                <c:pt idx="2">
                  <c:v>0.58309701483629439</c:v>
                </c:pt>
                <c:pt idx="3">
                  <c:v>0.64931176379613398</c:v>
                </c:pt>
                <c:pt idx="4">
                  <c:v>0.72173470908564019</c:v>
                </c:pt>
                <c:pt idx="5">
                  <c:v>0.77668274905535206</c:v>
                </c:pt>
                <c:pt idx="6">
                  <c:v>0.71100430519100843</c:v>
                </c:pt>
                <c:pt idx="7">
                  <c:v>0.56039160908696006</c:v>
                </c:pt>
                <c:pt idx="8">
                  <c:v>0.45275320193729868</c:v>
                </c:pt>
                <c:pt idx="9">
                  <c:v>0.38378086282168067</c:v>
                </c:pt>
                <c:pt idx="10">
                  <c:v>0.28240580106127089</c:v>
                </c:pt>
                <c:pt idx="11">
                  <c:v>0.17971540294420157</c:v>
                </c:pt>
              </c:numCache>
            </c:numRef>
          </c:val>
          <c:smooth val="1"/>
          <c:extLst>
            <c:ext xmlns:c16="http://schemas.microsoft.com/office/drawing/2014/chart" uri="{C3380CC4-5D6E-409C-BE32-E72D297353CC}">
              <c16:uniqueId val="{00000000-DA1D-4253-B86E-6050BF9674A7}"/>
            </c:ext>
          </c:extLst>
        </c:ser>
        <c:ser>
          <c:idx val="1"/>
          <c:order val="1"/>
          <c:tx>
            <c:strRef>
              <c:f>Sheet1!$C$6</c:f>
              <c:strCache>
                <c:ptCount val="1"/>
                <c:pt idx="0">
                  <c:v>Upper secondary</c:v>
                </c:pt>
              </c:strCache>
            </c:strRef>
          </c:tx>
          <c:spPr>
            <a:ln w="15875" cap="rnd">
              <a:solidFill>
                <a:schemeClr val="tx2"/>
              </a:solidFill>
              <a:round/>
            </a:ln>
            <a:effectLst/>
          </c:spPr>
          <c:marker>
            <c:symbol val="square"/>
            <c:size val="5"/>
            <c:spPr>
              <a:solidFill>
                <a:schemeClr val="tx2"/>
              </a:solidFill>
              <a:ln w="9525">
                <a:noFill/>
              </a:ln>
              <a:effectLst/>
            </c:spPr>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Sheet1!$C$7:$C$18</c:f>
              <c:numCache>
                <c:formatCode>General</c:formatCode>
                <c:ptCount val="12"/>
                <c:pt idx="0">
                  <c:v>0.49459330959872028</c:v>
                </c:pt>
                <c:pt idx="1">
                  <c:v>0.67548400494247385</c:v>
                </c:pt>
                <c:pt idx="2">
                  <c:v>0.70950797171263302</c:v>
                </c:pt>
                <c:pt idx="3">
                  <c:v>0.75061734714862283</c:v>
                </c:pt>
                <c:pt idx="4">
                  <c:v>0.75058891861127019</c:v>
                </c:pt>
                <c:pt idx="5">
                  <c:v>0.79976413127131896</c:v>
                </c:pt>
                <c:pt idx="6">
                  <c:v>0.76452614396190532</c:v>
                </c:pt>
                <c:pt idx="7">
                  <c:v>0.44950068586603498</c:v>
                </c:pt>
                <c:pt idx="8">
                  <c:v>0.21158556709133253</c:v>
                </c:pt>
                <c:pt idx="9">
                  <c:v>0.12707694047095827</c:v>
                </c:pt>
                <c:pt idx="10">
                  <c:v>7.5917157062330862E-2</c:v>
                </c:pt>
                <c:pt idx="11">
                  <c:v>1.7745502514533149E-2</c:v>
                </c:pt>
              </c:numCache>
            </c:numRef>
          </c:val>
          <c:smooth val="1"/>
          <c:extLst>
            <c:ext xmlns:c16="http://schemas.microsoft.com/office/drawing/2014/chart" uri="{C3380CC4-5D6E-409C-BE32-E72D297353CC}">
              <c16:uniqueId val="{00000001-DA1D-4253-B86E-6050BF9674A7}"/>
            </c:ext>
          </c:extLst>
        </c:ser>
        <c:ser>
          <c:idx val="2"/>
          <c:order val="2"/>
          <c:tx>
            <c:strRef>
              <c:f>Sheet1!$D$6</c:f>
              <c:strCache>
                <c:ptCount val="1"/>
                <c:pt idx="0">
                  <c:v>Postsecondary</c:v>
                </c:pt>
              </c:strCache>
            </c:strRef>
          </c:tx>
          <c:spPr>
            <a:ln w="15875" cap="rnd">
              <a:solidFill>
                <a:sysClr val="windowText" lastClr="000000">
                  <a:lumMod val="75000"/>
                  <a:lumOff val="25000"/>
                </a:sysClr>
              </a:solidFill>
              <a:prstDash val="sysDash"/>
              <a:round/>
            </a:ln>
            <a:effectLst/>
          </c:spPr>
          <c:marker>
            <c:symbol val="none"/>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Sheet1!$D$7:$D$18</c:f>
              <c:numCache>
                <c:formatCode>General</c:formatCode>
                <c:ptCount val="12"/>
                <c:pt idx="0">
                  <c:v>0.49459330959872028</c:v>
                </c:pt>
                <c:pt idx="1">
                  <c:v>0.62061543679418019</c:v>
                </c:pt>
                <c:pt idx="2">
                  <c:v>0.88043314410976492</c:v>
                </c:pt>
                <c:pt idx="3">
                  <c:v>0.89992212420068252</c:v>
                </c:pt>
                <c:pt idx="4">
                  <c:v>0.93717611093362074</c:v>
                </c:pt>
                <c:pt idx="5">
                  <c:v>0.91888695978822843</c:v>
                </c:pt>
                <c:pt idx="6">
                  <c:v>0.91458124879069869</c:v>
                </c:pt>
                <c:pt idx="7">
                  <c:v>0.76086387855575699</c:v>
                </c:pt>
                <c:pt idx="8">
                  <c:v>0.34728064415334736</c:v>
                </c:pt>
                <c:pt idx="9">
                  <c:v>7.7462995573385249E-2</c:v>
                </c:pt>
                <c:pt idx="10">
                  <c:v>0.11242325682065221</c:v>
                </c:pt>
                <c:pt idx="11">
                  <c:v>2.2028509513533311E-2</c:v>
                </c:pt>
              </c:numCache>
            </c:numRef>
          </c:val>
          <c:smooth val="1"/>
          <c:extLst>
            <c:ext xmlns:c16="http://schemas.microsoft.com/office/drawing/2014/chart" uri="{C3380CC4-5D6E-409C-BE32-E72D297353CC}">
              <c16:uniqueId val="{00000002-DA1D-4253-B86E-6050BF9674A7}"/>
            </c:ext>
          </c:extLst>
        </c:ser>
        <c:dLbls>
          <c:showLegendKey val="0"/>
          <c:showVal val="0"/>
          <c:showCatName val="0"/>
          <c:showSerName val="0"/>
          <c:showPercent val="0"/>
          <c:showBubbleSize val="0"/>
        </c:dLbls>
        <c:smooth val="0"/>
        <c:axId val="836646776"/>
        <c:axId val="836644808"/>
      </c:lineChart>
      <c:catAx>
        <c:axId val="836646776"/>
        <c:scaling>
          <c:orientation val="minMax"/>
        </c:scaling>
        <c:delete val="0"/>
        <c:axPos val="b"/>
        <c:majorGridlines>
          <c:spPr>
            <a:ln w="9525" cap="flat" cmpd="sng" algn="ctr">
              <a:solidFill>
                <a:schemeClr val="tx1">
                  <a:lumMod val="15000"/>
                  <a:lumOff val="85000"/>
                </a:schemeClr>
              </a:solidFill>
              <a:prstDash val="sysDash"/>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836644808"/>
        <c:crosses val="autoZero"/>
        <c:auto val="1"/>
        <c:lblAlgn val="ctr"/>
        <c:lblOffset val="100"/>
        <c:tickLblSkip val="2"/>
        <c:noMultiLvlLbl val="0"/>
      </c:catAx>
      <c:valAx>
        <c:axId val="836644808"/>
        <c:scaling>
          <c:orientation val="minMax"/>
        </c:scaling>
        <c:delete val="0"/>
        <c:axPos val="l"/>
        <c:majorGridlines>
          <c:spPr>
            <a:ln w="9525" cap="flat" cmpd="sng" algn="ctr">
              <a:solidFill>
                <a:schemeClr val="tx1">
                  <a:lumMod val="15000"/>
                  <a:lumOff val="85000"/>
                </a:schemeClr>
              </a:solidFill>
              <a:prstDash val="sysDot"/>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836646776"/>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37063492063492"/>
          <c:y val="6.4553901022719934E-2"/>
          <c:w val="0.80143333333333333"/>
          <c:h val="0.74929587116942553"/>
        </c:manualLayout>
      </c:layout>
      <c:lineChart>
        <c:grouping val="standard"/>
        <c:varyColors val="0"/>
        <c:ser>
          <c:idx val="0"/>
          <c:order val="0"/>
          <c:tx>
            <c:strRef>
              <c:f>Sheet1!$P$6</c:f>
              <c:strCache>
                <c:ptCount val="1"/>
                <c:pt idx="0">
                  <c:v>Low</c:v>
                </c:pt>
              </c:strCache>
            </c:strRef>
          </c:tx>
          <c:spPr>
            <a:ln w="19050" cap="rnd">
              <a:solidFill>
                <a:schemeClr val="tx2"/>
              </a:solidFill>
              <a:round/>
            </a:ln>
            <a:effectLst/>
          </c:spPr>
          <c:marker>
            <c:symbol val="none"/>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Sheet1!$P$7:$P$18</c:f>
              <c:numCache>
                <c:formatCode>General</c:formatCode>
                <c:ptCount val="12"/>
                <c:pt idx="0">
                  <c:v>0.46085974124274148</c:v>
                </c:pt>
                <c:pt idx="1">
                  <c:v>0.92038413019871701</c:v>
                </c:pt>
                <c:pt idx="2">
                  <c:v>0.91668887806955135</c:v>
                </c:pt>
                <c:pt idx="3">
                  <c:v>0.92754761190151203</c:v>
                </c:pt>
                <c:pt idx="4">
                  <c:v>0.91457078695789895</c:v>
                </c:pt>
                <c:pt idx="5">
                  <c:v>0.92108797088713568</c:v>
                </c:pt>
                <c:pt idx="6">
                  <c:v>0.89399637499007345</c:v>
                </c:pt>
                <c:pt idx="7">
                  <c:v>0.80585706915830624</c:v>
                </c:pt>
                <c:pt idx="8">
                  <c:v>0.74918176504574285</c:v>
                </c:pt>
                <c:pt idx="9">
                  <c:v>0.54877911584096506</c:v>
                </c:pt>
                <c:pt idx="10">
                  <c:v>0.48030979879401414</c:v>
                </c:pt>
                <c:pt idx="11">
                  <c:v>0.32747324205395006</c:v>
                </c:pt>
              </c:numCache>
            </c:numRef>
          </c:val>
          <c:smooth val="1"/>
          <c:extLst>
            <c:ext xmlns:c16="http://schemas.microsoft.com/office/drawing/2014/chart" uri="{C3380CC4-5D6E-409C-BE32-E72D297353CC}">
              <c16:uniqueId val="{00000000-D849-4EE0-81AA-9ECB9B8F7D4D}"/>
            </c:ext>
          </c:extLst>
        </c:ser>
        <c:ser>
          <c:idx val="1"/>
          <c:order val="1"/>
          <c:tx>
            <c:strRef>
              <c:f>Sheet1!$Q$6</c:f>
              <c:strCache>
                <c:ptCount val="1"/>
                <c:pt idx="0">
                  <c:v>Medium</c:v>
                </c:pt>
              </c:strCache>
            </c:strRef>
          </c:tx>
          <c:spPr>
            <a:ln w="15875" cap="rnd">
              <a:solidFill>
                <a:schemeClr val="tx2"/>
              </a:solidFill>
              <a:round/>
            </a:ln>
            <a:effectLst/>
          </c:spPr>
          <c:marker>
            <c:symbol val="square"/>
            <c:size val="5"/>
            <c:spPr>
              <a:solidFill>
                <a:schemeClr val="tx2"/>
              </a:solidFill>
              <a:ln w="9525">
                <a:noFill/>
              </a:ln>
              <a:effectLst/>
            </c:spPr>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Sheet1!$Q$7:$Q$18</c:f>
              <c:numCache>
                <c:formatCode>General</c:formatCode>
                <c:ptCount val="12"/>
                <c:pt idx="0">
                  <c:v>0.46085974124274148</c:v>
                </c:pt>
                <c:pt idx="1">
                  <c:v>0.8615853380327394</c:v>
                </c:pt>
                <c:pt idx="2">
                  <c:v>0.97150849980358922</c:v>
                </c:pt>
                <c:pt idx="3">
                  <c:v>0.97700774222271525</c:v>
                </c:pt>
                <c:pt idx="4">
                  <c:v>0.95537511406435682</c:v>
                </c:pt>
                <c:pt idx="5">
                  <c:v>0.95163105695484818</c:v>
                </c:pt>
                <c:pt idx="6">
                  <c:v>0.93420823489298432</c:v>
                </c:pt>
                <c:pt idx="7">
                  <c:v>0.87434060942078262</c:v>
                </c:pt>
                <c:pt idx="8">
                  <c:v>0.69711374642999635</c:v>
                </c:pt>
                <c:pt idx="9">
                  <c:v>0.33400421743448538</c:v>
                </c:pt>
                <c:pt idx="10">
                  <c:v>0.1973962045005507</c:v>
                </c:pt>
                <c:pt idx="11">
                  <c:v>0.11792851266757694</c:v>
                </c:pt>
              </c:numCache>
            </c:numRef>
          </c:val>
          <c:smooth val="1"/>
          <c:extLst>
            <c:ext xmlns:c16="http://schemas.microsoft.com/office/drawing/2014/chart" uri="{C3380CC4-5D6E-409C-BE32-E72D297353CC}">
              <c16:uniqueId val="{00000001-D849-4EE0-81AA-9ECB9B8F7D4D}"/>
            </c:ext>
          </c:extLst>
        </c:ser>
        <c:ser>
          <c:idx val="2"/>
          <c:order val="2"/>
          <c:tx>
            <c:strRef>
              <c:f>Sheet1!$R$6</c:f>
              <c:strCache>
                <c:ptCount val="1"/>
                <c:pt idx="0">
                  <c:v>High</c:v>
                </c:pt>
              </c:strCache>
            </c:strRef>
          </c:tx>
          <c:spPr>
            <a:ln w="15875" cap="rnd">
              <a:solidFill>
                <a:sysClr val="windowText" lastClr="000000">
                  <a:lumMod val="75000"/>
                  <a:lumOff val="25000"/>
                </a:sysClr>
              </a:solidFill>
              <a:prstDash val="sysDash"/>
              <a:round/>
            </a:ln>
            <a:effectLst/>
          </c:spPr>
          <c:marker>
            <c:symbol val="none"/>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Sheet1!$R$7:$R$18</c:f>
              <c:numCache>
                <c:formatCode>General</c:formatCode>
                <c:ptCount val="12"/>
                <c:pt idx="0">
                  <c:v>0.46085974124274148</c:v>
                </c:pt>
                <c:pt idx="1">
                  <c:v>0.63505744134522502</c:v>
                </c:pt>
                <c:pt idx="2">
                  <c:v>0.96474473927038007</c:v>
                </c:pt>
                <c:pt idx="3">
                  <c:v>0.98198553695732793</c:v>
                </c:pt>
                <c:pt idx="4">
                  <c:v>0.98117960253930248</c:v>
                </c:pt>
                <c:pt idx="5">
                  <c:v>0.97553437968002366</c:v>
                </c:pt>
                <c:pt idx="6">
                  <c:v>0.96992957989598505</c:v>
                </c:pt>
                <c:pt idx="7">
                  <c:v>0.91170572102091785</c:v>
                </c:pt>
                <c:pt idx="8">
                  <c:v>0.83352634793144742</c:v>
                </c:pt>
                <c:pt idx="9">
                  <c:v>0.29411316019738043</c:v>
                </c:pt>
                <c:pt idx="10">
                  <c:v>0.11517710285877518</c:v>
                </c:pt>
                <c:pt idx="11">
                  <c:v>0.12921954089227763</c:v>
                </c:pt>
              </c:numCache>
            </c:numRef>
          </c:val>
          <c:smooth val="1"/>
          <c:extLst>
            <c:ext xmlns:c16="http://schemas.microsoft.com/office/drawing/2014/chart" uri="{C3380CC4-5D6E-409C-BE32-E72D297353CC}">
              <c16:uniqueId val="{00000002-D849-4EE0-81AA-9ECB9B8F7D4D}"/>
            </c:ext>
          </c:extLst>
        </c:ser>
        <c:dLbls>
          <c:showLegendKey val="0"/>
          <c:showVal val="0"/>
          <c:showCatName val="0"/>
          <c:showSerName val="0"/>
          <c:showPercent val="0"/>
          <c:showBubbleSize val="0"/>
        </c:dLbls>
        <c:smooth val="0"/>
        <c:axId val="836646776"/>
        <c:axId val="836644808"/>
      </c:lineChart>
      <c:catAx>
        <c:axId val="836646776"/>
        <c:scaling>
          <c:orientation val="minMax"/>
        </c:scaling>
        <c:delete val="0"/>
        <c:axPos val="b"/>
        <c:majorGridlines>
          <c:spPr>
            <a:ln w="9525" cap="flat" cmpd="sng" algn="ctr">
              <a:solidFill>
                <a:schemeClr val="tx1">
                  <a:lumMod val="15000"/>
                  <a:lumOff val="85000"/>
                </a:schemeClr>
              </a:solidFill>
              <a:prstDash val="sysDash"/>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836644808"/>
        <c:crosses val="autoZero"/>
        <c:auto val="1"/>
        <c:lblAlgn val="ctr"/>
        <c:lblOffset val="100"/>
        <c:tickLblSkip val="2"/>
        <c:noMultiLvlLbl val="0"/>
      </c:catAx>
      <c:valAx>
        <c:axId val="836644808"/>
        <c:scaling>
          <c:orientation val="minMax"/>
          <c:max val="1"/>
        </c:scaling>
        <c:delete val="0"/>
        <c:axPos val="l"/>
        <c:majorGridlines>
          <c:spPr>
            <a:ln w="9525" cap="flat" cmpd="sng" algn="ctr">
              <a:solidFill>
                <a:schemeClr val="tx1">
                  <a:lumMod val="15000"/>
                  <a:lumOff val="85000"/>
                </a:schemeClr>
              </a:solidFill>
              <a:prstDash val="sysDot"/>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836646776"/>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37063492063492"/>
          <c:y val="6.4553901022719934E-2"/>
          <c:w val="0.80143333333333333"/>
          <c:h val="0.74929587116942553"/>
        </c:manualLayout>
      </c:layout>
      <c:lineChart>
        <c:grouping val="standard"/>
        <c:varyColors val="0"/>
        <c:ser>
          <c:idx val="0"/>
          <c:order val="0"/>
          <c:tx>
            <c:strRef>
              <c:f>Sheet1!$E$6</c:f>
              <c:strCache>
                <c:ptCount val="1"/>
                <c:pt idx="0">
                  <c:v>Low</c:v>
                </c:pt>
              </c:strCache>
            </c:strRef>
          </c:tx>
          <c:spPr>
            <a:ln w="19050" cap="rnd">
              <a:solidFill>
                <a:schemeClr val="tx2"/>
              </a:solidFill>
              <a:round/>
            </a:ln>
            <a:effectLst/>
          </c:spPr>
          <c:marker>
            <c:symbol val="none"/>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Sheet1!$E$7:$E$18</c:f>
              <c:numCache>
                <c:formatCode>General</c:formatCode>
                <c:ptCount val="12"/>
                <c:pt idx="0">
                  <c:v>4.6208098316832723E-2</c:v>
                </c:pt>
                <c:pt idx="1">
                  <c:v>0.14794136013787512</c:v>
                </c:pt>
                <c:pt idx="2">
                  <c:v>0.2193006150841243</c:v>
                </c:pt>
                <c:pt idx="3">
                  <c:v>0.27192019595207167</c:v>
                </c:pt>
                <c:pt idx="4">
                  <c:v>0.30534040494937614</c:v>
                </c:pt>
                <c:pt idx="5">
                  <c:v>0.31315773298802668</c:v>
                </c:pt>
                <c:pt idx="6">
                  <c:v>0.30821889889526849</c:v>
                </c:pt>
                <c:pt idx="7">
                  <c:v>0.28641285215952406</c:v>
                </c:pt>
                <c:pt idx="8">
                  <c:v>0.23327490699421033</c:v>
                </c:pt>
                <c:pt idx="9">
                  <c:v>0.15300050419734099</c:v>
                </c:pt>
                <c:pt idx="10">
                  <c:v>0.11172485702488709</c:v>
                </c:pt>
                <c:pt idx="11">
                  <c:v>4.6094269740536008E-2</c:v>
                </c:pt>
              </c:numCache>
            </c:numRef>
          </c:val>
          <c:smooth val="1"/>
          <c:extLst>
            <c:ext xmlns:c16="http://schemas.microsoft.com/office/drawing/2014/chart" uri="{C3380CC4-5D6E-409C-BE32-E72D297353CC}">
              <c16:uniqueId val="{00000000-1634-4D49-8A80-2A0F1E388642}"/>
            </c:ext>
          </c:extLst>
        </c:ser>
        <c:ser>
          <c:idx val="1"/>
          <c:order val="1"/>
          <c:tx>
            <c:strRef>
              <c:f>Sheet1!$F$6</c:f>
              <c:strCache>
                <c:ptCount val="1"/>
                <c:pt idx="0">
                  <c:v>Medium</c:v>
                </c:pt>
              </c:strCache>
            </c:strRef>
          </c:tx>
          <c:spPr>
            <a:ln w="15875" cap="rnd">
              <a:solidFill>
                <a:schemeClr val="tx2"/>
              </a:solidFill>
              <a:round/>
            </a:ln>
            <a:effectLst/>
          </c:spPr>
          <c:marker>
            <c:symbol val="square"/>
            <c:size val="5"/>
            <c:spPr>
              <a:solidFill>
                <a:schemeClr val="tx2"/>
              </a:solidFill>
              <a:ln w="9525">
                <a:noFill/>
              </a:ln>
              <a:effectLst/>
            </c:spPr>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Sheet1!$F$7:$F$18</c:f>
              <c:numCache>
                <c:formatCode>General</c:formatCode>
                <c:ptCount val="12"/>
                <c:pt idx="0">
                  <c:v>4.6208098316832723E-2</c:v>
                </c:pt>
                <c:pt idx="1">
                  <c:v>0.10327414512677274</c:v>
                </c:pt>
                <c:pt idx="2">
                  <c:v>0.19507677217752098</c:v>
                </c:pt>
                <c:pt idx="3">
                  <c:v>0.20383184227908555</c:v>
                </c:pt>
                <c:pt idx="4">
                  <c:v>0.25071472822673369</c:v>
                </c:pt>
                <c:pt idx="5">
                  <c:v>0.23664924153258282</c:v>
                </c:pt>
                <c:pt idx="6">
                  <c:v>0.21090181716359746</c:v>
                </c:pt>
                <c:pt idx="7">
                  <c:v>0.19436438951321017</c:v>
                </c:pt>
                <c:pt idx="8">
                  <c:v>0.1630109187352444</c:v>
                </c:pt>
                <c:pt idx="9">
                  <c:v>6.9289870647610247E-2</c:v>
                </c:pt>
                <c:pt idx="10">
                  <c:v>5.8747758732379411E-2</c:v>
                </c:pt>
                <c:pt idx="11">
                  <c:v>1.8688336279438873E-3</c:v>
                </c:pt>
              </c:numCache>
            </c:numRef>
          </c:val>
          <c:smooth val="1"/>
          <c:extLst>
            <c:ext xmlns:c16="http://schemas.microsoft.com/office/drawing/2014/chart" uri="{C3380CC4-5D6E-409C-BE32-E72D297353CC}">
              <c16:uniqueId val="{00000001-1634-4D49-8A80-2A0F1E388642}"/>
            </c:ext>
          </c:extLst>
        </c:ser>
        <c:ser>
          <c:idx val="2"/>
          <c:order val="2"/>
          <c:tx>
            <c:strRef>
              <c:f>Sheet1!$G$6</c:f>
              <c:strCache>
                <c:ptCount val="1"/>
                <c:pt idx="0">
                  <c:v>High</c:v>
                </c:pt>
              </c:strCache>
            </c:strRef>
          </c:tx>
          <c:spPr>
            <a:ln w="15875" cap="rnd">
              <a:solidFill>
                <a:sysClr val="windowText" lastClr="000000">
                  <a:lumMod val="75000"/>
                  <a:lumOff val="25000"/>
                </a:sysClr>
              </a:solidFill>
              <a:prstDash val="sysDash"/>
              <a:round/>
            </a:ln>
            <a:effectLst/>
          </c:spPr>
          <c:marker>
            <c:symbol val="none"/>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Sheet1!$G$7:$G$18</c:f>
              <c:numCache>
                <c:formatCode>General</c:formatCode>
                <c:ptCount val="12"/>
                <c:pt idx="0">
                  <c:v>4.6208098316832723E-2</c:v>
                </c:pt>
                <c:pt idx="1">
                  <c:v>0.30503593425546494</c:v>
                </c:pt>
                <c:pt idx="2">
                  <c:v>0.36431462557403377</c:v>
                </c:pt>
                <c:pt idx="3">
                  <c:v>0.37309109357278858</c:v>
                </c:pt>
                <c:pt idx="4">
                  <c:v>0.37967969048009453</c:v>
                </c:pt>
                <c:pt idx="5">
                  <c:v>0.37928810078774305</c:v>
                </c:pt>
                <c:pt idx="6">
                  <c:v>0.40808643671862987</c:v>
                </c:pt>
                <c:pt idx="7">
                  <c:v>0.39792607045082817</c:v>
                </c:pt>
                <c:pt idx="8">
                  <c:v>0.27468150386374235</c:v>
                </c:pt>
                <c:pt idx="9">
                  <c:v>6.4003055039486459E-2</c:v>
                </c:pt>
                <c:pt idx="10">
                  <c:v>2.9683722179392011E-2</c:v>
                </c:pt>
                <c:pt idx="11">
                  <c:v>1.3547389487173007E-2</c:v>
                </c:pt>
              </c:numCache>
            </c:numRef>
          </c:val>
          <c:smooth val="1"/>
          <c:extLst>
            <c:ext xmlns:c16="http://schemas.microsoft.com/office/drawing/2014/chart" uri="{C3380CC4-5D6E-409C-BE32-E72D297353CC}">
              <c16:uniqueId val="{00000002-1634-4D49-8A80-2A0F1E388642}"/>
            </c:ext>
          </c:extLst>
        </c:ser>
        <c:dLbls>
          <c:showLegendKey val="0"/>
          <c:showVal val="0"/>
          <c:showCatName val="0"/>
          <c:showSerName val="0"/>
          <c:showPercent val="0"/>
          <c:showBubbleSize val="0"/>
        </c:dLbls>
        <c:smooth val="0"/>
        <c:axId val="836646776"/>
        <c:axId val="836644808"/>
      </c:lineChart>
      <c:catAx>
        <c:axId val="836646776"/>
        <c:scaling>
          <c:orientation val="minMax"/>
        </c:scaling>
        <c:delete val="0"/>
        <c:axPos val="b"/>
        <c:majorGridlines>
          <c:spPr>
            <a:ln w="9525" cap="flat" cmpd="sng" algn="ctr">
              <a:solidFill>
                <a:schemeClr val="tx1">
                  <a:lumMod val="15000"/>
                  <a:lumOff val="85000"/>
                </a:schemeClr>
              </a:solidFill>
              <a:prstDash val="sysDash"/>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836644808"/>
        <c:crosses val="autoZero"/>
        <c:auto val="1"/>
        <c:lblAlgn val="ctr"/>
        <c:lblOffset val="100"/>
        <c:tickLblSkip val="2"/>
        <c:noMultiLvlLbl val="0"/>
      </c:catAx>
      <c:valAx>
        <c:axId val="836644808"/>
        <c:scaling>
          <c:orientation val="minMax"/>
          <c:max val="1"/>
        </c:scaling>
        <c:delete val="0"/>
        <c:axPos val="l"/>
        <c:majorGridlines>
          <c:spPr>
            <a:ln w="9525" cap="flat" cmpd="sng" algn="ctr">
              <a:solidFill>
                <a:schemeClr val="tx1">
                  <a:lumMod val="15000"/>
                  <a:lumOff val="85000"/>
                </a:schemeClr>
              </a:solidFill>
              <a:prstDash val="sysDot"/>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836646776"/>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37063492063492"/>
          <c:y val="6.4553901022719934E-2"/>
          <c:w val="0.80143333333333333"/>
          <c:h val="0.74929587116942553"/>
        </c:manualLayout>
      </c:layout>
      <c:lineChart>
        <c:grouping val="standard"/>
        <c:varyColors val="0"/>
        <c:ser>
          <c:idx val="0"/>
          <c:order val="0"/>
          <c:tx>
            <c:strRef>
              <c:f>Sheet1!$S$6</c:f>
              <c:strCache>
                <c:ptCount val="1"/>
                <c:pt idx="0">
                  <c:v>Low</c:v>
                </c:pt>
              </c:strCache>
            </c:strRef>
          </c:tx>
          <c:spPr>
            <a:ln w="19050" cap="rnd">
              <a:solidFill>
                <a:schemeClr val="tx2"/>
              </a:solidFill>
              <a:round/>
            </a:ln>
            <a:effectLst/>
          </c:spPr>
          <c:marker>
            <c:symbol val="none"/>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Sheet1!$S$7:$S$18</c:f>
              <c:numCache>
                <c:formatCode>General</c:formatCode>
                <c:ptCount val="12"/>
                <c:pt idx="0">
                  <c:v>0.23618226756950364</c:v>
                </c:pt>
                <c:pt idx="1">
                  <c:v>0.93441727523177354</c:v>
                </c:pt>
                <c:pt idx="2">
                  <c:v>0.96577035103203401</c:v>
                </c:pt>
                <c:pt idx="3">
                  <c:v>0.98429935985813621</c:v>
                </c:pt>
                <c:pt idx="4">
                  <c:v>0.98549178618584476</c:v>
                </c:pt>
                <c:pt idx="5">
                  <c:v>0.98200009185503867</c:v>
                </c:pt>
                <c:pt idx="6">
                  <c:v>0.97284437387149281</c:v>
                </c:pt>
                <c:pt idx="7">
                  <c:v>0.94015898991637925</c:v>
                </c:pt>
                <c:pt idx="8">
                  <c:v>0.89165712292480281</c:v>
                </c:pt>
                <c:pt idx="9">
                  <c:v>0.72329166783197729</c:v>
                </c:pt>
                <c:pt idx="10">
                  <c:v>0.5267910290510307</c:v>
                </c:pt>
                <c:pt idx="11">
                  <c:v>0.32813894134571658</c:v>
                </c:pt>
              </c:numCache>
            </c:numRef>
          </c:val>
          <c:smooth val="1"/>
          <c:extLst>
            <c:ext xmlns:c16="http://schemas.microsoft.com/office/drawing/2014/chart" uri="{C3380CC4-5D6E-409C-BE32-E72D297353CC}">
              <c16:uniqueId val="{00000000-8F06-47AD-9B9C-62BA09F8E7AC}"/>
            </c:ext>
          </c:extLst>
        </c:ser>
        <c:ser>
          <c:idx val="1"/>
          <c:order val="1"/>
          <c:tx>
            <c:strRef>
              <c:f>Sheet1!$T$6</c:f>
              <c:strCache>
                <c:ptCount val="1"/>
                <c:pt idx="0">
                  <c:v>Medium</c:v>
                </c:pt>
              </c:strCache>
            </c:strRef>
          </c:tx>
          <c:spPr>
            <a:ln w="15875" cap="rnd">
              <a:solidFill>
                <a:schemeClr val="tx2"/>
              </a:solidFill>
              <a:round/>
            </a:ln>
            <a:effectLst/>
          </c:spPr>
          <c:marker>
            <c:symbol val="square"/>
            <c:size val="5"/>
            <c:spPr>
              <a:solidFill>
                <a:schemeClr val="tx2"/>
              </a:solidFill>
              <a:ln w="9525">
                <a:noFill/>
              </a:ln>
              <a:effectLst/>
            </c:spPr>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Sheet1!$T$7:$T$18</c:f>
              <c:numCache>
                <c:formatCode>General</c:formatCode>
                <c:ptCount val="12"/>
                <c:pt idx="0">
                  <c:v>0.23618226756950364</c:v>
                </c:pt>
                <c:pt idx="1">
                  <c:v>0.50994940818198808</c:v>
                </c:pt>
                <c:pt idx="2">
                  <c:v>0.93864670727313415</c:v>
                </c:pt>
                <c:pt idx="3">
                  <c:v>0.98634493677663848</c:v>
                </c:pt>
                <c:pt idx="4">
                  <c:v>0.99374904149563514</c:v>
                </c:pt>
                <c:pt idx="5">
                  <c:v>0.98655543136595403</c:v>
                </c:pt>
                <c:pt idx="6">
                  <c:v>0.97748302472283188</c:v>
                </c:pt>
                <c:pt idx="7">
                  <c:v>0.95222581287514874</c:v>
                </c:pt>
                <c:pt idx="8">
                  <c:v>0.89505523272907994</c:v>
                </c:pt>
                <c:pt idx="9">
                  <c:v>0.53118537829055734</c:v>
                </c:pt>
                <c:pt idx="10">
                  <c:v>0.44595589498204785</c:v>
                </c:pt>
                <c:pt idx="11">
                  <c:v>0.2644530759794842</c:v>
                </c:pt>
              </c:numCache>
            </c:numRef>
          </c:val>
          <c:smooth val="1"/>
          <c:extLst>
            <c:ext xmlns:c16="http://schemas.microsoft.com/office/drawing/2014/chart" uri="{C3380CC4-5D6E-409C-BE32-E72D297353CC}">
              <c16:uniqueId val="{00000001-8F06-47AD-9B9C-62BA09F8E7AC}"/>
            </c:ext>
          </c:extLst>
        </c:ser>
        <c:ser>
          <c:idx val="2"/>
          <c:order val="2"/>
          <c:tx>
            <c:strRef>
              <c:f>Sheet1!$U$6</c:f>
              <c:strCache>
                <c:ptCount val="1"/>
                <c:pt idx="0">
                  <c:v>High</c:v>
                </c:pt>
              </c:strCache>
            </c:strRef>
          </c:tx>
          <c:spPr>
            <a:ln w="15875" cap="rnd">
              <a:solidFill>
                <a:sysClr val="windowText" lastClr="000000">
                  <a:lumMod val="75000"/>
                  <a:lumOff val="25000"/>
                </a:sysClr>
              </a:solidFill>
              <a:prstDash val="sysDash"/>
              <a:round/>
            </a:ln>
            <a:effectLst/>
          </c:spPr>
          <c:marker>
            <c:symbol val="none"/>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Sheet1!$U$7:$U$18</c:f>
              <c:numCache>
                <c:formatCode>General</c:formatCode>
                <c:ptCount val="12"/>
                <c:pt idx="0">
                  <c:v>0.23618226756950364</c:v>
                </c:pt>
                <c:pt idx="1">
                  <c:v>0.61151909217056566</c:v>
                </c:pt>
                <c:pt idx="2">
                  <c:v>0.89302798501957215</c:v>
                </c:pt>
                <c:pt idx="3">
                  <c:v>0.978132921439402</c:v>
                </c:pt>
                <c:pt idx="4">
                  <c:v>0.98794259258199402</c:v>
                </c:pt>
                <c:pt idx="5">
                  <c:v>0.98538571613851489</c:v>
                </c:pt>
                <c:pt idx="6">
                  <c:v>0.98303592875434487</c:v>
                </c:pt>
                <c:pt idx="7">
                  <c:v>0.96522649160499319</c:v>
                </c:pt>
                <c:pt idx="8">
                  <c:v>0.87774480310471659</c:v>
                </c:pt>
                <c:pt idx="9">
                  <c:v>0.38632275235640429</c:v>
                </c:pt>
                <c:pt idx="10">
                  <c:v>0.23173695158555302</c:v>
                </c:pt>
                <c:pt idx="11">
                  <c:v>0.16346291633786023</c:v>
                </c:pt>
              </c:numCache>
            </c:numRef>
          </c:val>
          <c:smooth val="1"/>
          <c:extLst>
            <c:ext xmlns:c16="http://schemas.microsoft.com/office/drawing/2014/chart" uri="{C3380CC4-5D6E-409C-BE32-E72D297353CC}">
              <c16:uniqueId val="{00000002-8F06-47AD-9B9C-62BA09F8E7AC}"/>
            </c:ext>
          </c:extLst>
        </c:ser>
        <c:dLbls>
          <c:showLegendKey val="0"/>
          <c:showVal val="0"/>
          <c:showCatName val="0"/>
          <c:showSerName val="0"/>
          <c:showPercent val="0"/>
          <c:showBubbleSize val="0"/>
        </c:dLbls>
        <c:smooth val="0"/>
        <c:axId val="836646776"/>
        <c:axId val="836644808"/>
      </c:lineChart>
      <c:catAx>
        <c:axId val="836646776"/>
        <c:scaling>
          <c:orientation val="minMax"/>
        </c:scaling>
        <c:delete val="0"/>
        <c:axPos val="b"/>
        <c:majorGridlines>
          <c:spPr>
            <a:ln w="9525" cap="flat" cmpd="sng" algn="ctr">
              <a:solidFill>
                <a:schemeClr val="tx1">
                  <a:lumMod val="15000"/>
                  <a:lumOff val="85000"/>
                </a:schemeClr>
              </a:solidFill>
              <a:prstDash val="sysDash"/>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836644808"/>
        <c:crosses val="autoZero"/>
        <c:auto val="1"/>
        <c:lblAlgn val="ctr"/>
        <c:lblOffset val="100"/>
        <c:tickLblSkip val="2"/>
        <c:noMultiLvlLbl val="0"/>
      </c:catAx>
      <c:valAx>
        <c:axId val="836644808"/>
        <c:scaling>
          <c:orientation val="minMax"/>
          <c:max val="1"/>
        </c:scaling>
        <c:delete val="0"/>
        <c:axPos val="l"/>
        <c:majorGridlines>
          <c:spPr>
            <a:ln w="9525" cap="flat" cmpd="sng" algn="ctr">
              <a:solidFill>
                <a:schemeClr val="tx1">
                  <a:lumMod val="15000"/>
                  <a:lumOff val="85000"/>
                </a:schemeClr>
              </a:solidFill>
              <a:prstDash val="sysDot"/>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836646776"/>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37063492063492"/>
          <c:y val="6.4553901022719934E-2"/>
          <c:w val="0.80143333333333333"/>
          <c:h val="0.74929587116942553"/>
        </c:manualLayout>
      </c:layout>
      <c:lineChart>
        <c:grouping val="standard"/>
        <c:varyColors val="0"/>
        <c:ser>
          <c:idx val="0"/>
          <c:order val="0"/>
          <c:tx>
            <c:strRef>
              <c:f>Sheet1!$H$6</c:f>
              <c:strCache>
                <c:ptCount val="1"/>
                <c:pt idx="0">
                  <c:v>Low</c:v>
                </c:pt>
              </c:strCache>
            </c:strRef>
          </c:tx>
          <c:spPr>
            <a:ln w="19050" cap="rnd">
              <a:solidFill>
                <a:schemeClr val="tx2"/>
              </a:solidFill>
              <a:round/>
            </a:ln>
            <a:effectLst/>
          </c:spPr>
          <c:marker>
            <c:symbol val="none"/>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Sheet1!$H$7:$H$18</c:f>
              <c:numCache>
                <c:formatCode>General</c:formatCode>
                <c:ptCount val="12"/>
                <c:pt idx="0">
                  <c:v>0.36281257487908486</c:v>
                </c:pt>
                <c:pt idx="1">
                  <c:v>0.53651535412683737</c:v>
                </c:pt>
                <c:pt idx="2">
                  <c:v>0.49969251121782038</c:v>
                </c:pt>
                <c:pt idx="3">
                  <c:v>0.52269551675640291</c:v>
                </c:pt>
                <c:pt idx="4">
                  <c:v>0.53994773750277902</c:v>
                </c:pt>
                <c:pt idx="5">
                  <c:v>0.55234858009917398</c:v>
                </c:pt>
                <c:pt idx="6">
                  <c:v>0.53999511136258849</c:v>
                </c:pt>
                <c:pt idx="7">
                  <c:v>0.4935186453055822</c:v>
                </c:pt>
                <c:pt idx="8">
                  <c:v>0.42033650302127262</c:v>
                </c:pt>
                <c:pt idx="9">
                  <c:v>0.30774695522968998</c:v>
                </c:pt>
                <c:pt idx="10">
                  <c:v>0.14968712616232671</c:v>
                </c:pt>
                <c:pt idx="11">
                  <c:v>7.8084649596720429E-2</c:v>
                </c:pt>
              </c:numCache>
            </c:numRef>
          </c:val>
          <c:smooth val="1"/>
          <c:extLst>
            <c:ext xmlns:c16="http://schemas.microsoft.com/office/drawing/2014/chart" uri="{C3380CC4-5D6E-409C-BE32-E72D297353CC}">
              <c16:uniqueId val="{00000000-8F98-4DB1-8166-D2F9DE3686C1}"/>
            </c:ext>
          </c:extLst>
        </c:ser>
        <c:ser>
          <c:idx val="1"/>
          <c:order val="1"/>
          <c:tx>
            <c:strRef>
              <c:f>Sheet1!$I$6</c:f>
              <c:strCache>
                <c:ptCount val="1"/>
                <c:pt idx="0">
                  <c:v>Medium</c:v>
                </c:pt>
              </c:strCache>
            </c:strRef>
          </c:tx>
          <c:spPr>
            <a:ln w="15875" cap="rnd">
              <a:solidFill>
                <a:schemeClr val="tx2"/>
              </a:solidFill>
              <a:round/>
            </a:ln>
            <a:effectLst/>
          </c:spPr>
          <c:marker>
            <c:symbol val="square"/>
            <c:size val="5"/>
            <c:spPr>
              <a:solidFill>
                <a:schemeClr val="tx2"/>
              </a:solidFill>
              <a:ln w="9525">
                <a:noFill/>
              </a:ln>
              <a:effectLst/>
            </c:spPr>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Sheet1!$I$7:$I$18</c:f>
              <c:numCache>
                <c:formatCode>General</c:formatCode>
                <c:ptCount val="12"/>
                <c:pt idx="0">
                  <c:v>0.36281257487908486</c:v>
                </c:pt>
                <c:pt idx="1">
                  <c:v>0.72059224671648014</c:v>
                </c:pt>
                <c:pt idx="2">
                  <c:v>0.75627148110329423</c:v>
                </c:pt>
                <c:pt idx="3">
                  <c:v>0.74442676767952165</c:v>
                </c:pt>
                <c:pt idx="4">
                  <c:v>0.75440853512937245</c:v>
                </c:pt>
                <c:pt idx="5">
                  <c:v>0.76341493681102557</c:v>
                </c:pt>
                <c:pt idx="6">
                  <c:v>0.76628670985765979</c:v>
                </c:pt>
                <c:pt idx="7">
                  <c:v>0.73592068691613988</c:v>
                </c:pt>
                <c:pt idx="8">
                  <c:v>0.66259039346577275</c:v>
                </c:pt>
                <c:pt idx="9">
                  <c:v>0.49938990161584701</c:v>
                </c:pt>
                <c:pt idx="10">
                  <c:v>0.2641387421269985</c:v>
                </c:pt>
                <c:pt idx="11">
                  <c:v>0.13951329775574051</c:v>
                </c:pt>
              </c:numCache>
            </c:numRef>
          </c:val>
          <c:smooth val="1"/>
          <c:extLst>
            <c:ext xmlns:c16="http://schemas.microsoft.com/office/drawing/2014/chart" uri="{C3380CC4-5D6E-409C-BE32-E72D297353CC}">
              <c16:uniqueId val="{00000001-8F98-4DB1-8166-D2F9DE3686C1}"/>
            </c:ext>
          </c:extLst>
        </c:ser>
        <c:ser>
          <c:idx val="2"/>
          <c:order val="2"/>
          <c:tx>
            <c:strRef>
              <c:f>Sheet1!$J$6</c:f>
              <c:strCache>
                <c:ptCount val="1"/>
                <c:pt idx="0">
                  <c:v>High</c:v>
                </c:pt>
              </c:strCache>
            </c:strRef>
          </c:tx>
          <c:spPr>
            <a:ln w="15875" cap="rnd">
              <a:solidFill>
                <a:sysClr val="windowText" lastClr="000000">
                  <a:lumMod val="75000"/>
                  <a:lumOff val="25000"/>
                </a:sysClr>
              </a:solidFill>
              <a:prstDash val="sysDash"/>
              <a:round/>
            </a:ln>
            <a:effectLst/>
          </c:spPr>
          <c:marker>
            <c:symbol val="none"/>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Sheet1!$J$7:$J$18</c:f>
              <c:numCache>
                <c:formatCode>General</c:formatCode>
                <c:ptCount val="12"/>
                <c:pt idx="0">
                  <c:v>0.36281257487908486</c:v>
                </c:pt>
                <c:pt idx="1">
                  <c:v>0.82744948441913546</c:v>
                </c:pt>
                <c:pt idx="2">
                  <c:v>0.8767935331824116</c:v>
                </c:pt>
                <c:pt idx="3">
                  <c:v>0.84602404163445122</c:v>
                </c:pt>
                <c:pt idx="4">
                  <c:v>0.82819271879325485</c:v>
                </c:pt>
                <c:pt idx="5">
                  <c:v>0.83315806086054101</c:v>
                </c:pt>
                <c:pt idx="6">
                  <c:v>0.84474365528856843</c:v>
                </c:pt>
                <c:pt idx="7">
                  <c:v>0.84246874530269311</c:v>
                </c:pt>
                <c:pt idx="8">
                  <c:v>0.78048059362234501</c:v>
                </c:pt>
                <c:pt idx="9">
                  <c:v>0.59771006679651972</c:v>
                </c:pt>
                <c:pt idx="10">
                  <c:v>0.33175320079396398</c:v>
                </c:pt>
                <c:pt idx="11">
                  <c:v>0.18070991165892342</c:v>
                </c:pt>
              </c:numCache>
            </c:numRef>
          </c:val>
          <c:smooth val="1"/>
          <c:extLst>
            <c:ext xmlns:c16="http://schemas.microsoft.com/office/drawing/2014/chart" uri="{C3380CC4-5D6E-409C-BE32-E72D297353CC}">
              <c16:uniqueId val="{00000002-8F98-4DB1-8166-D2F9DE3686C1}"/>
            </c:ext>
          </c:extLst>
        </c:ser>
        <c:dLbls>
          <c:showLegendKey val="0"/>
          <c:showVal val="0"/>
          <c:showCatName val="0"/>
          <c:showSerName val="0"/>
          <c:showPercent val="0"/>
          <c:showBubbleSize val="0"/>
        </c:dLbls>
        <c:smooth val="0"/>
        <c:axId val="836646776"/>
        <c:axId val="836644808"/>
      </c:lineChart>
      <c:catAx>
        <c:axId val="836646776"/>
        <c:scaling>
          <c:orientation val="minMax"/>
        </c:scaling>
        <c:delete val="0"/>
        <c:axPos val="b"/>
        <c:majorGridlines>
          <c:spPr>
            <a:ln w="9525" cap="flat" cmpd="sng" algn="ctr">
              <a:solidFill>
                <a:schemeClr val="tx1">
                  <a:lumMod val="15000"/>
                  <a:lumOff val="85000"/>
                </a:schemeClr>
              </a:solidFill>
              <a:prstDash val="sysDash"/>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836644808"/>
        <c:crosses val="autoZero"/>
        <c:auto val="1"/>
        <c:lblAlgn val="ctr"/>
        <c:lblOffset val="100"/>
        <c:tickLblSkip val="2"/>
        <c:noMultiLvlLbl val="0"/>
      </c:catAx>
      <c:valAx>
        <c:axId val="836644808"/>
        <c:scaling>
          <c:orientation val="minMax"/>
        </c:scaling>
        <c:delete val="0"/>
        <c:axPos val="l"/>
        <c:majorGridlines>
          <c:spPr>
            <a:ln w="9525" cap="flat" cmpd="sng" algn="ctr">
              <a:solidFill>
                <a:schemeClr val="tx1">
                  <a:lumMod val="15000"/>
                  <a:lumOff val="85000"/>
                </a:schemeClr>
              </a:solidFill>
              <a:prstDash val="sysDot"/>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836646776"/>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37063492063492"/>
          <c:y val="6.4553901022719934E-2"/>
          <c:w val="0.80143333333333333"/>
          <c:h val="0.74929587116942553"/>
        </c:manualLayout>
      </c:layout>
      <c:lineChart>
        <c:grouping val="standard"/>
        <c:varyColors val="0"/>
        <c:ser>
          <c:idx val="0"/>
          <c:order val="0"/>
          <c:tx>
            <c:strRef>
              <c:f>Sheet1!$V$6</c:f>
              <c:strCache>
                <c:ptCount val="1"/>
                <c:pt idx="0">
                  <c:v>Low</c:v>
                </c:pt>
              </c:strCache>
            </c:strRef>
          </c:tx>
          <c:spPr>
            <a:ln w="19050" cap="rnd">
              <a:solidFill>
                <a:schemeClr val="tx2"/>
              </a:solidFill>
              <a:round/>
            </a:ln>
            <a:effectLst/>
          </c:spPr>
          <c:marker>
            <c:symbol val="none"/>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Sheet1!$V$7:$V$18</c:f>
              <c:numCache>
                <c:formatCode>General</c:formatCode>
                <c:ptCount val="12"/>
                <c:pt idx="0">
                  <c:v>0.3595254514598023</c:v>
                </c:pt>
                <c:pt idx="1">
                  <c:v>0.66560030453041341</c:v>
                </c:pt>
                <c:pt idx="2">
                  <c:v>0.73084534467241791</c:v>
                </c:pt>
                <c:pt idx="3">
                  <c:v>0.76756027907006485</c:v>
                </c:pt>
                <c:pt idx="4">
                  <c:v>0.77583697960982023</c:v>
                </c:pt>
                <c:pt idx="5">
                  <c:v>0.76528771217488833</c:v>
                </c:pt>
                <c:pt idx="6">
                  <c:v>0.73031604881180334</c:v>
                </c:pt>
                <c:pt idx="7">
                  <c:v>0.66518178445370379</c:v>
                </c:pt>
                <c:pt idx="8">
                  <c:v>0.5959283055525082</c:v>
                </c:pt>
                <c:pt idx="9">
                  <c:v>0.44677296042690251</c:v>
                </c:pt>
                <c:pt idx="10">
                  <c:v>0.23804239656717108</c:v>
                </c:pt>
                <c:pt idx="11">
                  <c:v>0.14348414783671051</c:v>
                </c:pt>
              </c:numCache>
            </c:numRef>
          </c:val>
          <c:smooth val="1"/>
          <c:extLst>
            <c:ext xmlns:c16="http://schemas.microsoft.com/office/drawing/2014/chart" uri="{C3380CC4-5D6E-409C-BE32-E72D297353CC}">
              <c16:uniqueId val="{00000000-1A7E-449F-8177-8E4E07D00677}"/>
            </c:ext>
          </c:extLst>
        </c:ser>
        <c:ser>
          <c:idx val="1"/>
          <c:order val="1"/>
          <c:tx>
            <c:strRef>
              <c:f>Sheet1!$W$6</c:f>
              <c:strCache>
                <c:ptCount val="1"/>
                <c:pt idx="0">
                  <c:v>Medium</c:v>
                </c:pt>
              </c:strCache>
            </c:strRef>
          </c:tx>
          <c:spPr>
            <a:ln w="15875" cap="rnd">
              <a:solidFill>
                <a:schemeClr val="tx2"/>
              </a:solidFill>
              <a:round/>
            </a:ln>
            <a:effectLst/>
          </c:spPr>
          <c:marker>
            <c:symbol val="square"/>
            <c:size val="5"/>
            <c:spPr>
              <a:solidFill>
                <a:schemeClr val="tx2"/>
              </a:solidFill>
              <a:ln w="9525">
                <a:noFill/>
              </a:ln>
              <a:effectLst/>
            </c:spPr>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Sheet1!$W$7:$W$18</c:f>
              <c:numCache>
                <c:formatCode>General</c:formatCode>
                <c:ptCount val="12"/>
                <c:pt idx="0">
                  <c:v>0.3595254514598023</c:v>
                </c:pt>
                <c:pt idx="1">
                  <c:v>0.74932674323041437</c:v>
                </c:pt>
                <c:pt idx="2">
                  <c:v>0.85816618174080028</c:v>
                </c:pt>
                <c:pt idx="3">
                  <c:v>0.86960202532108566</c:v>
                </c:pt>
                <c:pt idx="4">
                  <c:v>0.87181617383492072</c:v>
                </c:pt>
                <c:pt idx="5">
                  <c:v>0.86597113148342542</c:v>
                </c:pt>
                <c:pt idx="6">
                  <c:v>0.85406299469257374</c:v>
                </c:pt>
                <c:pt idx="7">
                  <c:v>0.82433150421529766</c:v>
                </c:pt>
                <c:pt idx="8">
                  <c:v>0.75356811182313543</c:v>
                </c:pt>
                <c:pt idx="9">
                  <c:v>0.56537137203461574</c:v>
                </c:pt>
                <c:pt idx="10">
                  <c:v>0.31818429704036133</c:v>
                </c:pt>
                <c:pt idx="11">
                  <c:v>0.19295464505921306</c:v>
                </c:pt>
              </c:numCache>
            </c:numRef>
          </c:val>
          <c:smooth val="1"/>
          <c:extLst>
            <c:ext xmlns:c16="http://schemas.microsoft.com/office/drawing/2014/chart" uri="{C3380CC4-5D6E-409C-BE32-E72D297353CC}">
              <c16:uniqueId val="{00000001-1A7E-449F-8177-8E4E07D00677}"/>
            </c:ext>
          </c:extLst>
        </c:ser>
        <c:ser>
          <c:idx val="2"/>
          <c:order val="2"/>
          <c:tx>
            <c:strRef>
              <c:f>Sheet1!$X$6</c:f>
              <c:strCache>
                <c:ptCount val="1"/>
                <c:pt idx="0">
                  <c:v>High</c:v>
                </c:pt>
              </c:strCache>
            </c:strRef>
          </c:tx>
          <c:spPr>
            <a:ln w="15875" cap="rnd">
              <a:solidFill>
                <a:sysClr val="windowText" lastClr="000000">
                  <a:lumMod val="75000"/>
                  <a:lumOff val="25000"/>
                </a:sysClr>
              </a:solidFill>
              <a:prstDash val="sysDash"/>
              <a:round/>
            </a:ln>
            <a:effectLst/>
          </c:spPr>
          <c:marker>
            <c:symbol val="none"/>
          </c:marker>
          <c:cat>
            <c:numRef>
              <c:f>Sheet1!$A$7:$A$18</c:f>
              <c:numCache>
                <c:formatCode>General</c:formatCode>
                <c:ptCount val="12"/>
                <c:pt idx="0">
                  <c:v>15</c:v>
                </c:pt>
                <c:pt idx="1">
                  <c:v>20</c:v>
                </c:pt>
                <c:pt idx="2">
                  <c:v>25</c:v>
                </c:pt>
                <c:pt idx="3">
                  <c:v>30</c:v>
                </c:pt>
                <c:pt idx="4">
                  <c:v>35</c:v>
                </c:pt>
                <c:pt idx="5">
                  <c:v>40</c:v>
                </c:pt>
                <c:pt idx="6">
                  <c:v>45</c:v>
                </c:pt>
                <c:pt idx="7">
                  <c:v>50</c:v>
                </c:pt>
                <c:pt idx="8">
                  <c:v>55</c:v>
                </c:pt>
                <c:pt idx="9">
                  <c:v>60</c:v>
                </c:pt>
                <c:pt idx="10">
                  <c:v>65</c:v>
                </c:pt>
                <c:pt idx="11">
                  <c:v>70</c:v>
                </c:pt>
              </c:numCache>
            </c:numRef>
          </c:cat>
          <c:val>
            <c:numRef>
              <c:f>Sheet1!$X$7:$X$18</c:f>
              <c:numCache>
                <c:formatCode>General</c:formatCode>
                <c:ptCount val="12"/>
                <c:pt idx="0">
                  <c:v>0.3595254514598023</c:v>
                </c:pt>
                <c:pt idx="1">
                  <c:v>0.83217707930522611</c:v>
                </c:pt>
                <c:pt idx="2">
                  <c:v>0.92040053652704235</c:v>
                </c:pt>
                <c:pt idx="3">
                  <c:v>0.95843242016748198</c:v>
                </c:pt>
                <c:pt idx="4">
                  <c:v>0.96517233755905907</c:v>
                </c:pt>
                <c:pt idx="5">
                  <c:v>0.96257002449369455</c:v>
                </c:pt>
                <c:pt idx="6">
                  <c:v>0.9563035390248229</c:v>
                </c:pt>
                <c:pt idx="7">
                  <c:v>0.93568798516181173</c:v>
                </c:pt>
                <c:pt idx="8">
                  <c:v>0.87811018261564278</c:v>
                </c:pt>
                <c:pt idx="9">
                  <c:v>0.72058427192118524</c:v>
                </c:pt>
                <c:pt idx="10">
                  <c:v>0.46077595278001005</c:v>
                </c:pt>
                <c:pt idx="11">
                  <c:v>0.27879138787211644</c:v>
                </c:pt>
              </c:numCache>
            </c:numRef>
          </c:val>
          <c:smooth val="1"/>
          <c:extLst>
            <c:ext xmlns:c16="http://schemas.microsoft.com/office/drawing/2014/chart" uri="{C3380CC4-5D6E-409C-BE32-E72D297353CC}">
              <c16:uniqueId val="{00000002-1A7E-449F-8177-8E4E07D00677}"/>
            </c:ext>
          </c:extLst>
        </c:ser>
        <c:dLbls>
          <c:showLegendKey val="0"/>
          <c:showVal val="0"/>
          <c:showCatName val="0"/>
          <c:showSerName val="0"/>
          <c:showPercent val="0"/>
          <c:showBubbleSize val="0"/>
        </c:dLbls>
        <c:smooth val="0"/>
        <c:axId val="836646776"/>
        <c:axId val="836644808"/>
      </c:lineChart>
      <c:catAx>
        <c:axId val="836646776"/>
        <c:scaling>
          <c:orientation val="minMax"/>
        </c:scaling>
        <c:delete val="0"/>
        <c:axPos val="b"/>
        <c:majorGridlines>
          <c:spPr>
            <a:ln w="9525" cap="flat" cmpd="sng" algn="ctr">
              <a:solidFill>
                <a:schemeClr val="tx1">
                  <a:lumMod val="15000"/>
                  <a:lumOff val="85000"/>
                </a:schemeClr>
              </a:solidFill>
              <a:prstDash val="sysDash"/>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836644808"/>
        <c:crosses val="autoZero"/>
        <c:auto val="1"/>
        <c:lblAlgn val="ctr"/>
        <c:lblOffset val="100"/>
        <c:tickLblSkip val="2"/>
        <c:noMultiLvlLbl val="0"/>
      </c:catAx>
      <c:valAx>
        <c:axId val="836644808"/>
        <c:scaling>
          <c:orientation val="minMax"/>
          <c:max val="1"/>
        </c:scaling>
        <c:delete val="0"/>
        <c:axPos val="l"/>
        <c:majorGridlines>
          <c:spPr>
            <a:ln w="9525" cap="flat" cmpd="sng" algn="ctr">
              <a:solidFill>
                <a:schemeClr val="tx1">
                  <a:lumMod val="15000"/>
                  <a:lumOff val="85000"/>
                </a:schemeClr>
              </a:solidFill>
              <a:prstDash val="sysDot"/>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836646776"/>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6">
  <a:schemeClr val="accent3"/>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921C0-3DF4-427F-9F1D-0FC8A242D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5257</Words>
  <Characters>29969</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2025-06-08T21:21:00Z</dcterms:created>
  <dcterms:modified xsi:type="dcterms:W3CDTF">2025-06-09T10:26:00Z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id="hYDP55CO"/&gt;&lt;style id="http://www.zotero.org/styles/apa" locale="en-US" hasBibliography="1" bibliographyStyleHasBeenSet="0"/&gt;&lt;prefs&gt;&lt;pref name="fieldType" value="Field"/&gt;&lt;pref name="automaticJou</vt:lpwstr>
  </property>
  <property fmtid="{D5CDD505-2E9C-101B-9397-08002B2CF9AE}" pid="3" name="ZOTERO_PREF_2">
    <vt:lpwstr>rnalAbbreviations" value="true"/&gt;&lt;/prefs&gt;&lt;/data&gt;</vt:lpwstr>
  </property>
  <property fmtid="{D5CDD505-2E9C-101B-9397-08002B2CF9AE}" pid="4" name="MSIP_Label_ae7542bc-63e5-412b-b0a0-d9586028a7d0_Enabled">
    <vt:lpwstr>true</vt:lpwstr>
  </property>
  <property fmtid="{D5CDD505-2E9C-101B-9397-08002B2CF9AE}" pid="5" name="MSIP_Label_ae7542bc-63e5-412b-b0a0-d9586028a7d0_SetDate">
    <vt:lpwstr>2025-06-07T20:08:33Z</vt:lpwstr>
  </property>
  <property fmtid="{D5CDD505-2E9C-101B-9397-08002B2CF9AE}" pid="6" name="MSIP_Label_ae7542bc-63e5-412b-b0a0-d9586028a7d0_Method">
    <vt:lpwstr>Standard</vt:lpwstr>
  </property>
  <property fmtid="{D5CDD505-2E9C-101B-9397-08002B2CF9AE}" pid="7" name="MSIP_Label_ae7542bc-63e5-412b-b0a0-d9586028a7d0_Name">
    <vt:lpwstr>Sensitive</vt:lpwstr>
  </property>
  <property fmtid="{D5CDD505-2E9C-101B-9397-08002B2CF9AE}" pid="8" name="MSIP_Label_ae7542bc-63e5-412b-b0a0-d9586028a7d0_SiteId">
    <vt:lpwstr>d8999fe4-76af-40b3-b435-1d8977abc08c</vt:lpwstr>
  </property>
  <property fmtid="{D5CDD505-2E9C-101B-9397-08002B2CF9AE}" pid="9" name="MSIP_Label_ae7542bc-63e5-412b-b0a0-d9586028a7d0_ActionId">
    <vt:lpwstr>12c3968b-bea4-4b0d-8daa-bf29c7eedaf7</vt:lpwstr>
  </property>
  <property fmtid="{D5CDD505-2E9C-101B-9397-08002B2CF9AE}" pid="10" name="MSIP_Label_ae7542bc-63e5-412b-b0a0-d9586028a7d0_ContentBits">
    <vt:lpwstr>0</vt:lpwstr>
  </property>
  <property fmtid="{D5CDD505-2E9C-101B-9397-08002B2CF9AE}" pid="11" name="MSIP_Label_ae7542bc-63e5-412b-b0a0-d9586028a7d0_Tag">
    <vt:lpwstr>10, 3, 0, 1</vt:lpwstr>
  </property>
</Properties>
</file>