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62C17" w14:textId="77777777" w:rsidR="004A7BE8" w:rsidRPr="009948F5" w:rsidRDefault="004A7BE8" w:rsidP="004A7BE8">
      <w:pPr>
        <w:ind w:firstLine="0"/>
        <w:rPr>
          <w:szCs w:val="24"/>
        </w:rPr>
      </w:pPr>
      <w:r>
        <w:rPr>
          <w:szCs w:val="24"/>
        </w:rPr>
        <w:t xml:space="preserve">Supplementary </w:t>
      </w:r>
      <w:r w:rsidRPr="009948F5">
        <w:rPr>
          <w:szCs w:val="24"/>
        </w:rPr>
        <w:t xml:space="preserve">Online Appendix for </w:t>
      </w:r>
    </w:p>
    <w:p w14:paraId="7C0633A9" w14:textId="57E55A03" w:rsidR="004A7BE8" w:rsidRPr="009948F5" w:rsidRDefault="004A7BE8" w:rsidP="004A7BE8">
      <w:pPr>
        <w:spacing w:line="240" w:lineRule="auto"/>
        <w:ind w:firstLine="0"/>
        <w:rPr>
          <w:b/>
          <w:sz w:val="28"/>
        </w:rPr>
      </w:pPr>
      <w:r w:rsidRPr="009948F5">
        <w:rPr>
          <w:b/>
          <w:sz w:val="28"/>
        </w:rPr>
        <w:t xml:space="preserve">The potential of anti-bullying efforts </w:t>
      </w:r>
      <w:r w:rsidR="00BF4394">
        <w:rPr>
          <w:b/>
          <w:sz w:val="28"/>
        </w:rPr>
        <w:t>to prevent</w:t>
      </w:r>
      <w:r w:rsidRPr="009948F5">
        <w:rPr>
          <w:b/>
          <w:sz w:val="28"/>
        </w:rPr>
        <w:t xml:space="preserve"> academic failure and youth crime. A case using the Olweus Bullying Prevention Program (OBPP)</w:t>
      </w:r>
    </w:p>
    <w:p w14:paraId="14F8DB46" w14:textId="77777777" w:rsidR="004A7BE8" w:rsidRDefault="004A7BE8" w:rsidP="004A7BE8">
      <w:pPr>
        <w:spacing w:line="240" w:lineRule="auto"/>
        <w:ind w:firstLine="0"/>
        <w:rPr>
          <w:sz w:val="28"/>
        </w:rPr>
      </w:pPr>
    </w:p>
    <w:p w14:paraId="5503C752" w14:textId="77777777" w:rsidR="007F5597" w:rsidRPr="00DA181B" w:rsidRDefault="007F5597" w:rsidP="007F5597">
      <w:pPr>
        <w:spacing w:line="240" w:lineRule="auto"/>
        <w:ind w:firstLine="0"/>
        <w:rPr>
          <w:vertAlign w:val="superscript"/>
        </w:rPr>
      </w:pPr>
      <w:r w:rsidRPr="00DA181B">
        <w:t>Nicolai Topstad Borgen</w:t>
      </w:r>
      <w:r w:rsidRPr="00DA181B">
        <w:rPr>
          <w:vertAlign w:val="superscript"/>
        </w:rPr>
        <w:t>1</w:t>
      </w:r>
      <w:proofErr w:type="gramStart"/>
      <w:r>
        <w:rPr>
          <w:vertAlign w:val="superscript"/>
        </w:rPr>
        <w:t>,2</w:t>
      </w:r>
      <w:proofErr w:type="gramEnd"/>
      <w:r w:rsidRPr="00DA181B">
        <w:t>, Dan Olweus</w:t>
      </w:r>
      <w:r>
        <w:rPr>
          <w:vertAlign w:val="superscript"/>
        </w:rPr>
        <w:t>3†</w:t>
      </w:r>
      <w:r w:rsidRPr="00DA181B">
        <w:t>, Lars Johannessen Kirkebøen</w:t>
      </w:r>
      <w:r>
        <w:rPr>
          <w:vertAlign w:val="superscript"/>
        </w:rPr>
        <w:t>4</w:t>
      </w:r>
      <w:r w:rsidRPr="00DA181B">
        <w:t>, Kyrre Breivik</w:t>
      </w:r>
      <w:r>
        <w:rPr>
          <w:vertAlign w:val="superscript"/>
        </w:rPr>
        <w:t>5</w:t>
      </w:r>
      <w:r w:rsidRPr="00DA181B">
        <w:t>, Mona Elin Solberg</w:t>
      </w:r>
      <w:r>
        <w:rPr>
          <w:vertAlign w:val="superscript"/>
        </w:rPr>
        <w:t>5</w:t>
      </w:r>
      <w:r w:rsidRPr="00DA181B">
        <w:t>, Ivar Frønes</w:t>
      </w:r>
      <w:r w:rsidRPr="00DA181B">
        <w:rPr>
          <w:vertAlign w:val="superscript"/>
        </w:rPr>
        <w:t>1,</w:t>
      </w:r>
      <w:r>
        <w:rPr>
          <w:vertAlign w:val="superscript"/>
        </w:rPr>
        <w:t>6</w:t>
      </w:r>
      <w:r>
        <w:t>, Donna Cross</w:t>
      </w:r>
      <w:r>
        <w:rPr>
          <w:vertAlign w:val="superscript"/>
        </w:rPr>
        <w:t>7</w:t>
      </w:r>
      <w:r>
        <w:t xml:space="preserve">, </w:t>
      </w:r>
      <w:r w:rsidRPr="00DA181B">
        <w:t>and Oddbjørn Raaum</w:t>
      </w:r>
      <w:r>
        <w:rPr>
          <w:vertAlign w:val="superscript"/>
        </w:rPr>
        <w:t>8</w:t>
      </w:r>
    </w:p>
    <w:p w14:paraId="0D02875C" w14:textId="77777777" w:rsidR="007F5597" w:rsidRPr="00DA181B" w:rsidRDefault="007F5597" w:rsidP="007F5597">
      <w:pPr>
        <w:spacing w:line="240" w:lineRule="auto"/>
      </w:pPr>
    </w:p>
    <w:p w14:paraId="350F7D7C" w14:textId="77777777" w:rsidR="007F5597" w:rsidRDefault="007F5597" w:rsidP="007F5597">
      <w:pPr>
        <w:spacing w:line="240" w:lineRule="auto"/>
        <w:ind w:firstLine="0"/>
        <w:rPr>
          <w:sz w:val="20"/>
          <w:szCs w:val="20"/>
        </w:rPr>
      </w:pPr>
      <w:r w:rsidRPr="00DA6A7E">
        <w:rPr>
          <w:sz w:val="20"/>
          <w:szCs w:val="20"/>
          <w:vertAlign w:val="superscript"/>
        </w:rPr>
        <w:t>1</w:t>
      </w:r>
      <w:r w:rsidRPr="00DA6A7E">
        <w:rPr>
          <w:sz w:val="20"/>
          <w:szCs w:val="20"/>
        </w:rPr>
        <w:t xml:space="preserve"> Department of Sociology and Human Geography, University of Oslo, Norway</w:t>
      </w:r>
    </w:p>
    <w:p w14:paraId="2E4DC634" w14:textId="77777777" w:rsidR="007F5597" w:rsidRPr="00DA6A7E" w:rsidRDefault="007F5597" w:rsidP="007F5597">
      <w:pPr>
        <w:spacing w:line="240" w:lineRule="auto"/>
        <w:ind w:firstLine="0"/>
        <w:rPr>
          <w:sz w:val="20"/>
          <w:szCs w:val="20"/>
        </w:rPr>
      </w:pPr>
      <w:r>
        <w:rPr>
          <w:sz w:val="20"/>
          <w:szCs w:val="20"/>
          <w:vertAlign w:val="superscript"/>
        </w:rPr>
        <w:t>2</w:t>
      </w:r>
      <w:r w:rsidRPr="00DA6A7E">
        <w:rPr>
          <w:sz w:val="20"/>
          <w:szCs w:val="20"/>
        </w:rPr>
        <w:t xml:space="preserve"> Department of </w:t>
      </w:r>
      <w:r>
        <w:rPr>
          <w:sz w:val="20"/>
          <w:szCs w:val="20"/>
        </w:rPr>
        <w:t>Special Needs Education</w:t>
      </w:r>
      <w:r w:rsidRPr="00DA6A7E">
        <w:rPr>
          <w:sz w:val="20"/>
          <w:szCs w:val="20"/>
        </w:rPr>
        <w:t>, University of Oslo, Norway</w:t>
      </w:r>
    </w:p>
    <w:p w14:paraId="78B98FA8" w14:textId="77777777" w:rsidR="007F5597" w:rsidRPr="00DA6A7E" w:rsidRDefault="007F5597" w:rsidP="007F5597">
      <w:pPr>
        <w:spacing w:line="240" w:lineRule="auto"/>
        <w:ind w:firstLine="0"/>
        <w:rPr>
          <w:sz w:val="20"/>
          <w:szCs w:val="20"/>
        </w:rPr>
      </w:pPr>
      <w:r>
        <w:rPr>
          <w:sz w:val="20"/>
          <w:szCs w:val="20"/>
          <w:vertAlign w:val="superscript"/>
        </w:rPr>
        <w:t>3</w:t>
      </w:r>
      <w:r w:rsidRPr="00DA6A7E">
        <w:rPr>
          <w:sz w:val="20"/>
          <w:szCs w:val="20"/>
        </w:rPr>
        <w:t xml:space="preserve"> Department of Health Promotion and Development, University of Bergen, Norway</w:t>
      </w:r>
    </w:p>
    <w:p w14:paraId="01C906E9" w14:textId="77777777" w:rsidR="007F5597" w:rsidRPr="00DA6A7E" w:rsidRDefault="007F5597" w:rsidP="007F5597">
      <w:pPr>
        <w:spacing w:line="240" w:lineRule="auto"/>
        <w:ind w:firstLine="0"/>
        <w:rPr>
          <w:sz w:val="20"/>
          <w:szCs w:val="20"/>
        </w:rPr>
      </w:pPr>
      <w:r>
        <w:rPr>
          <w:sz w:val="20"/>
          <w:szCs w:val="20"/>
          <w:vertAlign w:val="superscript"/>
        </w:rPr>
        <w:t>4</w:t>
      </w:r>
      <w:r w:rsidRPr="00DA6A7E">
        <w:rPr>
          <w:sz w:val="20"/>
          <w:szCs w:val="20"/>
        </w:rPr>
        <w:t xml:space="preserve"> Statistics Norway, Norway</w:t>
      </w:r>
    </w:p>
    <w:p w14:paraId="181ADB42" w14:textId="77777777" w:rsidR="007F5597" w:rsidRPr="00DA6A7E" w:rsidRDefault="007F5597" w:rsidP="007F5597">
      <w:pPr>
        <w:spacing w:line="240" w:lineRule="auto"/>
        <w:ind w:firstLine="0"/>
        <w:rPr>
          <w:sz w:val="20"/>
          <w:szCs w:val="20"/>
        </w:rPr>
      </w:pPr>
      <w:r>
        <w:rPr>
          <w:sz w:val="20"/>
          <w:szCs w:val="20"/>
          <w:vertAlign w:val="superscript"/>
        </w:rPr>
        <w:t>5</w:t>
      </w:r>
      <w:r w:rsidRPr="00DA6A7E">
        <w:rPr>
          <w:sz w:val="20"/>
          <w:szCs w:val="20"/>
        </w:rPr>
        <w:t xml:space="preserve"> Regional Centre for Child and Youth Mental Health and Child Welfare, NORCE, Norway</w:t>
      </w:r>
    </w:p>
    <w:p w14:paraId="595A38D0" w14:textId="77777777" w:rsidR="007F5597" w:rsidRPr="00DA6A7E" w:rsidRDefault="007F5597" w:rsidP="007F5597">
      <w:pPr>
        <w:spacing w:line="240" w:lineRule="auto"/>
        <w:ind w:firstLine="0"/>
        <w:rPr>
          <w:sz w:val="20"/>
          <w:szCs w:val="20"/>
        </w:rPr>
      </w:pPr>
      <w:r>
        <w:rPr>
          <w:sz w:val="20"/>
          <w:szCs w:val="20"/>
          <w:vertAlign w:val="superscript"/>
        </w:rPr>
        <w:t>6</w:t>
      </w:r>
      <w:r w:rsidRPr="00DA6A7E">
        <w:rPr>
          <w:sz w:val="20"/>
          <w:szCs w:val="20"/>
        </w:rPr>
        <w:t xml:space="preserve"> Norwegian Center for Child Behavioral Development, Norway</w:t>
      </w:r>
    </w:p>
    <w:p w14:paraId="75425921" w14:textId="77777777" w:rsidR="007F5597" w:rsidRDefault="007F5597" w:rsidP="007F5597">
      <w:pPr>
        <w:spacing w:line="240" w:lineRule="auto"/>
        <w:ind w:firstLine="0"/>
        <w:rPr>
          <w:sz w:val="20"/>
          <w:szCs w:val="20"/>
          <w:vertAlign w:val="superscript"/>
        </w:rPr>
      </w:pPr>
      <w:r>
        <w:rPr>
          <w:sz w:val="20"/>
          <w:szCs w:val="20"/>
          <w:vertAlign w:val="superscript"/>
        </w:rPr>
        <w:t>7</w:t>
      </w:r>
      <w:r w:rsidRPr="00DA6A7E">
        <w:rPr>
          <w:sz w:val="20"/>
          <w:szCs w:val="20"/>
        </w:rPr>
        <w:t xml:space="preserve"> </w:t>
      </w:r>
      <w:r>
        <w:rPr>
          <w:sz w:val="20"/>
          <w:szCs w:val="20"/>
        </w:rPr>
        <w:t>University of Western Australia – Telethon Kids Institute, Australia</w:t>
      </w:r>
    </w:p>
    <w:p w14:paraId="0D623177" w14:textId="77777777" w:rsidR="007F5597" w:rsidRPr="00DA6A7E" w:rsidRDefault="007F5597" w:rsidP="007F5597">
      <w:pPr>
        <w:spacing w:line="240" w:lineRule="auto"/>
        <w:ind w:firstLine="0"/>
        <w:rPr>
          <w:sz w:val="20"/>
          <w:szCs w:val="20"/>
        </w:rPr>
      </w:pPr>
      <w:r>
        <w:rPr>
          <w:sz w:val="20"/>
          <w:szCs w:val="20"/>
          <w:vertAlign w:val="superscript"/>
        </w:rPr>
        <w:t>8</w:t>
      </w:r>
      <w:r w:rsidRPr="00DA6A7E">
        <w:rPr>
          <w:sz w:val="20"/>
          <w:szCs w:val="20"/>
        </w:rPr>
        <w:t xml:space="preserve"> Ragnar Frisch Centre for Economic Research, Norway</w:t>
      </w:r>
    </w:p>
    <w:p w14:paraId="0B105A0E" w14:textId="77777777" w:rsidR="007F5597" w:rsidRDefault="007F5597" w:rsidP="007F5597">
      <w:pPr>
        <w:spacing w:line="240" w:lineRule="auto"/>
        <w:ind w:firstLine="0"/>
      </w:pPr>
    </w:p>
    <w:p w14:paraId="0D5B8AEE" w14:textId="01587B6E" w:rsidR="007F5597" w:rsidRDefault="007F5597" w:rsidP="007F5597">
      <w:pPr>
        <w:spacing w:line="240" w:lineRule="auto"/>
        <w:ind w:firstLine="0"/>
        <w:rPr>
          <w:sz w:val="20"/>
          <w:szCs w:val="20"/>
        </w:rPr>
      </w:pPr>
      <w:r>
        <w:rPr>
          <w:vertAlign w:val="superscript"/>
        </w:rPr>
        <w:t>†</w:t>
      </w:r>
      <w:r>
        <w:t xml:space="preserve"> </w:t>
      </w:r>
      <w:r>
        <w:rPr>
          <w:sz w:val="20"/>
          <w:szCs w:val="20"/>
        </w:rPr>
        <w:t>Deceased</w:t>
      </w:r>
      <w:r w:rsidR="00056B82">
        <w:rPr>
          <w:sz w:val="20"/>
          <w:szCs w:val="20"/>
        </w:rPr>
        <w:t xml:space="preserve"> 20 September 2020</w:t>
      </w:r>
      <w:bookmarkStart w:id="0" w:name="_GoBack"/>
      <w:bookmarkEnd w:id="0"/>
      <w:r>
        <w:rPr>
          <w:sz w:val="20"/>
          <w:szCs w:val="20"/>
        </w:rPr>
        <w:t xml:space="preserve">. </w:t>
      </w:r>
    </w:p>
    <w:p w14:paraId="5328FDF4" w14:textId="77777777" w:rsidR="004A7BE8" w:rsidRDefault="004A7BE8" w:rsidP="004A7BE8">
      <w:pPr>
        <w:ind w:firstLine="0"/>
      </w:pPr>
    </w:p>
    <w:p w14:paraId="66A34B4F" w14:textId="77777777" w:rsidR="004A7BE8" w:rsidRDefault="004A7BE8" w:rsidP="004A7BE8">
      <w:pPr>
        <w:spacing w:line="240" w:lineRule="auto"/>
        <w:ind w:firstLine="0"/>
        <w:rPr>
          <w:b/>
        </w:rPr>
      </w:pPr>
      <w:r w:rsidRPr="009948F5">
        <w:rPr>
          <w:b/>
        </w:rPr>
        <w:t>Content</w:t>
      </w:r>
      <w:r>
        <w:rPr>
          <w:b/>
        </w:rPr>
        <w:t xml:space="preserve"> of supplementary online appendix</w:t>
      </w:r>
      <w:r w:rsidRPr="009948F5">
        <w:rPr>
          <w:b/>
        </w:rPr>
        <w:t>:</w:t>
      </w:r>
    </w:p>
    <w:p w14:paraId="218D1574" w14:textId="77777777" w:rsidR="004A7BE8" w:rsidRDefault="004A7BE8" w:rsidP="004A7BE8">
      <w:pPr>
        <w:spacing w:line="360" w:lineRule="auto"/>
        <w:ind w:firstLine="0"/>
        <w:rPr>
          <w:b/>
        </w:rPr>
      </w:pPr>
    </w:p>
    <w:p w14:paraId="3C7CD15E" w14:textId="0B7D5025" w:rsidR="004A7BE8" w:rsidRDefault="004A7BE8" w:rsidP="004A7BE8">
      <w:pPr>
        <w:spacing w:line="360" w:lineRule="auto"/>
        <w:ind w:firstLine="0"/>
      </w:pPr>
      <w:r w:rsidRPr="009948F5">
        <w:rPr>
          <w:b/>
        </w:rPr>
        <w:t>Online Appendix A:</w:t>
      </w:r>
      <w:r>
        <w:t xml:space="preserve"> School and student identification</w:t>
      </w:r>
      <w:r w:rsidR="009C3AA0">
        <w:t xml:space="preserve"> </w:t>
      </w:r>
    </w:p>
    <w:p w14:paraId="1B78CEE7" w14:textId="77777777" w:rsidR="004A7BE8" w:rsidRDefault="004A7BE8" w:rsidP="004A7BE8">
      <w:pPr>
        <w:spacing w:line="360" w:lineRule="auto"/>
        <w:ind w:firstLine="0"/>
      </w:pPr>
      <w:r w:rsidRPr="009948F5">
        <w:rPr>
          <w:b/>
        </w:rPr>
        <w:t>Online Appendix B:</w:t>
      </w:r>
      <w:r>
        <w:t xml:space="preserve"> Analytical approach to study long-term effects of OBPP</w:t>
      </w:r>
    </w:p>
    <w:p w14:paraId="04A63FE6" w14:textId="12D17A1C" w:rsidR="004A7BE8" w:rsidRDefault="004A7BE8" w:rsidP="004A7BE8">
      <w:pPr>
        <w:spacing w:line="360" w:lineRule="auto"/>
        <w:ind w:firstLine="0"/>
      </w:pPr>
      <w:r w:rsidRPr="009948F5">
        <w:rPr>
          <w:b/>
        </w:rPr>
        <w:t xml:space="preserve">Online Appendix </w:t>
      </w:r>
      <w:r>
        <w:rPr>
          <w:b/>
        </w:rPr>
        <w:t>C</w:t>
      </w:r>
      <w:r w:rsidRPr="009948F5">
        <w:rPr>
          <w:b/>
        </w:rPr>
        <w:t>:</w:t>
      </w:r>
      <w:r>
        <w:t xml:space="preserve"> </w:t>
      </w:r>
      <w:r w:rsidR="008A57E2">
        <w:t>Supplementary</w:t>
      </w:r>
      <w:r>
        <w:t xml:space="preserve"> tables and figures</w:t>
      </w:r>
    </w:p>
    <w:p w14:paraId="78EE1512" w14:textId="3F66E3A0" w:rsidR="004A7BE8" w:rsidRDefault="004A7BE8" w:rsidP="004A7BE8">
      <w:pPr>
        <w:spacing w:line="360" w:lineRule="auto"/>
        <w:ind w:firstLine="0"/>
      </w:pPr>
      <w:r w:rsidRPr="009948F5">
        <w:rPr>
          <w:b/>
        </w:rPr>
        <w:t xml:space="preserve">Online Appendix </w:t>
      </w:r>
      <w:r>
        <w:rPr>
          <w:b/>
        </w:rPr>
        <w:t>D</w:t>
      </w:r>
      <w:r w:rsidRPr="009948F5">
        <w:rPr>
          <w:b/>
        </w:rPr>
        <w:t>:</w:t>
      </w:r>
      <w:r>
        <w:t xml:space="preserve"> Matched DiD</w:t>
      </w:r>
    </w:p>
    <w:p w14:paraId="69374C76" w14:textId="5BC80A83" w:rsidR="009C3AA0" w:rsidRDefault="009C3AA0" w:rsidP="004A7BE8">
      <w:pPr>
        <w:spacing w:line="360" w:lineRule="auto"/>
        <w:ind w:firstLine="0"/>
      </w:pPr>
      <w:r>
        <w:rPr>
          <w:b/>
        </w:rPr>
        <w:t>Online Appendix References</w:t>
      </w:r>
    </w:p>
    <w:p w14:paraId="60AB4E6B" w14:textId="77777777" w:rsidR="004A7BE8" w:rsidRDefault="004A7BE8" w:rsidP="004A7BE8">
      <w:pPr>
        <w:pStyle w:val="Heading1"/>
      </w:pPr>
      <w:r>
        <w:br w:type="page"/>
      </w:r>
    </w:p>
    <w:p w14:paraId="26EC5AE1" w14:textId="77777777" w:rsidR="004A7BE8" w:rsidRDefault="004A7BE8" w:rsidP="004A7BE8">
      <w:pPr>
        <w:pStyle w:val="Heading1"/>
      </w:pPr>
      <w:r w:rsidRPr="00DA6A7E">
        <w:lastRenderedPageBreak/>
        <w:t xml:space="preserve">Online </w:t>
      </w:r>
      <w:r>
        <w:t>Appendix A: School and student identification</w:t>
      </w:r>
    </w:p>
    <w:p w14:paraId="576AC1F5" w14:textId="245D70C6" w:rsidR="00506C60" w:rsidRDefault="004A7BE8" w:rsidP="004A7BE8">
      <w:pPr>
        <w:ind w:firstLine="0"/>
      </w:pPr>
      <w:r w:rsidRPr="00B74B4C">
        <w:t xml:space="preserve">A </w:t>
      </w:r>
      <w:r>
        <w:t xml:space="preserve">national </w:t>
      </w:r>
      <w:r w:rsidRPr="00B74B4C">
        <w:t>register of compulsory school students does not exist</w:t>
      </w:r>
      <w:r>
        <w:t xml:space="preserve"> in Norway</w:t>
      </w:r>
      <w:r w:rsidRPr="00B74B4C">
        <w:t xml:space="preserve">. </w:t>
      </w:r>
      <w:r>
        <w:t xml:space="preserve">To identify the students </w:t>
      </w:r>
      <w:r w:rsidR="00B55F82">
        <w:t>who attended OBPP schools, we imputed school attendance</w:t>
      </w:r>
      <w:r w:rsidRPr="00B74B4C">
        <w:t xml:space="preserve"> from residential addres</w:t>
      </w:r>
      <w:r w:rsidR="003E3760">
        <w:t>se</w:t>
      </w:r>
      <w:r w:rsidRPr="00B74B4C">
        <w:t>s using links constructed from test score data</w:t>
      </w:r>
      <w:r>
        <w:t xml:space="preserve"> from later years</w:t>
      </w:r>
      <w:r w:rsidRPr="00B74B4C">
        <w:t>.</w:t>
      </w:r>
      <w:r>
        <w:t xml:space="preserve"> </w:t>
      </w:r>
      <w:r w:rsidR="00506C60">
        <w:t xml:space="preserve">We use the fact </w:t>
      </w:r>
      <w:r w:rsidR="00ED53E0">
        <w:t xml:space="preserve">that </w:t>
      </w:r>
      <w:r w:rsidR="00506C60" w:rsidRPr="00200F60">
        <w:t>Norwegian primary school students overwhelmingly attend their local schools (less than 5 percent attend private schools) and impute school assignment</w:t>
      </w:r>
      <w:r w:rsidR="00B55F82">
        <w:t>s</w:t>
      </w:r>
      <w:r w:rsidR="00506C60" w:rsidRPr="00200F60">
        <w:t xml:space="preserve"> based on </w:t>
      </w:r>
      <w:r w:rsidR="003E3760">
        <w:t xml:space="preserve">the </w:t>
      </w:r>
      <w:r w:rsidR="00506C60" w:rsidRPr="00200F60">
        <w:t>residential address</w:t>
      </w:r>
      <w:r w:rsidR="00ED53E0">
        <w:t>.</w:t>
      </w:r>
    </w:p>
    <w:p w14:paraId="4F21257C" w14:textId="77777777" w:rsidR="00ED53E0" w:rsidRPr="00200F60" w:rsidRDefault="00ED53E0" w:rsidP="00ED53E0">
      <w:r w:rsidRPr="00200F60">
        <w:t>Register data identifies the residential location of students, in particular the basic statistical units (basic districts). There are about 14,000 such units, which according to Statistics Norway constitute “… small, stable geographical units which may form a flexible basis to work with and present regional statistics. (...) geographically coherent areas. (...) homogeneous, with respect to nature and basis for economic activities, conditions for communications, and structure of buildings.” The units have 0-6000 inhabitants (mean = 379).</w:t>
      </w:r>
    </w:p>
    <w:p w14:paraId="10A29BC0" w14:textId="06AD69C6" w:rsidR="00951D5B" w:rsidRDefault="00ED53E0" w:rsidP="004A7BE8">
      <w:r w:rsidRPr="00200F60">
        <w:t>From 2007 and onwards</w:t>
      </w:r>
      <w:r w:rsidR="003E3760">
        <w:t>,</w:t>
      </w:r>
      <w:r w:rsidRPr="00200F60">
        <w:t xml:space="preserve"> students take standardized tests in grades 5 and 8 (later also in grade 9). Results are recorded at the student level and include school id and student id. Based on the standardized test data for 5</w:t>
      </w:r>
      <w:r w:rsidRPr="00200F60">
        <w:rPr>
          <w:vertAlign w:val="superscript"/>
        </w:rPr>
        <w:t>th</w:t>
      </w:r>
      <w:r w:rsidRPr="00200F60">
        <w:t xml:space="preserve"> graders in 2007-2009, we found the most frequently attended school for students in each basic statistical unit. We then imputed school characteristics, including </w:t>
      </w:r>
      <w:r>
        <w:t>OBPP</w:t>
      </w:r>
      <w:r w:rsidRPr="00200F60">
        <w:t xml:space="preserve"> participation, using these modal schools. </w:t>
      </w:r>
    </w:p>
    <w:p w14:paraId="19C6785D" w14:textId="053D7C98" w:rsidR="00951D5B" w:rsidRDefault="00ED53E0" w:rsidP="004A7BE8">
      <w:r>
        <w:t xml:space="preserve">Imputing school attended from residential address </w:t>
      </w:r>
      <w:r w:rsidR="004A7BE8" w:rsidRPr="00B74B4C">
        <w:t>will cause some misclassification of school</w:t>
      </w:r>
      <w:r w:rsidR="004A7BE8">
        <w:t>s</w:t>
      </w:r>
      <w:r w:rsidR="004A7BE8" w:rsidRPr="00B74B4C">
        <w:t xml:space="preserve"> attended, and thus of program exposure: Some students classif</w:t>
      </w:r>
      <w:r w:rsidR="004A7BE8">
        <w:t>ied</w:t>
      </w:r>
      <w:r w:rsidR="004A7BE8" w:rsidRPr="00B74B4C">
        <w:t xml:space="preserve"> as </w:t>
      </w:r>
      <w:r w:rsidR="004A7BE8">
        <w:t>attending an OBPP school where the program was implemented</w:t>
      </w:r>
      <w:r w:rsidR="004A7BE8" w:rsidRPr="00B74B4C">
        <w:t xml:space="preserve"> will not have </w:t>
      </w:r>
      <w:r w:rsidR="004A7BE8">
        <w:t>attended this school</w:t>
      </w:r>
      <w:r w:rsidR="004A7BE8" w:rsidRPr="00B74B4C">
        <w:t>, while some classif</w:t>
      </w:r>
      <w:r w:rsidR="004A7BE8">
        <w:t>ied</w:t>
      </w:r>
      <w:r w:rsidR="004A7BE8" w:rsidRPr="00B74B4C">
        <w:t xml:space="preserve"> as not exposed will have </w:t>
      </w:r>
      <w:r w:rsidR="004A7BE8">
        <w:t>attended</w:t>
      </w:r>
      <w:r w:rsidR="004A7BE8" w:rsidRPr="00B74B4C">
        <w:t>.</w:t>
      </w:r>
      <w:r w:rsidR="00951D5B">
        <w:rPr>
          <w:rStyle w:val="FootnoteReference"/>
        </w:rPr>
        <w:footnoteReference w:id="1"/>
      </w:r>
      <w:r w:rsidR="004A7BE8" w:rsidRPr="00B74B4C">
        <w:t xml:space="preserve"> </w:t>
      </w:r>
      <w:r w:rsidR="004A7BE8">
        <w:t>By making two key assumptions, however, we can assess the implications of attenuation bias for our results.</w:t>
      </w:r>
      <w:r w:rsidR="004A7BE8" w:rsidRPr="00B74B4C">
        <w:t xml:space="preserve"> </w:t>
      </w:r>
    </w:p>
    <w:p w14:paraId="16620FEB" w14:textId="771CFCF0" w:rsidR="004A7BE8" w:rsidRDefault="004A7BE8" w:rsidP="004A7BE8">
      <w:r>
        <w:t xml:space="preserve">The first assumption is about the type of misclassification. Some schools or groups of </w:t>
      </w:r>
      <w:r>
        <w:lastRenderedPageBreak/>
        <w:t>students will tend to have more misclassification than others do (e.g.</w:t>
      </w:r>
      <w:r w:rsidR="003E3760">
        <w:t>,</w:t>
      </w:r>
      <w:r>
        <w:t xml:space="preserve"> due to </w:t>
      </w:r>
      <w:r w:rsidR="003E3760">
        <w:t xml:space="preserve">the </w:t>
      </w:r>
      <w:r>
        <w:t>geography and size of catchment area)</w:t>
      </w:r>
      <w:r w:rsidR="003E3760">
        <w:t>,</w:t>
      </w:r>
      <w:r>
        <w:t xml:space="preserve"> and they may also differ in other ways. For example, s</w:t>
      </w:r>
      <w:r w:rsidRPr="00B74B4C">
        <w:t xml:space="preserve">tudents in cities may have more available school options, including private schools, compared to those in rural areas. </w:t>
      </w:r>
      <w:r>
        <w:t>T</w:t>
      </w:r>
      <w:r w:rsidRPr="00B74B4C">
        <w:t xml:space="preserve">hese students may have both a different share </w:t>
      </w:r>
      <w:r w:rsidR="00B55F82">
        <w:t xml:space="preserve">of </w:t>
      </w:r>
      <w:r w:rsidRPr="00B74B4C">
        <w:t xml:space="preserve">misclassification </w:t>
      </w:r>
      <w:r>
        <w:t xml:space="preserve">and </w:t>
      </w:r>
      <w:r w:rsidRPr="00B74B4C">
        <w:t>different characteristics and outcomes than other students. However, since our research design accounts for unobserved persistent differences in the outcomes of students in different schools as well as family background for each student, it is unlikely that misclassification is correlated with unobserved factors affecting outcomes.</w:t>
      </w:r>
      <w:r>
        <w:t xml:space="preserve"> </w:t>
      </w:r>
    </w:p>
    <w:p w14:paraId="4B09639E" w14:textId="7B8F9B98" w:rsidR="004A7BE8" w:rsidRDefault="004A7BE8" w:rsidP="004A7BE8">
      <w:r>
        <w:t xml:space="preserve">In essence, we assume that </w:t>
      </w:r>
      <w:r w:rsidRPr="00B74B4C">
        <w:t>misclassification is conditional</w:t>
      </w:r>
      <w:r>
        <w:t xml:space="preserve">ly </w:t>
      </w:r>
      <w:r w:rsidRPr="00B74B4C">
        <w:t>random</w:t>
      </w:r>
      <w:r w:rsidR="003E3760">
        <w:t>,</w:t>
      </w:r>
      <w:r>
        <w:t xml:space="preserve"> which will attenuate </w:t>
      </w:r>
      <w:r w:rsidRPr="00B74B4C">
        <w:t xml:space="preserve">the effect estimate </w:t>
      </w:r>
      <w:r>
        <w:fldChar w:fldCharType="begin"/>
      </w:r>
      <w:r w:rsidR="00403075">
        <w:instrText xml:space="preserve"> ADDIN EN.CITE &lt;EndNote&gt;&lt;Cite&gt;&lt;Author&gt;Lewbel&lt;/Author&gt;&lt;Year&gt;2007&lt;/Year&gt;&lt;RecNum&gt;945&lt;/RecNum&gt;&lt;Prefix&gt;e.g.`,  &lt;/Prefix&gt;&lt;DisplayText&gt;(e.g.,  Lewbel 2007)&lt;/DisplayText&gt;&lt;record&gt;&lt;rec-number&gt;945&lt;/rec-number&gt;&lt;foreign-keys&gt;&lt;key app="EN" db-id="ve90ps2agaxfw8essaxvaes9x0wpwafdp0zt" timestamp="1560852128"&gt;945&lt;/key&gt;&lt;/foreign-keys&gt;&lt;ref-type name="Journal Article"&gt;17&lt;/ref-type&gt;&lt;contributors&gt;&lt;authors&gt;&lt;author&gt;Lewbel, Arthur&lt;/author&gt;&lt;/authors&gt;&lt;/contributors&gt;&lt;titles&gt;&lt;title&gt;Estimation of average treatment effects with misclassification&lt;/title&gt;&lt;secondary-title&gt;Econometrica&lt;/secondary-title&gt;&lt;/titles&gt;&lt;periodical&gt;&lt;full-title&gt;Econometrica&lt;/full-title&gt;&lt;/periodical&gt;&lt;pages&gt;537-551&lt;/pages&gt;&lt;volume&gt;75&lt;/volume&gt;&lt;number&gt;2&lt;/number&gt;&lt;dates&gt;&lt;year&gt;2007&lt;/year&gt;&lt;/dates&gt;&lt;isbn&gt;0012-9682&lt;/isbn&gt;&lt;urls&gt;&lt;/urls&gt;&lt;/record&gt;&lt;/Cite&gt;&lt;/EndNote&gt;</w:instrText>
      </w:r>
      <w:r>
        <w:fldChar w:fldCharType="separate"/>
      </w:r>
      <w:r w:rsidR="00403075">
        <w:rPr>
          <w:noProof/>
        </w:rPr>
        <w:t>(e.g.,  Lewbel 2007)</w:t>
      </w:r>
      <w:r>
        <w:fldChar w:fldCharType="end"/>
      </w:r>
      <w:r>
        <w:t>.</w:t>
      </w:r>
      <w:r w:rsidRPr="00B74B4C">
        <w:t xml:space="preserve"> If a share </w:t>
      </w:r>
      <w:r w:rsidRPr="00B74B4C">
        <w:rPr>
          <w:i/>
        </w:rPr>
        <w:t>a</w:t>
      </w:r>
      <w:r w:rsidRPr="00B74B4C">
        <w:t xml:space="preserve"> of students classified as </w:t>
      </w:r>
      <w:r>
        <w:t xml:space="preserve">OBPP </w:t>
      </w:r>
      <w:r w:rsidRPr="00B74B4C">
        <w:t xml:space="preserve">were correctly classified (“true positive”) and the share </w:t>
      </w:r>
      <w:r w:rsidRPr="00B74B4C">
        <w:rPr>
          <w:i/>
        </w:rPr>
        <w:t>b</w:t>
      </w:r>
      <w:r w:rsidRPr="00B74B4C">
        <w:t xml:space="preserve"> among those classified as not </w:t>
      </w:r>
      <w:r>
        <w:t xml:space="preserve">OBPP </w:t>
      </w:r>
      <w:r w:rsidRPr="00B74B4C">
        <w:t>were in fact exposed</w:t>
      </w:r>
      <w:r>
        <w:t xml:space="preserve"> to OBPP</w:t>
      </w:r>
      <w:r w:rsidRPr="00B74B4C">
        <w:t xml:space="preserve"> (“false negative”), the difference in </w:t>
      </w:r>
      <w:r>
        <w:t>true</w:t>
      </w:r>
      <w:r w:rsidRPr="00B74B4C">
        <w:t xml:space="preserve"> program exposure between students classified as </w:t>
      </w:r>
      <w:r>
        <w:t xml:space="preserve">OBPP </w:t>
      </w:r>
      <w:r w:rsidRPr="00B74B4C">
        <w:t xml:space="preserve">or </w:t>
      </w:r>
      <w:r>
        <w:t>those without OBPP</w:t>
      </w:r>
      <w:r w:rsidRPr="00B74B4C">
        <w:t xml:space="preserve"> w</w:t>
      </w:r>
      <w:r w:rsidR="003E3760">
        <w:t>ould</w:t>
      </w:r>
      <w:r w:rsidRPr="00B74B4C">
        <w:t xml:space="preserve"> be </w:t>
      </w:r>
      <w:r w:rsidRPr="00B74B4C">
        <w:rPr>
          <w:i/>
        </w:rPr>
        <w:t>a-b</w:t>
      </w:r>
      <w:r w:rsidRPr="00B74B4C">
        <w:t xml:space="preserve">&lt;1. This will bias our effect estimates towards zero. However, </w:t>
      </w:r>
      <w:r>
        <w:t>knowing</w:t>
      </w:r>
      <w:r w:rsidRPr="00B74B4C">
        <w:t xml:space="preserve"> </w:t>
      </w:r>
      <w:r w:rsidRPr="00B74B4C">
        <w:rPr>
          <w:i/>
        </w:rPr>
        <w:t>a</w:t>
      </w:r>
      <w:r w:rsidRPr="00B74B4C">
        <w:t xml:space="preserve"> and </w:t>
      </w:r>
      <w:r w:rsidRPr="00B74B4C">
        <w:rPr>
          <w:i/>
        </w:rPr>
        <w:t>b</w:t>
      </w:r>
      <w:r w:rsidRPr="00B74B4C">
        <w:t xml:space="preserve"> we can inflate our effect estimates with a factor 1</w:t>
      </w:r>
      <w:proofErr w:type="gramStart"/>
      <w:r w:rsidRPr="00B74B4C">
        <w:t>/(</w:t>
      </w:r>
      <w:proofErr w:type="gramEnd"/>
      <w:r w:rsidRPr="00B74B4C">
        <w:rPr>
          <w:i/>
        </w:rPr>
        <w:t>a-b</w:t>
      </w:r>
      <w:r w:rsidRPr="00B74B4C">
        <w:t>) to get an</w:t>
      </w:r>
      <w:r>
        <w:t xml:space="preserve"> assumedly</w:t>
      </w:r>
      <w:r w:rsidRPr="00B74B4C">
        <w:t xml:space="preserve"> unbiase</w:t>
      </w:r>
      <w:r>
        <w:t xml:space="preserve">d estimate of the true effect. </w:t>
      </w:r>
    </w:p>
    <w:p w14:paraId="423F758C" w14:textId="6349ED34" w:rsidR="004A7BE8" w:rsidRDefault="004A7BE8" w:rsidP="004A7BE8">
      <w:r>
        <w:t xml:space="preserve">Our second problem is that we can only assess misclassification for more recent student cohorts. Therefore, the second key assumption is that we can </w:t>
      </w:r>
      <w:r w:rsidRPr="00B74B4C">
        <w:t xml:space="preserve">extrapolate the misclassification from </w:t>
      </w:r>
      <w:r>
        <w:t xml:space="preserve">these </w:t>
      </w:r>
      <w:r w:rsidRPr="00B74B4C">
        <w:t xml:space="preserve">samples </w:t>
      </w:r>
      <w:r>
        <w:t xml:space="preserve">to </w:t>
      </w:r>
      <w:r w:rsidRPr="00B74B4C">
        <w:t>o</w:t>
      </w:r>
      <w:r>
        <w:t xml:space="preserve">lder </w:t>
      </w:r>
      <w:r w:rsidRPr="00B74B4C">
        <w:t xml:space="preserve">cohorts of students. </w:t>
      </w:r>
      <w:r>
        <w:t>W</w:t>
      </w:r>
      <w:r w:rsidRPr="00B74B4C">
        <w:t xml:space="preserve">e observe the schools </w:t>
      </w:r>
      <w:r w:rsidR="00B55F82">
        <w:t xml:space="preserve">where </w:t>
      </w:r>
      <w:r w:rsidRPr="00B74B4C">
        <w:t>students</w:t>
      </w:r>
      <w:r w:rsidR="00B55F82">
        <w:t xml:space="preserve"> took</w:t>
      </w:r>
      <w:r w:rsidRPr="00B74B4C">
        <w:t xml:space="preserve"> </w:t>
      </w:r>
      <w:r>
        <w:t xml:space="preserve">national </w:t>
      </w:r>
      <w:r w:rsidRPr="00B74B4C">
        <w:t>standardized tests in grade five</w:t>
      </w:r>
      <w:r>
        <w:t xml:space="preserve"> and their home neighborhood </w:t>
      </w:r>
      <w:r w:rsidRPr="00B74B4C">
        <w:t xml:space="preserve">from 2007 onwards (born 1997 and later). This allows estimation of </w:t>
      </w:r>
      <w:proofErr w:type="gramStart"/>
      <w:r w:rsidRPr="00B74B4C">
        <w:rPr>
          <w:i/>
        </w:rPr>
        <w:t>a</w:t>
      </w:r>
      <w:r w:rsidRPr="00B74B4C">
        <w:t xml:space="preserve"> and</w:t>
      </w:r>
      <w:proofErr w:type="gramEnd"/>
      <w:r w:rsidRPr="00B74B4C">
        <w:t xml:space="preserve"> </w:t>
      </w:r>
      <w:r w:rsidRPr="00B74B4C">
        <w:rPr>
          <w:i/>
        </w:rPr>
        <w:t>b</w:t>
      </w:r>
      <w:r w:rsidRPr="00B74B4C">
        <w:t xml:space="preserve"> for </w:t>
      </w:r>
      <w:r>
        <w:t xml:space="preserve">the recent </w:t>
      </w:r>
      <w:r w:rsidRPr="00B74B4C">
        <w:t>student</w:t>
      </w:r>
      <w:r>
        <w:t xml:space="preserve"> cohorts</w:t>
      </w:r>
      <w:r w:rsidRPr="00B74B4C">
        <w:t xml:space="preserve">. </w:t>
      </w:r>
      <w:r>
        <w:t xml:space="preserve">Our </w:t>
      </w:r>
      <w:r w:rsidRPr="00B74B4C">
        <w:t>analyses indicate</w:t>
      </w:r>
      <w:r>
        <w:t xml:space="preserve"> a school prediction based on neighborhood gives</w:t>
      </w:r>
      <w:r w:rsidRPr="00B74B4C">
        <w:t xml:space="preserve"> </w:t>
      </w:r>
      <w:r w:rsidRPr="00B74B4C">
        <w:rPr>
          <w:i/>
        </w:rPr>
        <w:t>a</w:t>
      </w:r>
      <w:r w:rsidRPr="00B74B4C">
        <w:rPr>
          <w:rFonts w:cs="Calibri"/>
        </w:rPr>
        <w:t>≈</w:t>
      </w:r>
      <w:r w:rsidRPr="00B74B4C">
        <w:t xml:space="preserve">0.9 and </w:t>
      </w:r>
      <w:r w:rsidRPr="00B74B4C">
        <w:rPr>
          <w:i/>
        </w:rPr>
        <w:t>b</w:t>
      </w:r>
      <w:r w:rsidRPr="00B74B4C">
        <w:rPr>
          <w:rFonts w:cs="Calibri"/>
        </w:rPr>
        <w:t>≈</w:t>
      </w:r>
      <w:r w:rsidRPr="00B74B4C">
        <w:t>0.0</w:t>
      </w:r>
      <w:r>
        <w:t xml:space="preserve"> in years close to the year the standardized tests are taken</w:t>
      </w:r>
      <w:r w:rsidRPr="00B74B4C">
        <w:t xml:space="preserve"> (Appendix Figure A1). Thus, despite some misclassification, </w:t>
      </w:r>
      <w:r w:rsidR="00BE118F">
        <w:t xml:space="preserve">we expect 85-90% of </w:t>
      </w:r>
      <w:r w:rsidRPr="00B74B4C">
        <w:t xml:space="preserve">those classified as exposed to </w:t>
      </w:r>
      <w:r>
        <w:t xml:space="preserve">OBPP are </w:t>
      </w:r>
      <w:r w:rsidR="00BE118F">
        <w:t xml:space="preserve">indeed </w:t>
      </w:r>
      <w:r w:rsidRPr="00B74B4C">
        <w:t>exposed</w:t>
      </w:r>
      <w:r w:rsidR="00BE118F">
        <w:t xml:space="preserve"> (the remaining 10-15% attend a control school)</w:t>
      </w:r>
      <w:r>
        <w:t xml:space="preserve">. </w:t>
      </w:r>
      <w:r w:rsidR="00BE118F">
        <w:t>Further, v</w:t>
      </w:r>
      <w:r w:rsidRPr="00B74B4C">
        <w:t>ery few of those classified as not exposed</w:t>
      </w:r>
      <w:r w:rsidR="003E3760">
        <w:t xml:space="preserve"> </w:t>
      </w:r>
      <w:r w:rsidRPr="00B74B4C">
        <w:t>are exposed</w:t>
      </w:r>
      <w:r>
        <w:t>, reflecting</w:t>
      </w:r>
      <w:r w:rsidRPr="00B74B4C">
        <w:t xml:space="preserve"> that a minority of schools are program schools. </w:t>
      </w:r>
      <w:r w:rsidR="00BE118F">
        <w:t>Thus</w:t>
      </w:r>
      <w:r w:rsidRPr="00B74B4C">
        <w:t xml:space="preserve">, students </w:t>
      </w:r>
      <w:r w:rsidRPr="00B74B4C">
        <w:lastRenderedPageBreak/>
        <w:t xml:space="preserve">incorrectly assigned to a </w:t>
      </w:r>
      <w:r>
        <w:t xml:space="preserve">given </w:t>
      </w:r>
      <w:r w:rsidRPr="00B74B4C">
        <w:t xml:space="preserve">control school will mostly </w:t>
      </w:r>
      <w:r w:rsidR="003E3760">
        <w:t>attend</w:t>
      </w:r>
      <w:r w:rsidRPr="00B74B4C">
        <w:t xml:space="preserve"> some other control school</w:t>
      </w:r>
      <w:r>
        <w:t xml:space="preserve"> and therefore get the correct treatment status. </w:t>
      </w:r>
    </w:p>
    <w:p w14:paraId="26B9FDFC" w14:textId="77777777" w:rsidR="00BE118F" w:rsidRDefault="00BE118F" w:rsidP="00BE118F">
      <w:pPr>
        <w:ind w:firstLine="0"/>
      </w:pPr>
    </w:p>
    <w:p w14:paraId="485174ED" w14:textId="77777777" w:rsidR="00BE118F" w:rsidRDefault="00BE118F" w:rsidP="00BE118F">
      <w:pPr>
        <w:ind w:firstLine="0"/>
      </w:pPr>
      <w:r>
        <w:rPr>
          <w:noProof/>
          <w:lang w:val="nb-NO" w:eastAsia="nb-NO"/>
        </w:rPr>
        <w:drawing>
          <wp:inline distT="0" distB="0" distL="0" distR="0" wp14:anchorId="3570D58C" wp14:editId="44BD2D75">
            <wp:extent cx="5775960" cy="3840480"/>
            <wp:effectExtent l="0" t="0" r="0" b="7620"/>
            <wp:docPr id="5" name="Picture 5" descr="figureA_korrekt_klassifis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A_korrekt_klassifise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75960" cy="3840480"/>
                    </a:xfrm>
                    <a:prstGeom prst="rect">
                      <a:avLst/>
                    </a:prstGeom>
                    <a:noFill/>
                    <a:ln>
                      <a:noFill/>
                    </a:ln>
                  </pic:spPr>
                </pic:pic>
              </a:graphicData>
            </a:graphic>
          </wp:inline>
        </w:drawing>
      </w:r>
    </w:p>
    <w:p w14:paraId="77FF93C4" w14:textId="41D87F29" w:rsidR="00BE118F" w:rsidRPr="00C602CD" w:rsidRDefault="008873B0" w:rsidP="00BE118F">
      <w:pPr>
        <w:spacing w:line="240" w:lineRule="auto"/>
        <w:ind w:firstLine="0"/>
        <w:rPr>
          <w:b/>
        </w:rPr>
      </w:pPr>
      <w:r>
        <w:rPr>
          <w:b/>
        </w:rPr>
        <w:t xml:space="preserve">Appendix </w:t>
      </w:r>
      <w:r w:rsidR="00BE118F">
        <w:rPr>
          <w:b/>
        </w:rPr>
        <w:t xml:space="preserve">Figure A1: </w:t>
      </w:r>
      <w:r w:rsidR="00BE118F" w:rsidRPr="00C602CD">
        <w:t xml:space="preserve">Share of students </w:t>
      </w:r>
      <w:r w:rsidR="00BE118F">
        <w:t xml:space="preserve">correctly classified as OBPP schools and control schools based on </w:t>
      </w:r>
      <w:r w:rsidR="003E3760">
        <w:t xml:space="preserve">a </w:t>
      </w:r>
      <w:r w:rsidR="00BE118F">
        <w:t xml:space="preserve">predicted treatment from </w:t>
      </w:r>
      <w:r w:rsidR="003E3760">
        <w:t xml:space="preserve">the </w:t>
      </w:r>
      <w:r w:rsidR="00BE118F">
        <w:t xml:space="preserve">residential address. </w:t>
      </w:r>
    </w:p>
    <w:p w14:paraId="22D4C715" w14:textId="77777777" w:rsidR="00BE118F" w:rsidRDefault="00BE118F" w:rsidP="00BE118F">
      <w:pPr>
        <w:spacing w:line="240" w:lineRule="auto"/>
        <w:ind w:firstLine="0"/>
        <w:rPr>
          <w:sz w:val="20"/>
          <w:szCs w:val="20"/>
        </w:rPr>
      </w:pPr>
    </w:p>
    <w:p w14:paraId="57E6344A" w14:textId="77777777" w:rsidR="00BE118F" w:rsidRPr="00E1435D" w:rsidRDefault="00BE118F" w:rsidP="00BE118F">
      <w:pPr>
        <w:spacing w:line="240" w:lineRule="auto"/>
        <w:ind w:firstLine="0"/>
        <w:rPr>
          <w:sz w:val="20"/>
          <w:szCs w:val="20"/>
        </w:rPr>
      </w:pPr>
      <w:r>
        <w:rPr>
          <w:sz w:val="20"/>
          <w:szCs w:val="20"/>
        </w:rPr>
        <w:t>Note: Actual school is observed for cohorts completing standardized national tests in 5</w:t>
      </w:r>
      <w:r w:rsidRPr="00E1435D">
        <w:rPr>
          <w:sz w:val="20"/>
          <w:szCs w:val="20"/>
          <w:vertAlign w:val="superscript"/>
        </w:rPr>
        <w:t>th</w:t>
      </w:r>
      <w:r>
        <w:rPr>
          <w:sz w:val="20"/>
          <w:szCs w:val="20"/>
        </w:rPr>
        <w:t xml:space="preserve"> grade between 2007 and 2012. </w:t>
      </w:r>
    </w:p>
    <w:p w14:paraId="7A97C0F8" w14:textId="77777777" w:rsidR="00BE118F" w:rsidRDefault="00BE118F" w:rsidP="004A7BE8"/>
    <w:p w14:paraId="5993ED31" w14:textId="5FF9E2D2" w:rsidR="00BE118F" w:rsidRDefault="00BE118F" w:rsidP="00BE118F">
      <w:r>
        <w:t xml:space="preserve">We are mainly concerned about school attendance around the time of </w:t>
      </w:r>
      <w:r w:rsidR="003E3760">
        <w:t xml:space="preserve">the </w:t>
      </w:r>
      <w:r>
        <w:t xml:space="preserve">introduction of the OBPP program, which is earlier than the years used to impute schools (2001-2004 vs. 2007-2009). Since we have data on </w:t>
      </w:r>
      <w:r w:rsidR="003E3760">
        <w:t xml:space="preserve">the </w:t>
      </w:r>
      <w:r>
        <w:t>elementary school from 2007 and onwards (through test score data), we cannot test the pre</w:t>
      </w:r>
      <w:r w:rsidR="00B55F82">
        <w:t>dicted school approach's precision</w:t>
      </w:r>
      <w:r>
        <w:t xml:space="preserve"> for the birth cohorts used in the effect estimation. However, we</w:t>
      </w:r>
      <w:r w:rsidR="004A7BE8" w:rsidRPr="00B74B4C">
        <w:t xml:space="preserve"> have no evidence of large </w:t>
      </w:r>
      <w:r w:rsidR="00B55F82">
        <w:t>school assignment changes</w:t>
      </w:r>
      <w:r w:rsidR="004A7BE8" w:rsidRPr="00B74B4C">
        <w:t xml:space="preserve"> in the relevant period, and private school attendance is stable and very low. </w:t>
      </w:r>
    </w:p>
    <w:p w14:paraId="64EC4BFC" w14:textId="13D82D70" w:rsidR="008873B0" w:rsidRDefault="00BE118F" w:rsidP="00BE118F">
      <w:r>
        <w:t>Further, data on student counts for each school exist for all years from 1992 and onwards, allowing us to compare our predicted school counts with schools</w:t>
      </w:r>
      <w:r w:rsidR="00B55F82">
        <w:t>'</w:t>
      </w:r>
      <w:r>
        <w:t xml:space="preserve"> registered student </w:t>
      </w:r>
      <w:r>
        <w:lastRenderedPageBreak/>
        <w:t>numbers.</w:t>
      </w:r>
      <w:r w:rsidRPr="00BE118F">
        <w:t xml:space="preserve"> </w:t>
      </w:r>
      <w:r>
        <w:t xml:space="preserve">A </w:t>
      </w:r>
      <w:r w:rsidRPr="00200F60">
        <w:t xml:space="preserve">large majority of schools have existed since the start of the school register in 1992 (the schools present both in 1992 and 2007 have 96 percent of the students in 2007). </w:t>
      </w:r>
      <w:r>
        <w:t>Concerning the student count data, these</w:t>
      </w:r>
      <w:r w:rsidRPr="00200F60">
        <w:t xml:space="preserve"> do not exactly correspond to the test score data. While both standardized tests and student counts are performed in the fall, the timing may differ slightly. More importantly, some students are exempted from the standardized tests, and whether and how these are reported varies. Still, we expect our predicted number of students to be highly correlated with the count data.</w:t>
      </w:r>
    </w:p>
    <w:p w14:paraId="15726C73" w14:textId="77777777" w:rsidR="008873B0" w:rsidRDefault="008873B0" w:rsidP="00BE118F"/>
    <w:p w14:paraId="7EEB5C42" w14:textId="77777777" w:rsidR="008873B0" w:rsidRPr="00200F60" w:rsidRDefault="008873B0" w:rsidP="008873B0">
      <w:pPr>
        <w:keepNext/>
        <w:ind w:firstLine="0"/>
      </w:pPr>
      <w:r>
        <w:rPr>
          <w:noProof/>
          <w:lang w:val="nb-NO" w:eastAsia="nb-NO"/>
        </w:rPr>
        <w:drawing>
          <wp:inline distT="0" distB="0" distL="0" distR="0" wp14:anchorId="631F670C" wp14:editId="46C11A6A">
            <wp:extent cx="5753100" cy="3832860"/>
            <wp:effectExtent l="0" t="0" r="0" b="0"/>
            <wp:docPr id="3" name="Picture 3" descr="skolekobling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kolekobling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3832860"/>
                    </a:xfrm>
                    <a:prstGeom prst="rect">
                      <a:avLst/>
                    </a:prstGeom>
                    <a:noFill/>
                    <a:ln>
                      <a:noFill/>
                    </a:ln>
                  </pic:spPr>
                </pic:pic>
              </a:graphicData>
            </a:graphic>
          </wp:inline>
        </w:drawing>
      </w:r>
    </w:p>
    <w:p w14:paraId="263F3D4D" w14:textId="1805B1AC" w:rsidR="008873B0" w:rsidRDefault="008873B0" w:rsidP="008873B0">
      <w:pPr>
        <w:spacing w:line="240" w:lineRule="auto"/>
        <w:ind w:firstLine="0"/>
      </w:pPr>
      <w:r>
        <w:rPr>
          <w:b/>
        </w:rPr>
        <w:t xml:space="preserve">Appendix </w:t>
      </w:r>
      <w:r w:rsidRPr="00200F60">
        <w:rPr>
          <w:b/>
        </w:rPr>
        <w:t>F</w:t>
      </w:r>
      <w:r>
        <w:rPr>
          <w:b/>
        </w:rPr>
        <w:t>igure A2:</w:t>
      </w:r>
      <w:r w:rsidRPr="00200F60">
        <w:t xml:space="preserve"> Correlations between </w:t>
      </w:r>
      <w:r w:rsidR="003E3760">
        <w:t xml:space="preserve">the </w:t>
      </w:r>
      <w:r w:rsidRPr="00200F60">
        <w:t xml:space="preserve">predicted number of students (based on residential address) and student counts from administrative data. </w:t>
      </w:r>
    </w:p>
    <w:p w14:paraId="3604BF7D" w14:textId="77777777" w:rsidR="008873B0" w:rsidRDefault="008873B0" w:rsidP="00BE118F"/>
    <w:p w14:paraId="6AECC197" w14:textId="2F8065B5" w:rsidR="00BE118F" w:rsidRDefault="003E3760" w:rsidP="004A7BE8">
      <w:r>
        <w:t>By c</w:t>
      </w:r>
      <w:r w:rsidR="004A7BE8" w:rsidRPr="00B74B4C">
        <w:t>orrelating predicted student numbers with student counts from administrative data</w:t>
      </w:r>
      <w:r>
        <w:t>,</w:t>
      </w:r>
      <w:r w:rsidR="004A7BE8" w:rsidRPr="00B74B4C">
        <w:t xml:space="preserve"> we find consistently high correlations (</w:t>
      </w:r>
      <w:r w:rsidR="004A7BE8" w:rsidRPr="00B74B4C">
        <w:rPr>
          <w:rFonts w:cs="Calibri"/>
        </w:rPr>
        <w:t>≈</w:t>
      </w:r>
      <w:r w:rsidR="004A7BE8" w:rsidRPr="00B74B4C">
        <w:t>.90)</w:t>
      </w:r>
      <w:r>
        <w:t>. A</w:t>
      </w:r>
      <w:r w:rsidR="004A7BE8" w:rsidRPr="00B74B4C">
        <w:t xml:space="preserve">lthough the correlations decline slightly with increasing time difference between the cohorts studied and those used for constructing linkages, the correlation is still above .85 at the extremes of our sample (Appendix Figure A2). </w:t>
      </w:r>
      <w:r w:rsidR="004A7BE8">
        <w:t xml:space="preserve">While it </w:t>
      </w:r>
      <w:r w:rsidR="004A7BE8">
        <w:lastRenderedPageBreak/>
        <w:t xml:space="preserve">is hard to draw conclusions about </w:t>
      </w:r>
      <w:proofErr w:type="gramStart"/>
      <w:r w:rsidR="004A7BE8">
        <w:rPr>
          <w:i/>
        </w:rPr>
        <w:t>a</w:t>
      </w:r>
      <w:r w:rsidR="004A7BE8">
        <w:t xml:space="preserve"> and</w:t>
      </w:r>
      <w:proofErr w:type="gramEnd"/>
      <w:r w:rsidR="004A7BE8">
        <w:t xml:space="preserve"> </w:t>
      </w:r>
      <w:r w:rsidR="004A7BE8">
        <w:rPr>
          <w:i/>
        </w:rPr>
        <w:t>b</w:t>
      </w:r>
      <w:r w:rsidR="004A7BE8">
        <w:t xml:space="preserve"> from these correlations without investigating the school attended by individual students, this consistently high correlation gives no reason to believe the correct classification decreases dramatically from </w:t>
      </w:r>
      <w:r w:rsidR="004A7BE8">
        <w:rPr>
          <w:i/>
        </w:rPr>
        <w:t>a-b</w:t>
      </w:r>
      <w:r w:rsidR="004A7BE8">
        <w:t xml:space="preserve">=0.9 in the years </w:t>
      </w:r>
      <w:r>
        <w:t xml:space="preserve">used to generate </w:t>
      </w:r>
      <w:r w:rsidR="004A7BE8">
        <w:t>the address-school links.</w:t>
      </w:r>
    </w:p>
    <w:p w14:paraId="227CB874" w14:textId="107F89E1" w:rsidR="004A7BE8" w:rsidRDefault="004A7BE8" w:rsidP="004A7BE8">
      <w:r w:rsidRPr="00B74B4C">
        <w:t>Thus, we assume the effect estimates are attenuated by a factor of about 0.</w:t>
      </w:r>
      <w:r>
        <w:t>9</w:t>
      </w:r>
      <w:r w:rsidRPr="00B74B4C">
        <w:t xml:space="preserve"> and can inflate coefficients and standard errors by about </w:t>
      </w:r>
      <w:r>
        <w:t>11</w:t>
      </w:r>
      <w:r w:rsidRPr="00B74B4C">
        <w:t>% (1/0.</w:t>
      </w:r>
      <w:r>
        <w:t>9</w:t>
      </w:r>
      <w:r w:rsidRPr="00B74B4C">
        <w:t>=1.</w:t>
      </w:r>
      <w:r>
        <w:t>11</w:t>
      </w:r>
      <w:r w:rsidRPr="00B74B4C">
        <w:t>) to adjust for the bias.</w:t>
      </w:r>
      <w:r>
        <w:t xml:space="preserve"> T</w:t>
      </w:r>
      <w:r w:rsidRPr="00B74B4C">
        <w:t xml:space="preserve">his adjustment is relatively minor. Additionally, it is based on the subset of the sample for whom we observe standardized tests, and accordingly has some estimation uncertainty. Therefore, we will not explicitly implement this adjustment as part of our estimator but </w:t>
      </w:r>
      <w:r w:rsidR="003E3760">
        <w:t>instead</w:t>
      </w:r>
      <w:r w:rsidR="00F519E3">
        <w:t>,</w:t>
      </w:r>
      <w:r w:rsidRPr="00B74B4C">
        <w:t xml:space="preserve"> refer to it in our discussion of the results.</w:t>
      </w:r>
    </w:p>
    <w:p w14:paraId="5D34F7C9" w14:textId="4ECD9174" w:rsidR="004A7BE8" w:rsidRPr="00200F60" w:rsidRDefault="004A7BE8" w:rsidP="008873B0">
      <w:r w:rsidRPr="00200F60">
        <w:t xml:space="preserve"> </w:t>
      </w:r>
    </w:p>
    <w:p w14:paraId="5412C6AA" w14:textId="77777777" w:rsidR="004A7BE8" w:rsidRPr="00200F60" w:rsidRDefault="004A7BE8" w:rsidP="004A7BE8"/>
    <w:p w14:paraId="613541CA" w14:textId="77777777" w:rsidR="004A7BE8" w:rsidRDefault="004A7BE8" w:rsidP="004A7BE8">
      <w:pPr>
        <w:spacing w:line="240" w:lineRule="auto"/>
        <w:ind w:firstLine="0"/>
        <w:jc w:val="left"/>
        <w:rPr>
          <w:rFonts w:eastAsia="Times New Roman"/>
          <w:b/>
          <w:sz w:val="26"/>
          <w:szCs w:val="32"/>
        </w:rPr>
      </w:pPr>
    </w:p>
    <w:p w14:paraId="5329D2ED" w14:textId="77777777" w:rsidR="004A7BE8" w:rsidRDefault="004A7BE8" w:rsidP="004A7BE8">
      <w:pPr>
        <w:spacing w:line="240" w:lineRule="auto"/>
        <w:ind w:firstLine="0"/>
        <w:jc w:val="left"/>
        <w:rPr>
          <w:rFonts w:eastAsia="Times New Roman"/>
          <w:b/>
          <w:sz w:val="26"/>
          <w:szCs w:val="32"/>
        </w:rPr>
      </w:pPr>
      <w:r>
        <w:br w:type="page"/>
      </w:r>
    </w:p>
    <w:p w14:paraId="068DA132" w14:textId="77777777" w:rsidR="004A7BE8" w:rsidRPr="00DA6A7E" w:rsidRDefault="004A7BE8" w:rsidP="004A7BE8">
      <w:pPr>
        <w:pStyle w:val="Heading1"/>
      </w:pPr>
      <w:r w:rsidRPr="00DA6A7E">
        <w:lastRenderedPageBreak/>
        <w:t xml:space="preserve">Online </w:t>
      </w:r>
      <w:r>
        <w:t xml:space="preserve">Appendix B: </w:t>
      </w:r>
      <w:r w:rsidRPr="00DA6A7E">
        <w:t>Analytic approach</w:t>
      </w:r>
      <w:r>
        <w:t xml:space="preserve"> to study long-term effects of OBPP</w:t>
      </w:r>
    </w:p>
    <w:p w14:paraId="026DBF81" w14:textId="64E74AC3" w:rsidR="004A7BE8" w:rsidRPr="00DA6A7E" w:rsidRDefault="004A7BE8" w:rsidP="004A7BE8">
      <w:pPr>
        <w:ind w:firstLine="0"/>
      </w:pPr>
      <w:r w:rsidRPr="00DA6A7E">
        <w:t xml:space="preserve">Schools implementing </w:t>
      </w:r>
      <w:r>
        <w:t xml:space="preserve">a program </w:t>
      </w:r>
      <w:r w:rsidRPr="00DA6A7E">
        <w:t xml:space="preserve">like OBPP may differ from other schools (e.g., higher levels of bullying), and we cannot directly compare </w:t>
      </w:r>
      <w:r>
        <w:t xml:space="preserve">students from program and </w:t>
      </w:r>
      <w:r w:rsidRPr="00DA6A7E">
        <w:t>control schools.</w:t>
      </w:r>
      <w:r>
        <w:t xml:space="preserve"> Our strategy is to compare outcomes of different birth cohorts </w:t>
      </w:r>
      <w:r w:rsidRPr="00CC65A3">
        <w:rPr>
          <w:i/>
        </w:rPr>
        <w:t>within the same school</w:t>
      </w:r>
      <w:r>
        <w:t xml:space="preserve"> and </w:t>
      </w:r>
      <w:r w:rsidRPr="00DA6A7E">
        <w:t>use a difference-in-difference (DiD) model t</w:t>
      </w:r>
      <w:r>
        <w:t xml:space="preserve">hat </w:t>
      </w:r>
      <w:r w:rsidRPr="00DA6A7E">
        <w:t>account</w:t>
      </w:r>
      <w:r>
        <w:t>s</w:t>
      </w:r>
      <w:r w:rsidRPr="00DA6A7E">
        <w:t xml:space="preserve"> for selecti</w:t>
      </w:r>
      <w:r>
        <w:t>o</w:t>
      </w:r>
      <w:r w:rsidRPr="00DA6A7E">
        <w:t>n into treatment a</w:t>
      </w:r>
      <w:r>
        <w:t xml:space="preserve">s well as </w:t>
      </w:r>
      <w:r w:rsidRPr="00DA6A7E">
        <w:t>time</w:t>
      </w:r>
      <w:r>
        <w:t>/cohort</w:t>
      </w:r>
      <w:r w:rsidRPr="00DA6A7E">
        <w:t xml:space="preserve"> effects common to all schools. The </w:t>
      </w:r>
      <w:proofErr w:type="gramStart"/>
      <w:r w:rsidRPr="00DA6A7E">
        <w:t>DiD</w:t>
      </w:r>
      <w:proofErr w:type="gramEnd"/>
      <w:r w:rsidRPr="00DA6A7E">
        <w:t xml:space="preserve"> model compares outcomes between subsequent cohorts of students within schools after accounting </w:t>
      </w:r>
      <w:r>
        <w:t xml:space="preserve">for </w:t>
      </w:r>
      <w:r w:rsidRPr="00DA6A7E">
        <w:t>observable student characteristics</w:t>
      </w:r>
      <w:r>
        <w:t xml:space="preserve">. The purpose of the control schools is to adjust for factors (calendar time and cohort) that are shared by all students in the same grade. </w:t>
      </w:r>
      <w:r w:rsidRPr="00DA6A7E">
        <w:t>The main advantage of DiD is that it accounts for all time-invariant differences between schools, such as stable school, teacher, and student characteristics, irrespective of proxies for these differences</w:t>
      </w:r>
      <w:r>
        <w:t xml:space="preserve"> </w:t>
      </w:r>
      <w:r>
        <w:fldChar w:fldCharType="begin"/>
      </w:r>
      <w:r w:rsidR="00403075">
        <w:instrText xml:space="preserve"> ADDIN EN.CITE &lt;EndNote&gt;&lt;Cite&gt;&lt;Author&gt;Angrist&lt;/Author&gt;&lt;Year&gt;2009&lt;/Year&gt;&lt;RecNum&gt;73&lt;/RecNum&gt;&lt;DisplayText&gt;(Angrist and Pischke 2009)&lt;/DisplayText&gt;&lt;record&gt;&lt;rec-number&gt;73&lt;/rec-number&gt;&lt;foreign-keys&gt;&lt;key app="EN" db-id="ve90ps2agaxfw8essaxvaes9x0wpwafdp0zt" timestamp="1336734397"&gt;73&lt;/key&gt;&lt;/foreign-keys&gt;&lt;ref-type name="Book"&gt;6&lt;/ref-type&gt;&lt;contributors&gt;&lt;authors&gt;&lt;author&gt;Angrist, Joshua D.&lt;/author&gt;&lt;author&gt;Pischke, Jörn-Steffen&lt;/author&gt;&lt;/authors&gt;&lt;/contributors&gt;&lt;titles&gt;&lt;title&gt;Mostly harmless econometrics: an empiricist&amp;apos;s companion&lt;/title&gt;&lt;/titles&gt;&lt;pages&gt;XIII, 373 s.&lt;/pages&gt;&lt;keywords&gt;&lt;keyword&gt;sosialøkonomi&lt;/keyword&gt;&lt;keyword&gt;økonomi&lt;/keyword&gt;&lt;keyword&gt;Økonometri&lt;/keyword&gt;&lt;keyword&gt;Regresjonsanalyse&lt;/keyword&gt;&lt;/keywords&gt;&lt;dates&gt;&lt;year&gt;2009&lt;/year&gt;&lt;/dates&gt;&lt;pub-location&gt;Princeton&lt;/pub-location&gt;&lt;publisher&gt;Princeton University Press&lt;/publisher&gt;&lt;isbn&gt;978-0-691-12034-8&lt;/isbn&gt;&lt;urls&gt;&lt;/urls&gt;&lt;/record&gt;&lt;/Cite&gt;&lt;/EndNote&gt;</w:instrText>
      </w:r>
      <w:r>
        <w:fldChar w:fldCharType="separate"/>
      </w:r>
      <w:r w:rsidR="00403075">
        <w:rPr>
          <w:noProof/>
        </w:rPr>
        <w:t>(Angrist and Pischke 2009)</w:t>
      </w:r>
      <w:r>
        <w:fldChar w:fldCharType="end"/>
      </w:r>
      <w:r w:rsidRPr="00DA6A7E">
        <w:t>.</w:t>
      </w:r>
    </w:p>
    <w:p w14:paraId="47585E27" w14:textId="77777777" w:rsidR="004A7BE8" w:rsidRPr="00DA6A7E" w:rsidRDefault="004A7BE8" w:rsidP="004A7BE8">
      <w:r w:rsidRPr="00DA6A7E">
        <w:t>The unit of observation is the student and the basic model is:</w:t>
      </w:r>
    </w:p>
    <w:p w14:paraId="2420D10B" w14:textId="77777777" w:rsidR="004A7BE8" w:rsidRPr="00DA6A7E" w:rsidRDefault="004A7BE8" w:rsidP="004A7BE8">
      <w:pPr>
        <w:ind w:firstLine="0"/>
      </w:pPr>
    </w:p>
    <w:p w14:paraId="1A00596E" w14:textId="77777777" w:rsidR="004A7BE8" w:rsidRPr="00DA6A7E" w:rsidRDefault="004A7BE8" w:rsidP="004A7BE8">
      <w:r>
        <w:t>(1)</w:t>
      </w:r>
      <w:r w:rsidRPr="00DA6A7E">
        <w:t xml:space="preserve">                            </w:t>
      </w:r>
      <m:oMath>
        <m:sSub>
          <m:sSubPr>
            <m:ctrlPr>
              <w:rPr>
                <w:rFonts w:ascii="Cambria Math" w:hAnsi="Cambria Math"/>
                <w:i/>
              </w:rPr>
            </m:ctrlPr>
          </m:sSubPr>
          <m:e>
            <m:r>
              <w:rPr>
                <w:rFonts w:ascii="Cambria Math" w:hAnsi="Cambria Math"/>
              </w:rPr>
              <m:t>Y</m:t>
            </m:r>
          </m:e>
          <m:sub>
            <m:r>
              <w:rPr>
                <w:rFonts w:ascii="Cambria Math" w:hAnsi="Cambria Math"/>
              </w:rPr>
              <m:t>ics</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+β</m:t>
        </m:r>
        <m:sSub>
          <m:sSubPr>
            <m:ctrlPr>
              <w:rPr>
                <w:rFonts w:ascii="Cambria Math" w:hAnsi="Cambria Math"/>
                <w:i/>
              </w:rPr>
            </m:ctrlPr>
          </m:sSubPr>
          <m:e>
            <m:r>
              <w:rPr>
                <w:rFonts w:ascii="Cambria Math" w:hAnsi="Cambria Math"/>
              </w:rPr>
              <m:t>T</m:t>
            </m:r>
          </m:e>
          <m:sub>
            <m:r>
              <w:rPr>
                <w:rFonts w:ascii="Cambria Math" w:hAnsi="Cambria Math"/>
              </w:rPr>
              <m:t>cs</m:t>
            </m:r>
          </m:sub>
        </m:sSub>
        <m:r>
          <w:rPr>
            <w:rFonts w:ascii="Cambria Math" w:hAnsi="Cambria Math"/>
          </w:rPr>
          <m:t>+δ</m:t>
        </m:r>
        <m:sSub>
          <m:sSubPr>
            <m:ctrlPr>
              <w:rPr>
                <w:rFonts w:ascii="Cambria Math" w:hAnsi="Cambria Math"/>
                <w:i/>
              </w:rPr>
            </m:ctrlPr>
          </m:sSubPr>
          <m:e>
            <m:r>
              <w:rPr>
                <w:rFonts w:ascii="Cambria Math" w:hAnsi="Cambria Math"/>
              </w:rPr>
              <m:t>X</m:t>
            </m:r>
          </m:e>
          <m:sub>
            <m:r>
              <w:rPr>
                <w:rFonts w:ascii="Cambria Math" w:hAnsi="Cambria Math"/>
              </w:rPr>
              <m:t>ics</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ics</m:t>
            </m:r>
          </m:sub>
        </m:sSub>
      </m:oMath>
      <w:r w:rsidRPr="00DA6A7E">
        <w:tab/>
        <w:t xml:space="preserve"> </w:t>
      </w:r>
    </w:p>
    <w:p w14:paraId="1A73A0E9" w14:textId="77777777" w:rsidR="004A7BE8" w:rsidRPr="00DA6A7E" w:rsidRDefault="004A7BE8" w:rsidP="004A7BE8"/>
    <w:p w14:paraId="60F0DD37" w14:textId="184E69D7" w:rsidR="004A7BE8" w:rsidRPr="00DA6A7E" w:rsidRDefault="00B10232" w:rsidP="004A7BE8">
      <w:pPr>
        <w:ind w:firstLine="0"/>
      </w:pPr>
      <m:oMath>
        <m:sSub>
          <m:sSubPr>
            <m:ctrlPr>
              <w:rPr>
                <w:rFonts w:ascii="Cambria Math" w:hAnsi="Cambria Math"/>
                <w:i/>
              </w:rPr>
            </m:ctrlPr>
          </m:sSubPr>
          <m:e>
            <m:r>
              <w:rPr>
                <w:rFonts w:ascii="Cambria Math" w:hAnsi="Cambria Math"/>
              </w:rPr>
              <m:t>Y</m:t>
            </m:r>
          </m:e>
          <m:sub>
            <m:r>
              <w:rPr>
                <w:rFonts w:ascii="Cambria Math" w:hAnsi="Cambria Math"/>
              </w:rPr>
              <m:t>cs</m:t>
            </m:r>
          </m:sub>
        </m:sSub>
      </m:oMath>
      <w:r w:rsidR="004A7BE8" w:rsidRPr="00DA6A7E">
        <w:t xml:space="preserve"> </w:t>
      </w:r>
      <w:proofErr w:type="gramStart"/>
      <w:r w:rsidR="004A7BE8" w:rsidRPr="00DA6A7E">
        <w:t>is</w:t>
      </w:r>
      <w:proofErr w:type="gramEnd"/>
      <w:r w:rsidR="004A7BE8" w:rsidRPr="00DA6A7E">
        <w:t xml:space="preserve"> the outcome (e.g., end-of-compulsory school grades or completing upper secondary) of  student </w:t>
      </w:r>
      <m:oMath>
        <m:r>
          <w:rPr>
            <w:rFonts w:ascii="Cambria Math" w:hAnsi="Cambria Math"/>
          </w:rPr>
          <m:t>i</m:t>
        </m:r>
      </m:oMath>
      <w:r w:rsidR="004A7BE8">
        <w:t xml:space="preserve"> </w:t>
      </w:r>
      <w:r w:rsidR="004A7BE8" w:rsidRPr="00DA6A7E">
        <w:t xml:space="preserve">belonging to cohort </w:t>
      </w:r>
      <w:r w:rsidR="004A7BE8" w:rsidRPr="00DA6A7E">
        <w:rPr>
          <w:i/>
        </w:rPr>
        <w:t>c</w:t>
      </w:r>
      <w:r w:rsidR="004A7BE8" w:rsidRPr="00DA6A7E">
        <w:t xml:space="preserve"> that attended school </w:t>
      </w:r>
      <m:oMath>
        <m:r>
          <w:rPr>
            <w:rFonts w:ascii="Cambria Math" w:hAnsi="Cambria Math"/>
          </w:rPr>
          <m:t>s</m:t>
        </m:r>
      </m:oMath>
      <w:r w:rsidR="004A7BE8" w:rsidRPr="00DA6A7E">
        <w:t xml:space="preserve">. </w:t>
      </w:r>
      <m:oMath>
        <m:sSub>
          <m:sSubPr>
            <m:ctrlPr>
              <w:rPr>
                <w:rFonts w:ascii="Cambria Math" w:hAnsi="Cambria Math"/>
                <w:i/>
              </w:rPr>
            </m:ctrlPr>
          </m:sSubPr>
          <m:e>
            <m:r>
              <w:rPr>
                <w:rFonts w:ascii="Cambria Math" w:hAnsi="Cambria Math"/>
              </w:rPr>
              <m:t>β</m:t>
            </m:r>
          </m:e>
          <m:sub>
            <m:r>
              <w:rPr>
                <w:rFonts w:ascii="Cambria Math" w:hAnsi="Cambria Math"/>
              </w:rPr>
              <m:t>0</m:t>
            </m:r>
          </m:sub>
        </m:sSub>
      </m:oMath>
      <w:r w:rsidR="004A7BE8" w:rsidRPr="00DA6A7E">
        <w:t xml:space="preserve"> </w:t>
      </w:r>
      <w:proofErr w:type="gramStart"/>
      <w:r w:rsidR="004A7BE8" w:rsidRPr="00DA6A7E">
        <w:t>is</w:t>
      </w:r>
      <w:proofErr w:type="gramEnd"/>
      <w:r w:rsidR="004A7BE8" w:rsidRPr="00DA6A7E">
        <w:t xml:space="preserve"> a constant term, </w:t>
      </w:r>
      <m:oMath>
        <m:sSub>
          <m:sSubPr>
            <m:ctrlPr>
              <w:rPr>
                <w:rFonts w:ascii="Cambria Math" w:hAnsi="Cambria Math"/>
                <w:i/>
              </w:rPr>
            </m:ctrlPr>
          </m:sSubPr>
          <m:e>
            <m:r>
              <w:rPr>
                <w:rFonts w:ascii="Cambria Math" w:hAnsi="Cambria Math"/>
              </w:rPr>
              <m:t>T</m:t>
            </m:r>
          </m:e>
          <m:sub>
            <m:r>
              <w:rPr>
                <w:rFonts w:ascii="Cambria Math" w:hAnsi="Cambria Math"/>
              </w:rPr>
              <m:t>cs</m:t>
            </m:r>
          </m:sub>
        </m:sSub>
      </m:oMath>
      <w:r w:rsidR="004A7BE8" w:rsidRPr="00DA6A7E">
        <w:t xml:space="preserve"> indicates whether a given cohort in a given school w</w:t>
      </w:r>
      <w:r w:rsidR="0039300F">
        <w:t>as</w:t>
      </w:r>
      <w:r w:rsidR="004A7BE8" w:rsidRPr="00DA6A7E">
        <w:t xml:space="preserve"> enrolled after the implementation of OBPP (</w:t>
      </w:r>
      <m:oMath>
        <m:sSub>
          <m:sSubPr>
            <m:ctrlPr>
              <w:rPr>
                <w:rFonts w:ascii="Cambria Math" w:hAnsi="Cambria Math"/>
                <w:i/>
              </w:rPr>
            </m:ctrlPr>
          </m:sSubPr>
          <m:e>
            <m:r>
              <w:rPr>
                <w:rFonts w:ascii="Cambria Math" w:hAnsi="Cambria Math"/>
              </w:rPr>
              <m:t>T</m:t>
            </m:r>
          </m:e>
          <m:sub>
            <m:r>
              <w:rPr>
                <w:rFonts w:ascii="Cambria Math" w:hAnsi="Cambria Math"/>
              </w:rPr>
              <m:t>cs</m:t>
            </m:r>
          </m:sub>
        </m:sSub>
        <m:r>
          <w:rPr>
            <w:rFonts w:ascii="Cambria Math" w:hAnsi="Cambria Math"/>
          </w:rPr>
          <m:t>=1</m:t>
        </m:r>
      </m:oMath>
      <w:r w:rsidR="004A7BE8" w:rsidRPr="00DA6A7E">
        <w:t xml:space="preserve">), </w:t>
      </w:r>
      <m:oMath>
        <m:sSub>
          <m:sSubPr>
            <m:ctrlPr>
              <w:rPr>
                <w:rFonts w:ascii="Cambria Math" w:hAnsi="Cambria Math"/>
                <w:i/>
              </w:rPr>
            </m:ctrlPr>
          </m:sSubPr>
          <m:e>
            <m:r>
              <w:rPr>
                <w:rFonts w:ascii="Cambria Math" w:hAnsi="Cambria Math"/>
              </w:rPr>
              <m:t>γ</m:t>
            </m:r>
          </m:e>
          <m:sub>
            <m:r>
              <w:rPr>
                <w:rFonts w:ascii="Cambria Math" w:hAnsi="Cambria Math"/>
              </w:rPr>
              <m:t>c</m:t>
            </m:r>
          </m:sub>
        </m:sSub>
      </m:oMath>
      <w:r w:rsidR="004A7BE8" w:rsidRPr="00DA6A7E">
        <w:t xml:space="preserve"> is </w:t>
      </w:r>
      <w:r w:rsidR="004A7BE8">
        <w:t>dummy variables for</w:t>
      </w:r>
      <w:r w:rsidR="004A7BE8" w:rsidRPr="00DA6A7E">
        <w:t xml:space="preserve"> birth cohort </w:t>
      </w:r>
      <w:r w:rsidR="004A7BE8">
        <w:t xml:space="preserve">(i.e., birth cohort </w:t>
      </w:r>
      <w:r w:rsidR="004A7BE8" w:rsidRPr="00DA6A7E">
        <w:t>fixed effect</w:t>
      </w:r>
      <w:r w:rsidR="004A7BE8">
        <w:t>)</w:t>
      </w:r>
      <w:r w:rsidR="004A7BE8" w:rsidRPr="00DA6A7E">
        <w:t xml:space="preserve">, </w:t>
      </w:r>
      <m:oMath>
        <m:sSub>
          <m:sSubPr>
            <m:ctrlPr>
              <w:rPr>
                <w:rFonts w:ascii="Cambria Math" w:hAnsi="Cambria Math"/>
                <w:i/>
              </w:rPr>
            </m:ctrlPr>
          </m:sSubPr>
          <m:e>
            <m:r>
              <w:rPr>
                <w:rFonts w:ascii="Cambria Math" w:hAnsi="Cambria Math"/>
              </w:rPr>
              <m:t>μ</m:t>
            </m:r>
          </m:e>
          <m:sub>
            <m:r>
              <w:rPr>
                <w:rFonts w:ascii="Cambria Math" w:hAnsi="Cambria Math"/>
              </w:rPr>
              <m:t>s</m:t>
            </m:r>
          </m:sub>
        </m:sSub>
      </m:oMath>
      <w:r w:rsidR="004A7BE8" w:rsidRPr="00DA6A7E">
        <w:t xml:space="preserve"> is</w:t>
      </w:r>
      <w:r w:rsidR="004A7BE8">
        <w:t xml:space="preserve"> dummy variables for schools (i.e.,</w:t>
      </w:r>
      <w:r w:rsidR="004A7BE8" w:rsidRPr="00DA6A7E">
        <w:t xml:space="preserve"> school fixed effect</w:t>
      </w:r>
      <w:r w:rsidR="004A7BE8">
        <w:t>)</w:t>
      </w:r>
      <w:r w:rsidR="004A7BE8" w:rsidRPr="00DA6A7E">
        <w:t xml:space="preserve">, and </w:t>
      </w:r>
      <m:oMath>
        <m:sSub>
          <m:sSubPr>
            <m:ctrlPr>
              <w:rPr>
                <w:rFonts w:ascii="Cambria Math" w:hAnsi="Cambria Math"/>
                <w:i/>
              </w:rPr>
            </m:ctrlPr>
          </m:sSubPr>
          <m:e>
            <m:r>
              <w:rPr>
                <w:rFonts w:ascii="Cambria Math" w:hAnsi="Cambria Math"/>
              </w:rPr>
              <m:t>X</m:t>
            </m:r>
          </m:e>
          <m:sub>
            <m:r>
              <w:rPr>
                <w:rFonts w:ascii="Cambria Math" w:hAnsi="Cambria Math"/>
              </w:rPr>
              <m:t>ics</m:t>
            </m:r>
          </m:sub>
        </m:sSub>
      </m:oMath>
      <w:r w:rsidR="004A7BE8" w:rsidRPr="00DA6A7E">
        <w:t xml:space="preserve"> are observed student characteristics </w:t>
      </w:r>
      <w:r w:rsidR="004A7BE8">
        <w:t xml:space="preserve">variables </w:t>
      </w:r>
      <w:r w:rsidR="004A7BE8" w:rsidRPr="00DA6A7E">
        <w:t xml:space="preserve">(female, fathers’ and mothers’ education and earnings, immigrant background). Cohort refers to the year </w:t>
      </w:r>
      <w:r w:rsidR="004A7BE8">
        <w:t xml:space="preserve">a </w:t>
      </w:r>
      <w:r w:rsidR="004A7BE8" w:rsidRPr="00DA6A7E">
        <w:t>student exit</w:t>
      </w:r>
      <w:r w:rsidR="004A7BE8">
        <w:t>s</w:t>
      </w:r>
      <w:r w:rsidR="004A7BE8" w:rsidRPr="00DA6A7E">
        <w:t xml:space="preserve"> primary school (and exposure to OBPP ends). </w:t>
      </w:r>
      <m:oMath>
        <m:sSub>
          <m:sSubPr>
            <m:ctrlPr>
              <w:rPr>
                <w:rFonts w:ascii="Cambria Math" w:hAnsi="Cambria Math"/>
                <w:i/>
              </w:rPr>
            </m:ctrlPr>
          </m:sSubPr>
          <m:e>
            <m:r>
              <w:rPr>
                <w:rFonts w:ascii="Cambria Math" w:hAnsi="Cambria Math"/>
              </w:rPr>
              <m:t>ε</m:t>
            </m:r>
          </m:e>
          <m:sub>
            <m:r>
              <w:rPr>
                <w:rFonts w:ascii="Cambria Math" w:hAnsi="Cambria Math"/>
              </w:rPr>
              <m:t>ics</m:t>
            </m:r>
          </m:sub>
        </m:sSub>
      </m:oMath>
      <w:r w:rsidR="004A7BE8" w:rsidRPr="00DA6A7E">
        <w:t xml:space="preserve"> </w:t>
      </w:r>
      <w:proofErr w:type="gramStart"/>
      <w:r w:rsidR="004A7BE8" w:rsidRPr="00DA6A7E">
        <w:t>is</w:t>
      </w:r>
      <w:proofErr w:type="gramEnd"/>
      <w:r w:rsidR="004A7BE8" w:rsidRPr="00DA6A7E">
        <w:t xml:space="preserve"> a residual, capturing unexplained variation in results at the student level. </w:t>
      </w:r>
    </w:p>
    <w:p w14:paraId="13636744" w14:textId="77777777" w:rsidR="004A7BE8" w:rsidRPr="00DA6A7E" w:rsidRDefault="004A7BE8" w:rsidP="004A7BE8">
      <w:r w:rsidRPr="00DA6A7E">
        <w:t xml:space="preserve">The key identifying assumption is that the evolution of the outcome over time would be parallel for both OBPP schools and control schools in the </w:t>
      </w:r>
      <w:r w:rsidRPr="00DA6A7E">
        <w:rPr>
          <w:i/>
        </w:rPr>
        <w:t>absence</w:t>
      </w:r>
      <w:r w:rsidRPr="00DA6A7E">
        <w:t xml:space="preserve"> of the OBPP intervention </w:t>
      </w:r>
      <w:r w:rsidRPr="00DA6A7E">
        <w:lastRenderedPageBreak/>
        <w:t xml:space="preserve">(net of the effects of changes in observed student characteristics). If this common trend assumption does not hold, and there are systematic differences in trends between program and control schools, then the effect estimates will be biased. For instance, some regions have a higher share of students exposed to OBPP. Furthermore, </w:t>
      </w:r>
      <w:r>
        <w:t xml:space="preserve">for </w:t>
      </w:r>
      <w:r w:rsidRPr="00DA6A7E">
        <w:t>school dropout</w:t>
      </w:r>
      <w:r>
        <w:t xml:space="preserve">, for example, </w:t>
      </w:r>
      <w:r w:rsidRPr="00DA6A7E">
        <w:t xml:space="preserve">mechanisms are related to labor market conditions that may have differential trends in different regions. </w:t>
      </w:r>
    </w:p>
    <w:p w14:paraId="677D5ED6" w14:textId="3CA02F0E" w:rsidR="004A7BE8" w:rsidRPr="00DA6A7E" w:rsidRDefault="004A7BE8" w:rsidP="004A7BE8">
      <w:r w:rsidRPr="00DA6A7E">
        <w:t xml:space="preserve">The common trend assumption is untestable, but we can evaluate its credibility indirectly by comparing trends for program and non-program schools </w:t>
      </w:r>
      <w:r w:rsidR="0039300F">
        <w:t>before</w:t>
      </w:r>
      <w:r w:rsidRPr="00DA6A7E">
        <w:t xml:space="preserve"> implementation. If the assumption of common trends holds, we should expect </w:t>
      </w:r>
      <w:r>
        <w:t xml:space="preserve">a stable difference between the program and the control schools </w:t>
      </w:r>
      <w:r w:rsidRPr="00DA6A7E">
        <w:rPr>
          <w:i/>
        </w:rPr>
        <w:t>before</w:t>
      </w:r>
      <w:r w:rsidRPr="00DA6A7E">
        <w:t xml:space="preserve"> the implementation (net of differences explained by time-varying covariates and general time trends). </w:t>
      </w:r>
      <w:r>
        <w:t xml:space="preserve">During the pre-program years, we expect no (significant) differences </w:t>
      </w:r>
      <w:r w:rsidRPr="00DA6A7E">
        <w:t>between cohorts within the same school</w:t>
      </w:r>
      <w:r>
        <w:t xml:space="preserve">. </w:t>
      </w:r>
      <w:r w:rsidRPr="00DA6A7E">
        <w:t xml:space="preserve">In Appendix </w:t>
      </w:r>
      <w:r>
        <w:t>Figure C2</w:t>
      </w:r>
      <w:r w:rsidRPr="00DA6A7E">
        <w:t>, we estimate the OBPP</w:t>
      </w:r>
      <w:r>
        <w:t xml:space="preserve"> coefficient before and after i</w:t>
      </w:r>
      <w:r w:rsidRPr="00DA6A7E">
        <w:t xml:space="preserve">mplementation: </w:t>
      </w:r>
    </w:p>
    <w:p w14:paraId="4FAC2E5A" w14:textId="77777777" w:rsidR="004A7BE8" w:rsidRPr="00DA6A7E" w:rsidRDefault="004A7BE8" w:rsidP="004A7BE8"/>
    <w:p w14:paraId="1B7B2124" w14:textId="77777777" w:rsidR="004A7BE8" w:rsidRPr="00DA6A7E" w:rsidRDefault="004A7BE8" w:rsidP="004A7BE8">
      <w:r w:rsidRPr="00DA6A7E">
        <w:t xml:space="preserve">(2)                             </w:t>
      </w:r>
      <m:oMath>
        <m:sSub>
          <m:sSubPr>
            <m:ctrlPr>
              <w:rPr>
                <w:rFonts w:ascii="Cambria Math" w:hAnsi="Cambria Math"/>
                <w:i/>
              </w:rPr>
            </m:ctrlPr>
          </m:sSubPr>
          <m:e>
            <m:r>
              <w:rPr>
                <w:rFonts w:ascii="Cambria Math" w:hAnsi="Cambria Math"/>
              </w:rPr>
              <m:t>Y</m:t>
            </m:r>
          </m:e>
          <m:sub>
            <m:r>
              <w:rPr>
                <w:rFonts w:ascii="Cambria Math" w:hAnsi="Cambria Math"/>
              </w:rPr>
              <m:t>ics</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nary>
          <m:naryPr>
            <m:chr m:val="∑"/>
            <m:limLoc m:val="undOvr"/>
            <m:grow m:val="1"/>
            <m:ctrlPr>
              <w:rPr>
                <w:rFonts w:ascii="Cambria Math" w:hAnsi="Cambria Math"/>
                <w:i/>
              </w:rPr>
            </m:ctrlPr>
          </m:naryPr>
          <m:sub>
            <m:r>
              <w:rPr>
                <w:rFonts w:ascii="Cambria Math" w:hAnsi="Cambria Math"/>
              </w:rPr>
              <m:t>p=-4</m:t>
            </m:r>
          </m:sub>
          <m:sup>
            <m:r>
              <w:rPr>
                <w:rFonts w:ascii="Cambria Math" w:hAnsi="Cambria Math"/>
              </w:rPr>
              <m:t>4</m:t>
            </m:r>
          </m:sup>
          <m:e>
            <m:sSub>
              <m:sSubPr>
                <m:ctrlPr>
                  <w:rPr>
                    <w:rFonts w:ascii="Cambria Math" w:hAnsi="Cambria Math"/>
                    <w:i/>
                  </w:rPr>
                </m:ctrlPr>
              </m:sSubPr>
              <m:e>
                <m:r>
                  <w:rPr>
                    <w:rFonts w:ascii="Cambria Math" w:hAnsi="Cambria Math"/>
                  </w:rPr>
                  <m:t>β</m:t>
                </m:r>
              </m:e>
              <m:sub>
                <m:r>
                  <w:rPr>
                    <w:rFonts w:ascii="Cambria Math" w:hAnsi="Cambria Math"/>
                  </w:rPr>
                  <m:t>p</m:t>
                </m:r>
              </m:sub>
            </m:sSub>
            <m:sSub>
              <m:sSubPr>
                <m:ctrlPr>
                  <w:rPr>
                    <w:rFonts w:ascii="Cambria Math" w:hAnsi="Cambria Math"/>
                    <w:i/>
                  </w:rPr>
                </m:ctrlPr>
              </m:sSubPr>
              <m:e>
                <m:r>
                  <w:rPr>
                    <w:rFonts w:ascii="Cambria Math" w:hAnsi="Cambria Math"/>
                  </w:rPr>
                  <m:t>T</m:t>
                </m:r>
              </m:e>
              <m:sub>
                <m:r>
                  <w:rPr>
                    <w:rFonts w:ascii="Cambria Math" w:hAnsi="Cambria Math"/>
                  </w:rPr>
                  <m:t>csp</m:t>
                </m:r>
              </m:sub>
            </m:sSub>
          </m:e>
        </m:nary>
        <m:r>
          <w:rPr>
            <w:rFonts w:ascii="Cambria Math" w:hAnsi="Cambria Math"/>
          </w:rPr>
          <m:t>+δ</m:t>
        </m:r>
        <m:sSub>
          <m:sSubPr>
            <m:ctrlPr>
              <w:rPr>
                <w:rFonts w:ascii="Cambria Math" w:hAnsi="Cambria Math"/>
                <w:i/>
              </w:rPr>
            </m:ctrlPr>
          </m:sSubPr>
          <m:e>
            <m:r>
              <w:rPr>
                <w:rFonts w:ascii="Cambria Math" w:hAnsi="Cambria Math"/>
              </w:rPr>
              <m:t>X</m:t>
            </m:r>
          </m:e>
          <m:sub>
            <m:r>
              <w:rPr>
                <w:rFonts w:ascii="Cambria Math" w:hAnsi="Cambria Math"/>
              </w:rPr>
              <m:t>ics</m:t>
            </m:r>
          </m:sub>
        </m:sSub>
        <m:r>
          <w:rPr>
            <w:rFonts w:ascii="Cambria Math" w:hAnsi="Cambria Math"/>
          </w:rPr>
          <m:t xml:space="preserve">+ </m:t>
        </m:r>
        <m:sSub>
          <m:sSubPr>
            <m:ctrlPr>
              <w:rPr>
                <w:rFonts w:ascii="Cambria Math" w:hAnsi="Cambria Math"/>
                <w:i/>
              </w:rPr>
            </m:ctrlPr>
          </m:sSubPr>
          <m:e>
            <m:r>
              <w:rPr>
                <w:rFonts w:ascii="Cambria Math" w:hAnsi="Cambria Math"/>
              </w:rPr>
              <m:t>γ</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ics</m:t>
            </m:r>
          </m:sub>
        </m:sSub>
      </m:oMath>
      <w:r w:rsidRPr="00DA6A7E">
        <w:t xml:space="preserve"> </w:t>
      </w:r>
      <w:r w:rsidRPr="00DA6A7E">
        <w:tab/>
      </w:r>
      <w:r w:rsidRPr="00DA6A7E">
        <w:tab/>
      </w:r>
    </w:p>
    <w:p w14:paraId="5DB331E0" w14:textId="47459AFB" w:rsidR="004A7BE8" w:rsidRPr="00DA6A7E" w:rsidRDefault="004A7BE8" w:rsidP="004A7BE8">
      <w:r w:rsidRPr="00DA6A7E">
        <w:t xml:space="preserve">, where </w:t>
      </w:r>
      <m:oMath>
        <m:sSub>
          <m:sSubPr>
            <m:ctrlPr>
              <w:rPr>
                <w:rFonts w:ascii="Cambria Math" w:hAnsi="Cambria Math"/>
                <w:i/>
              </w:rPr>
            </m:ctrlPr>
          </m:sSubPr>
          <m:e>
            <m:r>
              <w:rPr>
                <w:rFonts w:ascii="Cambria Math" w:hAnsi="Cambria Math"/>
              </w:rPr>
              <m:t>β</m:t>
            </m:r>
          </m:e>
          <m:sub>
            <m:r>
              <w:rPr>
                <w:rFonts w:ascii="Cambria Math" w:hAnsi="Cambria Math"/>
              </w:rPr>
              <m:t>p</m:t>
            </m:r>
          </m:sub>
        </m:sSub>
      </m:oMath>
      <w:r w:rsidRPr="00DA6A7E">
        <w:t xml:space="preserve"> parameters identify any pre-program differentials (p&lt;0) and post-implementation effects (p&gt;0) as </w:t>
      </w:r>
      <m:oMath>
        <m:sSub>
          <m:sSubPr>
            <m:ctrlPr>
              <w:rPr>
                <w:rFonts w:ascii="Cambria Math" w:hAnsi="Cambria Math"/>
                <w:i/>
              </w:rPr>
            </m:ctrlPr>
          </m:sSubPr>
          <m:e>
            <m:r>
              <w:rPr>
                <w:rFonts w:ascii="Cambria Math" w:hAnsi="Cambria Math"/>
              </w:rPr>
              <m:t>T</m:t>
            </m:r>
          </m:e>
          <m:sub>
            <m:r>
              <w:rPr>
                <w:rFonts w:ascii="Cambria Math" w:hAnsi="Cambria Math"/>
              </w:rPr>
              <m:t>csp</m:t>
            </m:r>
          </m:sub>
        </m:sSub>
        <m:r>
          <w:rPr>
            <w:rFonts w:ascii="Cambria Math" w:hAnsi="Cambria Math"/>
          </w:rPr>
          <m:t>=1</m:t>
        </m:r>
      </m:oMath>
      <w:r w:rsidRPr="00DA6A7E">
        <w:t xml:space="preserve"> when the outcome of </w:t>
      </w:r>
      <w:r w:rsidR="0039300F">
        <w:t xml:space="preserve">the </w:t>
      </w:r>
      <w:r w:rsidRPr="00DA6A7E">
        <w:t xml:space="preserve">cohort is measured </w:t>
      </w:r>
      <w:r w:rsidRPr="00DA6A7E">
        <w:rPr>
          <w:i/>
        </w:rPr>
        <w:t>with a time distance of p years</w:t>
      </w:r>
      <w:r w:rsidRPr="00DA6A7E">
        <w:t xml:space="preserve"> since the implementation of the program.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Pr="00DA6A7E">
        <w:t xml:space="preserve"> </w:t>
      </w:r>
      <w:proofErr w:type="gramStart"/>
      <w:r w:rsidRPr="00DA6A7E">
        <w:t>is</w:t>
      </w:r>
      <w:proofErr w:type="gramEnd"/>
      <w:r w:rsidRPr="00DA6A7E">
        <w:t xml:space="preserve"> set equal to 0 and provide</w:t>
      </w:r>
      <w:proofErr w:type="spellStart"/>
      <w:r w:rsidR="0039300F">
        <w:t>s</w:t>
      </w:r>
      <w:proofErr w:type="spellEnd"/>
      <w:r w:rsidRPr="00DA6A7E">
        <w:t xml:space="preserve"> a reference for the effect estimates for the other years. For example; </w:t>
      </w:r>
      <m:oMath>
        <m:sSub>
          <m:sSubPr>
            <m:ctrlPr>
              <w:rPr>
                <w:rFonts w:ascii="Cambria Math" w:hAnsi="Cambria Math"/>
                <w:i/>
              </w:rPr>
            </m:ctrlPr>
          </m:sSubPr>
          <m:e>
            <m:r>
              <w:rPr>
                <w:rFonts w:ascii="Cambria Math" w:hAnsi="Cambria Math"/>
              </w:rPr>
              <m:t>β</m:t>
            </m:r>
          </m:e>
          <m:sub>
            <m:r>
              <w:rPr>
                <w:rFonts w:ascii="Cambria Math" w:hAnsi="Cambria Math"/>
              </w:rPr>
              <m:t>3</m:t>
            </m:r>
          </m:sub>
        </m:sSub>
      </m:oMath>
      <w:r w:rsidRPr="00DA6A7E">
        <w:t xml:space="preserve"> measures the effect on </w:t>
      </w:r>
      <m:oMath>
        <m:r>
          <w:rPr>
            <w:rFonts w:ascii="Cambria Math" w:hAnsi="Cambria Math"/>
          </w:rPr>
          <m:t>Y</m:t>
        </m:r>
      </m:oMath>
      <w:r w:rsidRPr="00DA6A7E">
        <w:t xml:space="preserve"> for students exiting primary school three years after </w:t>
      </w:r>
      <w:r w:rsidR="0039300F">
        <w:t xml:space="preserve">the </w:t>
      </w:r>
      <w:r w:rsidRPr="00DA6A7E">
        <w:t xml:space="preserve">implementation of OBPP relative to the outcomes of students exiting primary school just before implementation, i.e., the effect of being exposed </w:t>
      </w:r>
      <w:r w:rsidRPr="00DA6A7E">
        <w:rPr>
          <w:rFonts w:eastAsia="Times New Roman"/>
        </w:rPr>
        <w:t xml:space="preserve">to OBPP </w:t>
      </w:r>
      <w:r w:rsidRPr="00DA6A7E">
        <w:t>for three years (grades 5-7). The credibility of the common trend assumption is tested by examining if</w:t>
      </w:r>
      <w:r>
        <w:t xml:space="preserve"> there are </w:t>
      </w:r>
      <w:r w:rsidRPr="00DA6A7E">
        <w:t>no differences between cohorts within the same school before the implementation</w:t>
      </w:r>
      <w:r>
        <w:t xml:space="preserve">, i.e., </w:t>
      </w:r>
      <m:oMath>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p</m:t>
            </m:r>
          </m:sub>
        </m:sSub>
        <m:r>
          <w:rPr>
            <w:rFonts w:ascii="Cambria Math" w:hAnsi="Cambria Math"/>
          </w:rPr>
          <m:t>=0</m:t>
        </m:r>
      </m:oMath>
      <w:r w:rsidRPr="00DA6A7E">
        <w:t xml:space="preserve"> </w:t>
      </w:r>
      <w:r>
        <w:t xml:space="preserve">for </w:t>
      </w:r>
      <w:r w:rsidRPr="00DA6A7E">
        <w:t>p</w:t>
      </w:r>
      <w:r>
        <w:t>&lt;</w:t>
      </w:r>
      <w:r w:rsidRPr="00DA6A7E">
        <w:t>0</w:t>
      </w:r>
      <w:r>
        <w:t xml:space="preserve"> </w:t>
      </w:r>
      <w:r w:rsidRPr="00DA6A7E">
        <w:t xml:space="preserve">(net of differences explained by </w:t>
      </w:r>
      <w:r w:rsidRPr="00DA6A7E">
        <w:lastRenderedPageBreak/>
        <w:t>time-varying covariates and general time trends</w:t>
      </w:r>
      <w:r>
        <w:t>).</w:t>
      </w:r>
      <w:r w:rsidRPr="00DA6A7E">
        <w:t xml:space="preserve"> </w:t>
      </w:r>
    </w:p>
    <w:p w14:paraId="3E8D495F" w14:textId="7DAF80BD" w:rsidR="004A7BE8" w:rsidRPr="00DA6A7E" w:rsidRDefault="004A7BE8" w:rsidP="004A7BE8">
      <w:r w:rsidRPr="00DA6A7E">
        <w:t xml:space="preserve">The results in Appendix </w:t>
      </w:r>
      <w:r>
        <w:t xml:space="preserve">Figure </w:t>
      </w:r>
      <w:r w:rsidR="00254027">
        <w:t>C3</w:t>
      </w:r>
      <w:r w:rsidR="00254027" w:rsidRPr="00DA6A7E">
        <w:t xml:space="preserve"> </w:t>
      </w:r>
      <w:r w:rsidRPr="00DA6A7E">
        <w:t>suggest the assumption of common trends holds, and consequently that the effect estimates are valid. Additionally, the results are similar when allowing time trends to differ by region</w:t>
      </w:r>
      <w:r>
        <w:t xml:space="preserve"> (Appendix Figure </w:t>
      </w:r>
      <w:r w:rsidR="00254027">
        <w:t>C4</w:t>
      </w:r>
      <w:r>
        <w:t>)</w:t>
      </w:r>
      <w:r w:rsidRPr="00DA6A7E">
        <w:t xml:space="preserve">, and </w:t>
      </w:r>
      <w:r>
        <w:t xml:space="preserve">the results are </w:t>
      </w:r>
      <w:r w:rsidRPr="00DA6A7E">
        <w:t xml:space="preserve">similar </w:t>
      </w:r>
      <w:r>
        <w:t xml:space="preserve">when </w:t>
      </w:r>
      <w:r w:rsidRPr="00DA6A7E">
        <w:t xml:space="preserve">using a matching </w:t>
      </w:r>
      <w:proofErr w:type="gramStart"/>
      <w:r w:rsidRPr="00DA6A7E">
        <w:t>DiD</w:t>
      </w:r>
      <w:proofErr w:type="gramEnd"/>
      <w:r w:rsidRPr="00DA6A7E">
        <w:t xml:space="preserve"> model</w:t>
      </w:r>
      <w:r>
        <w:t xml:space="preserve"> (Appendix Figure D2)</w:t>
      </w:r>
      <w:r w:rsidRPr="00DA6A7E">
        <w:t>. Consequently, in the main analyses</w:t>
      </w:r>
      <w:r w:rsidR="0039300F">
        <w:t>,</w:t>
      </w:r>
      <w:r w:rsidRPr="00DA6A7E">
        <w:t xml:space="preserve"> we opt for a more stripped</w:t>
      </w:r>
      <w:r w:rsidR="0039300F">
        <w:t>-</w:t>
      </w:r>
      <w:r w:rsidRPr="00DA6A7E">
        <w:t xml:space="preserve">down </w:t>
      </w:r>
      <w:proofErr w:type="gramStart"/>
      <w:r w:rsidRPr="00DA6A7E">
        <w:t>DiD</w:t>
      </w:r>
      <w:proofErr w:type="gramEnd"/>
      <w:r w:rsidRPr="00DA6A7E">
        <w:t xml:space="preserve"> model where we estimate the effects of OBPP in years since the implementation of the program relative to the </w:t>
      </w:r>
      <w:r>
        <w:t xml:space="preserve">(average of the) </w:t>
      </w:r>
      <w:r w:rsidRPr="00DA6A7E">
        <w:t xml:space="preserve">pre-intervention years: </w:t>
      </w:r>
    </w:p>
    <w:p w14:paraId="4D44AA09" w14:textId="77777777" w:rsidR="004A7BE8" w:rsidRPr="00DA6A7E" w:rsidRDefault="004A7BE8" w:rsidP="004A7BE8"/>
    <w:p w14:paraId="5E3C0405" w14:textId="77777777" w:rsidR="004A7BE8" w:rsidRPr="00DA6A7E" w:rsidRDefault="004A7BE8" w:rsidP="004A7BE8">
      <w:r w:rsidRPr="00DA6A7E">
        <w:t xml:space="preserve">(3)                             </w:t>
      </w:r>
      <m:oMath>
        <m:sSub>
          <m:sSubPr>
            <m:ctrlPr>
              <w:rPr>
                <w:rFonts w:ascii="Cambria Math" w:hAnsi="Cambria Math"/>
                <w:i/>
              </w:rPr>
            </m:ctrlPr>
          </m:sSubPr>
          <m:e>
            <m:r>
              <w:rPr>
                <w:rFonts w:ascii="Cambria Math" w:hAnsi="Cambria Math"/>
              </w:rPr>
              <m:t>Y</m:t>
            </m:r>
          </m:e>
          <m:sub>
            <m:r>
              <w:rPr>
                <w:rFonts w:ascii="Cambria Math" w:hAnsi="Cambria Math"/>
              </w:rPr>
              <m:t>ics</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nary>
          <m:naryPr>
            <m:chr m:val="∑"/>
            <m:limLoc m:val="undOvr"/>
            <m:grow m:val="1"/>
            <m:ctrlPr>
              <w:rPr>
                <w:rFonts w:ascii="Cambria Math" w:hAnsi="Cambria Math"/>
                <w:i/>
              </w:rPr>
            </m:ctrlPr>
          </m:naryPr>
          <m:sub>
            <m:r>
              <w:rPr>
                <w:rFonts w:ascii="Cambria Math" w:hAnsi="Cambria Math"/>
              </w:rPr>
              <m:t>p=1</m:t>
            </m:r>
          </m:sub>
          <m:sup>
            <m:r>
              <w:rPr>
                <w:rFonts w:ascii="Cambria Math" w:hAnsi="Cambria Math"/>
              </w:rPr>
              <m:t>4</m:t>
            </m:r>
          </m:sup>
          <m:e>
            <m:sSub>
              <m:sSubPr>
                <m:ctrlPr>
                  <w:rPr>
                    <w:rFonts w:ascii="Cambria Math" w:hAnsi="Cambria Math"/>
                    <w:i/>
                  </w:rPr>
                </m:ctrlPr>
              </m:sSubPr>
              <m:e>
                <m:r>
                  <w:rPr>
                    <w:rFonts w:ascii="Cambria Math" w:hAnsi="Cambria Math"/>
                  </w:rPr>
                  <m:t>β</m:t>
                </m:r>
              </m:e>
              <m:sub>
                <m:r>
                  <w:rPr>
                    <w:rFonts w:ascii="Cambria Math" w:hAnsi="Cambria Math"/>
                  </w:rPr>
                  <m:t>p</m:t>
                </m:r>
              </m:sub>
            </m:sSub>
            <m:sSub>
              <m:sSubPr>
                <m:ctrlPr>
                  <w:rPr>
                    <w:rFonts w:ascii="Cambria Math" w:hAnsi="Cambria Math"/>
                    <w:i/>
                  </w:rPr>
                </m:ctrlPr>
              </m:sSubPr>
              <m:e>
                <m:r>
                  <w:rPr>
                    <w:rFonts w:ascii="Cambria Math" w:hAnsi="Cambria Math"/>
                  </w:rPr>
                  <m:t>T</m:t>
                </m:r>
              </m:e>
              <m:sub>
                <m:r>
                  <w:rPr>
                    <w:rFonts w:ascii="Cambria Math" w:hAnsi="Cambria Math"/>
                  </w:rPr>
                  <m:t>csp</m:t>
                </m:r>
              </m:sub>
            </m:sSub>
          </m:e>
        </m:nary>
        <m:r>
          <w:rPr>
            <w:rFonts w:ascii="Cambria Math" w:hAnsi="Cambria Math"/>
          </w:rPr>
          <m:t>+δ</m:t>
        </m:r>
        <m:sSub>
          <m:sSubPr>
            <m:ctrlPr>
              <w:rPr>
                <w:rFonts w:ascii="Cambria Math" w:hAnsi="Cambria Math"/>
                <w:i/>
              </w:rPr>
            </m:ctrlPr>
          </m:sSubPr>
          <m:e>
            <m:r>
              <w:rPr>
                <w:rFonts w:ascii="Cambria Math" w:hAnsi="Cambria Math"/>
              </w:rPr>
              <m:t>X</m:t>
            </m:r>
          </m:e>
          <m:sub>
            <m:r>
              <w:rPr>
                <w:rFonts w:ascii="Cambria Math" w:hAnsi="Cambria Math"/>
              </w:rPr>
              <m:t>ics</m:t>
            </m:r>
          </m:sub>
        </m:sSub>
        <m:r>
          <w:rPr>
            <w:rFonts w:ascii="Cambria Math" w:hAnsi="Cambria Math"/>
          </w:rPr>
          <m:t xml:space="preserve">+ </m:t>
        </m:r>
        <m:sSub>
          <m:sSubPr>
            <m:ctrlPr>
              <w:rPr>
                <w:rFonts w:ascii="Cambria Math" w:hAnsi="Cambria Math"/>
                <w:i/>
              </w:rPr>
            </m:ctrlPr>
          </m:sSubPr>
          <m:e>
            <m:r>
              <w:rPr>
                <w:rFonts w:ascii="Cambria Math" w:hAnsi="Cambria Math"/>
              </w:rPr>
              <m:t>γ</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ics</m:t>
            </m:r>
          </m:sub>
        </m:sSub>
      </m:oMath>
      <w:r w:rsidRPr="00DA6A7E">
        <w:t xml:space="preserve"> </w:t>
      </w:r>
      <w:r w:rsidRPr="00DA6A7E">
        <w:tab/>
      </w:r>
      <w:r w:rsidRPr="00DA6A7E">
        <w:tab/>
      </w:r>
    </w:p>
    <w:p w14:paraId="3F730B1C" w14:textId="77777777" w:rsidR="004A7BE8" w:rsidRDefault="004A7BE8" w:rsidP="004A7BE8"/>
    <w:p w14:paraId="3B7DFC1A" w14:textId="50EADA21" w:rsidR="004A7BE8" w:rsidRDefault="004A7BE8" w:rsidP="004A7BE8">
      <w:r>
        <w:t xml:space="preserve">Linear regression analysis is used with both continuous outcomes (examination grades) and binary outcomes (charged and completion of upper secondary education). For the binary outcomes, ordinary least squares is preferred over logistic regression or probit because of the problem of unobserved heterogeneity, and to ease interpretation of the estimates </w:t>
      </w:r>
      <w:r>
        <w:fldChar w:fldCharType="begin"/>
      </w:r>
      <w:r w:rsidR="00403075">
        <w:instrText xml:space="preserve"> ADDIN EN.CITE &lt;EndNote&gt;&lt;Cite&gt;&lt;Author&gt;Mood&lt;/Author&gt;&lt;Year&gt;2010&lt;/Year&gt;&lt;RecNum&gt;1096&lt;/RecNum&gt;&lt;DisplayText&gt;(Mood 2010)&lt;/DisplayText&gt;&lt;record&gt;&lt;rec-number&gt;1096&lt;/rec-number&gt;&lt;foreign-keys&gt;&lt;key app="EN" db-id="ve90ps2agaxfw8essaxvaes9x0wpwafdp0zt" timestamp="1579700886"&gt;1096&lt;/key&gt;&lt;/foreign-keys&gt;&lt;ref-type name="Journal Article"&gt;17&lt;/ref-type&gt;&lt;contributors&gt;&lt;authors&gt;&lt;author&gt;Mood, Carina&lt;/author&gt;&lt;/authors&gt;&lt;/contributors&gt;&lt;titles&gt;&lt;title&gt;Logistic Regression: Why We Cannot Do What We Think We Can Do, and What We Can Do About It&lt;/title&gt;&lt;secondary-title&gt;European Sociological Review&lt;/secondary-title&gt;&lt;/titles&gt;&lt;periodical&gt;&lt;full-title&gt;European Sociological Review&lt;/full-title&gt;&lt;/periodical&gt;&lt;pages&gt;67-82&lt;/pages&gt;&lt;volume&gt;26&lt;/volume&gt;&lt;number&gt;1&lt;/number&gt;&lt;dates&gt;&lt;year&gt;2010&lt;/year&gt;&lt;/dates&gt;&lt;isbn&gt;0266-7215&lt;/isbn&gt;&lt;urls&gt;&lt;related-urls&gt;&lt;url&gt;https://doi.org/10.1093/esr/jcp006&lt;/url&gt;&lt;/related-urls&gt;&lt;/urls&gt;&lt;electronic-resource-num&gt;10.1093/esr/jcp006&lt;/electronic-resource-num&gt;&lt;access-date&gt;1/22/2020&lt;/access-date&gt;&lt;/record&gt;&lt;/Cite&gt;&lt;/EndNote&gt;</w:instrText>
      </w:r>
      <w:r>
        <w:fldChar w:fldCharType="separate"/>
      </w:r>
      <w:r w:rsidR="00403075">
        <w:rPr>
          <w:noProof/>
        </w:rPr>
        <w:t>(Mood 2010)</w:t>
      </w:r>
      <w:r>
        <w:fldChar w:fldCharType="end"/>
      </w:r>
      <w:r>
        <w:t xml:space="preserve">; however, results using unconditional fixed effects logistic regression is similar to the main finding (Appendix Figure </w:t>
      </w:r>
      <w:r w:rsidR="00254027">
        <w:t>C12</w:t>
      </w:r>
      <w:r>
        <w:t xml:space="preserve">).  Students </w:t>
      </w:r>
      <m:oMath>
        <m:r>
          <w:rPr>
            <w:rFonts w:ascii="Cambria Math" w:hAnsi="Cambria Math"/>
          </w:rPr>
          <m:t>i</m:t>
        </m:r>
      </m:oMath>
      <w:r>
        <w:t xml:space="preserve"> are nested within cohort </w:t>
      </w:r>
      <w:r w:rsidRPr="00824582">
        <w:rPr>
          <w:i/>
        </w:rPr>
        <w:t>c</w:t>
      </w:r>
      <w:r>
        <w:t xml:space="preserve"> within schools </w:t>
      </w:r>
      <m:oMath>
        <m:r>
          <w:rPr>
            <w:rFonts w:ascii="Cambria Math" w:hAnsi="Cambria Math"/>
          </w:rPr>
          <m:t>s</m:t>
        </m:r>
      </m:oMath>
      <w:r>
        <w:t xml:space="preserve"> and there is a concern that unobserved characteristics or shocks make the residuals </w:t>
      </w:r>
      <m:oMath>
        <m:r>
          <w:rPr>
            <w:rFonts w:ascii="Cambria Math" w:hAnsi="Cambria Math"/>
          </w:rPr>
          <m:t>ε</m:t>
        </m:r>
      </m:oMath>
      <w:r>
        <w:t xml:space="preserve"> correlated within schools. We cluster standard errors at the unit of the fixed effect (overall school level) in all analyses to adjust for these correlations </w:t>
      </w:r>
      <w:r>
        <w:fldChar w:fldCharType="begin"/>
      </w:r>
      <w:r w:rsidR="00403075">
        <w:instrText xml:space="preserve"> ADDIN EN.CITE &lt;EndNote&gt;&lt;Cite&gt;&lt;Author&gt;Cameron&lt;/Author&gt;&lt;Year&gt;2015&lt;/Year&gt;&lt;RecNum&gt;990&lt;/RecNum&gt;&lt;DisplayText&gt;(Cameron and Miller 2015)&lt;/DisplayText&gt;&lt;record&gt;&lt;rec-number&gt;990&lt;/rec-number&gt;&lt;foreign-keys&gt;&lt;key app="EN" db-id="ve90ps2agaxfw8essaxvaes9x0wpwafdp0zt" timestamp="1568273462"&gt;990&lt;/key&gt;&lt;/foreign-keys&gt;&lt;ref-type name="Journal Article"&gt;17&lt;/ref-type&gt;&lt;contributors&gt;&lt;authors&gt;&lt;author&gt;Cameron, A. Colin&lt;/author&gt;&lt;author&gt;Miller, Douglas L.&lt;/author&gt;&lt;/authors&gt;&lt;/contributors&gt;&lt;titles&gt;&lt;title&gt;A practitioner’s guide to cluster-robust inference&lt;/title&gt;&lt;secondary-title&gt;Journal of Human Resources&lt;/secondary-title&gt;&lt;/titles&gt;&lt;periodical&gt;&lt;full-title&gt;Journal of Human Resources&lt;/full-title&gt;&lt;/periodical&gt;&lt;pages&gt;317-372&lt;/pages&gt;&lt;volume&gt;50&lt;/volume&gt;&lt;number&gt;2&lt;/number&gt;&lt;dates&gt;&lt;year&gt;2015&lt;/year&gt;&lt;/dates&gt;&lt;publisher&gt;University of Wisconsin Press&lt;/publisher&gt;&lt;isbn&gt;0022-166X&lt;/isbn&gt;&lt;urls&gt;&lt;/urls&gt;&lt;/record&gt;&lt;/Cite&gt;&lt;Cite&gt;&lt;Author&gt;Cameron&lt;/Author&gt;&lt;Year&gt;2015&lt;/Year&gt;&lt;RecNum&gt;990&lt;/RecNum&gt;&lt;record&gt;&lt;rec-number&gt;990&lt;/rec-number&gt;&lt;foreign-keys&gt;&lt;key app="EN" db-id="ve90ps2agaxfw8essaxvaes9x0wpwafdp0zt" timestamp="1568273462"&gt;990&lt;/key&gt;&lt;/foreign-keys&gt;&lt;ref-type name="Journal Article"&gt;17&lt;/ref-type&gt;&lt;contributors&gt;&lt;authors&gt;&lt;author&gt;Cameron, A. Colin&lt;/author&gt;&lt;author&gt;Miller, Douglas L.&lt;/author&gt;&lt;/authors&gt;&lt;/contributors&gt;&lt;titles&gt;&lt;title&gt;A practitioner’s guide to cluster-robust inference&lt;/title&gt;&lt;secondary-title&gt;Journal of Human Resources&lt;/secondary-title&gt;&lt;/titles&gt;&lt;periodical&gt;&lt;full-title&gt;Journal of Human Resources&lt;/full-title&gt;&lt;/periodical&gt;&lt;pages&gt;317-372&lt;/pages&gt;&lt;volume&gt;50&lt;/volume&gt;&lt;number&gt;2&lt;/number&gt;&lt;dates&gt;&lt;year&gt;2015&lt;/year&gt;&lt;/dates&gt;&lt;publisher&gt;University of Wisconsin Press&lt;/publisher&gt;&lt;isbn&gt;0022-166X&lt;/isbn&gt;&lt;urls&gt;&lt;/urls&gt;&lt;/record&gt;&lt;/Cite&gt;&lt;/EndNote&gt;</w:instrText>
      </w:r>
      <w:r>
        <w:fldChar w:fldCharType="separate"/>
      </w:r>
      <w:r w:rsidR="00403075">
        <w:rPr>
          <w:noProof/>
        </w:rPr>
        <w:t>(Cameron and Miller 2015)</w:t>
      </w:r>
      <w:r>
        <w:fldChar w:fldCharType="end"/>
      </w:r>
      <w:r>
        <w:t>.</w:t>
      </w:r>
      <w:r w:rsidRPr="00EA66AC">
        <w:rPr>
          <w:rStyle w:val="FootnoteReference"/>
        </w:rPr>
        <w:t xml:space="preserve"> </w:t>
      </w:r>
      <w:r>
        <w:rPr>
          <w:rStyle w:val="FootnoteReference"/>
        </w:rPr>
        <w:footnoteReference w:id="2"/>
      </w:r>
    </w:p>
    <w:p w14:paraId="6B3D3D7F" w14:textId="77777777" w:rsidR="004A7BE8" w:rsidRDefault="004A7BE8" w:rsidP="004A7BE8">
      <w:pPr>
        <w:widowControl/>
        <w:spacing w:line="240" w:lineRule="auto"/>
        <w:ind w:firstLine="0"/>
        <w:jc w:val="left"/>
        <w:rPr>
          <w:rFonts w:eastAsia="Times New Roman"/>
          <w:b/>
          <w:sz w:val="26"/>
          <w:szCs w:val="32"/>
        </w:rPr>
      </w:pPr>
      <w:r>
        <w:br w:type="page"/>
      </w:r>
    </w:p>
    <w:p w14:paraId="276D18FD" w14:textId="0DE78D2B" w:rsidR="004A7BE8" w:rsidRPr="00DA6A7E" w:rsidRDefault="004A7BE8" w:rsidP="004A7BE8">
      <w:pPr>
        <w:pStyle w:val="Heading1"/>
      </w:pPr>
      <w:r w:rsidRPr="00DA6A7E">
        <w:lastRenderedPageBreak/>
        <w:t xml:space="preserve">Online </w:t>
      </w:r>
      <w:r>
        <w:t xml:space="preserve">Appendix C: </w:t>
      </w:r>
      <w:r w:rsidR="008A57E2">
        <w:t>Supplementary</w:t>
      </w:r>
      <w:r>
        <w:t xml:space="preserve"> tables and figures</w:t>
      </w:r>
    </w:p>
    <w:p w14:paraId="1F647276" w14:textId="77777777" w:rsidR="004A7BE8" w:rsidRDefault="004A7BE8" w:rsidP="004A7BE8">
      <w:pPr>
        <w:spacing w:line="240" w:lineRule="auto"/>
        <w:ind w:firstLine="0"/>
        <w:rPr>
          <w:b/>
        </w:rPr>
      </w:pPr>
    </w:p>
    <w:p w14:paraId="6B87D675" w14:textId="043D460B" w:rsidR="004A7BE8" w:rsidRPr="00B5644D" w:rsidRDefault="004A7BE8" w:rsidP="004A7BE8">
      <w:pPr>
        <w:spacing w:line="240" w:lineRule="auto"/>
        <w:ind w:firstLine="0"/>
      </w:pPr>
      <w:r>
        <w:rPr>
          <w:b/>
        </w:rPr>
        <w:t>Appendix Table C</w:t>
      </w:r>
      <w:r w:rsidRPr="00B5644D">
        <w:rPr>
          <w:b/>
        </w:rPr>
        <w:t>1:</w:t>
      </w:r>
      <w:r w:rsidRPr="00B5644D">
        <w:t xml:space="preserve"> </w:t>
      </w:r>
      <w:r>
        <w:t>Number of s</w:t>
      </w:r>
      <w:r w:rsidRPr="00B5644D">
        <w:t>chools that have impl</w:t>
      </w:r>
      <w:r>
        <w:t xml:space="preserve">emented OBPP by </w:t>
      </w:r>
      <w:r w:rsidR="0039300F">
        <w:t xml:space="preserve">the </w:t>
      </w:r>
      <w:r>
        <w:t xml:space="preserve">baseline of implementation. </w:t>
      </w:r>
      <w:r w:rsidR="00783468">
        <w:t>Program effects by baseline semester is shown in Appendix Figure C5.</w:t>
      </w:r>
    </w:p>
    <w:tbl>
      <w:tblPr>
        <w:tblW w:w="0" w:type="auto"/>
        <w:tblLook w:val="0000" w:firstRow="0" w:lastRow="0" w:firstColumn="0" w:lastColumn="0" w:noHBand="0" w:noVBand="0"/>
      </w:tblPr>
      <w:tblGrid>
        <w:gridCol w:w="1200"/>
        <w:gridCol w:w="2116"/>
        <w:gridCol w:w="2172"/>
      </w:tblGrid>
      <w:tr w:rsidR="004A7BE8" w:rsidRPr="00E87868" w14:paraId="7181873E" w14:textId="77777777" w:rsidTr="008A3C4C">
        <w:tc>
          <w:tcPr>
            <w:tcW w:w="0" w:type="auto"/>
            <w:tcBorders>
              <w:top w:val="single" w:sz="4" w:space="0" w:color="auto"/>
              <w:left w:val="nil"/>
              <w:right w:val="nil"/>
            </w:tcBorders>
          </w:tcPr>
          <w:p w14:paraId="553B2C2E" w14:textId="77777777" w:rsidR="004A7BE8" w:rsidRPr="00E87868"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single" w:sz="4" w:space="0" w:color="auto"/>
              <w:left w:val="nil"/>
              <w:right w:val="nil"/>
            </w:tcBorders>
          </w:tcPr>
          <w:p w14:paraId="5A1ACD48" w14:textId="77777777" w:rsidR="004A7BE8" w:rsidRPr="00E87868" w:rsidRDefault="004A7BE8" w:rsidP="008A3C4C">
            <w:pPr>
              <w:autoSpaceDE w:val="0"/>
              <w:autoSpaceDN w:val="0"/>
              <w:adjustRightInd w:val="0"/>
              <w:spacing w:line="240" w:lineRule="auto"/>
              <w:ind w:firstLine="0"/>
              <w:jc w:val="center"/>
              <w:rPr>
                <w:rFonts w:eastAsia="Times New Roman"/>
                <w:sz w:val="20"/>
                <w:szCs w:val="20"/>
              </w:rPr>
            </w:pPr>
            <w:r w:rsidRPr="00E87868">
              <w:rPr>
                <w:rFonts w:eastAsia="Times New Roman"/>
                <w:sz w:val="20"/>
                <w:szCs w:val="20"/>
              </w:rPr>
              <w:t xml:space="preserve">Included OBPP schools </w:t>
            </w:r>
          </w:p>
        </w:tc>
        <w:tc>
          <w:tcPr>
            <w:tcW w:w="0" w:type="auto"/>
            <w:tcBorders>
              <w:top w:val="single" w:sz="4" w:space="0" w:color="auto"/>
              <w:left w:val="nil"/>
              <w:right w:val="nil"/>
            </w:tcBorders>
          </w:tcPr>
          <w:p w14:paraId="51422490" w14:textId="77777777" w:rsidR="004A7BE8" w:rsidRPr="00E87868" w:rsidRDefault="004A7BE8" w:rsidP="008A3C4C">
            <w:pPr>
              <w:autoSpaceDE w:val="0"/>
              <w:autoSpaceDN w:val="0"/>
              <w:adjustRightInd w:val="0"/>
              <w:spacing w:line="240" w:lineRule="auto"/>
              <w:ind w:firstLine="0"/>
              <w:jc w:val="center"/>
              <w:rPr>
                <w:rFonts w:eastAsia="Times New Roman"/>
                <w:sz w:val="20"/>
                <w:szCs w:val="20"/>
              </w:rPr>
            </w:pPr>
            <w:r w:rsidRPr="00E87868">
              <w:rPr>
                <w:rFonts w:eastAsia="Times New Roman"/>
                <w:sz w:val="20"/>
                <w:szCs w:val="20"/>
              </w:rPr>
              <w:t>Excluded OBPP schools</w:t>
            </w:r>
          </w:p>
        </w:tc>
      </w:tr>
      <w:tr w:rsidR="004A7BE8" w:rsidRPr="00DA6A7E" w14:paraId="06134A6A" w14:textId="77777777" w:rsidTr="008A3C4C">
        <w:tc>
          <w:tcPr>
            <w:tcW w:w="0" w:type="auto"/>
            <w:tcBorders>
              <w:top w:val="single" w:sz="4" w:space="0" w:color="auto"/>
              <w:left w:val="nil"/>
              <w:bottom w:val="nil"/>
              <w:right w:val="nil"/>
            </w:tcBorders>
          </w:tcPr>
          <w:p w14:paraId="112E5B0D"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single" w:sz="4" w:space="0" w:color="auto"/>
              <w:left w:val="nil"/>
              <w:bottom w:val="nil"/>
              <w:right w:val="nil"/>
            </w:tcBorders>
          </w:tcPr>
          <w:p w14:paraId="3A67A936"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single" w:sz="4" w:space="0" w:color="auto"/>
              <w:left w:val="nil"/>
              <w:bottom w:val="nil"/>
              <w:right w:val="nil"/>
            </w:tcBorders>
          </w:tcPr>
          <w:p w14:paraId="35D34BE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7DB411A9" w14:textId="77777777" w:rsidTr="008A3C4C">
        <w:tc>
          <w:tcPr>
            <w:tcW w:w="0" w:type="auto"/>
            <w:tcBorders>
              <w:top w:val="nil"/>
              <w:left w:val="nil"/>
              <w:bottom w:val="nil"/>
              <w:right w:val="nil"/>
            </w:tcBorders>
          </w:tcPr>
          <w:p w14:paraId="2D1A7D28"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Pr>
                <w:rFonts w:eastAsia="Times New Roman"/>
                <w:sz w:val="20"/>
                <w:szCs w:val="20"/>
              </w:rPr>
              <w:t>2001 Fall</w:t>
            </w:r>
          </w:p>
        </w:tc>
        <w:tc>
          <w:tcPr>
            <w:tcW w:w="0" w:type="auto"/>
            <w:tcBorders>
              <w:top w:val="nil"/>
              <w:left w:val="nil"/>
              <w:bottom w:val="nil"/>
              <w:right w:val="nil"/>
            </w:tcBorders>
          </w:tcPr>
          <w:p w14:paraId="6C40274B"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Pr>
                <w:rFonts w:eastAsia="Times New Roman"/>
                <w:sz w:val="20"/>
                <w:szCs w:val="20"/>
              </w:rPr>
              <w:t>51</w:t>
            </w:r>
          </w:p>
        </w:tc>
        <w:tc>
          <w:tcPr>
            <w:tcW w:w="0" w:type="auto"/>
            <w:tcBorders>
              <w:top w:val="nil"/>
              <w:left w:val="nil"/>
              <w:bottom w:val="nil"/>
              <w:right w:val="nil"/>
            </w:tcBorders>
          </w:tcPr>
          <w:p w14:paraId="74305830"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Pr>
                <w:rFonts w:eastAsia="Times New Roman"/>
                <w:sz w:val="20"/>
                <w:szCs w:val="20"/>
              </w:rPr>
              <w:t>1</w:t>
            </w:r>
          </w:p>
        </w:tc>
      </w:tr>
      <w:tr w:rsidR="004A7BE8" w:rsidRPr="00DA6A7E" w14:paraId="4C30DB64" w14:textId="77777777" w:rsidTr="008A3C4C">
        <w:tc>
          <w:tcPr>
            <w:tcW w:w="0" w:type="auto"/>
            <w:tcBorders>
              <w:top w:val="nil"/>
              <w:left w:val="nil"/>
              <w:bottom w:val="nil"/>
              <w:right w:val="nil"/>
            </w:tcBorders>
          </w:tcPr>
          <w:p w14:paraId="001673B7"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Pr>
                <w:rFonts w:eastAsia="Times New Roman"/>
                <w:sz w:val="20"/>
                <w:szCs w:val="20"/>
              </w:rPr>
              <w:t>2002 Spring</w:t>
            </w:r>
          </w:p>
        </w:tc>
        <w:tc>
          <w:tcPr>
            <w:tcW w:w="0" w:type="auto"/>
            <w:tcBorders>
              <w:top w:val="nil"/>
              <w:left w:val="nil"/>
              <w:bottom w:val="nil"/>
              <w:right w:val="nil"/>
            </w:tcBorders>
          </w:tcPr>
          <w:p w14:paraId="7861D592"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Pr>
                <w:rFonts w:eastAsia="Times New Roman"/>
                <w:sz w:val="20"/>
                <w:szCs w:val="20"/>
              </w:rPr>
              <w:t>43</w:t>
            </w:r>
          </w:p>
        </w:tc>
        <w:tc>
          <w:tcPr>
            <w:tcW w:w="0" w:type="auto"/>
            <w:tcBorders>
              <w:top w:val="nil"/>
              <w:left w:val="nil"/>
              <w:bottom w:val="nil"/>
              <w:right w:val="nil"/>
            </w:tcBorders>
          </w:tcPr>
          <w:p w14:paraId="5C4B34AE"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Pr>
                <w:rFonts w:eastAsia="Times New Roman"/>
                <w:sz w:val="20"/>
                <w:szCs w:val="20"/>
              </w:rPr>
              <w:t>0</w:t>
            </w:r>
          </w:p>
        </w:tc>
      </w:tr>
      <w:tr w:rsidR="004A7BE8" w:rsidRPr="00DA6A7E" w14:paraId="6B1F4E3B" w14:textId="77777777" w:rsidTr="008A3C4C">
        <w:tc>
          <w:tcPr>
            <w:tcW w:w="0" w:type="auto"/>
            <w:tcBorders>
              <w:top w:val="nil"/>
              <w:left w:val="nil"/>
              <w:bottom w:val="nil"/>
              <w:right w:val="nil"/>
            </w:tcBorders>
          </w:tcPr>
          <w:p w14:paraId="095D5F8D"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Pr>
                <w:rFonts w:eastAsia="Times New Roman"/>
                <w:sz w:val="20"/>
                <w:szCs w:val="20"/>
              </w:rPr>
              <w:t xml:space="preserve">2002 Fall </w:t>
            </w:r>
          </w:p>
        </w:tc>
        <w:tc>
          <w:tcPr>
            <w:tcW w:w="0" w:type="auto"/>
            <w:tcBorders>
              <w:top w:val="nil"/>
              <w:left w:val="nil"/>
              <w:bottom w:val="nil"/>
              <w:right w:val="nil"/>
            </w:tcBorders>
          </w:tcPr>
          <w:p w14:paraId="5E275DFE"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Pr>
                <w:rFonts w:eastAsia="Times New Roman"/>
                <w:sz w:val="20"/>
                <w:szCs w:val="20"/>
              </w:rPr>
              <w:t>54</w:t>
            </w:r>
          </w:p>
        </w:tc>
        <w:tc>
          <w:tcPr>
            <w:tcW w:w="0" w:type="auto"/>
            <w:tcBorders>
              <w:top w:val="nil"/>
              <w:left w:val="nil"/>
              <w:bottom w:val="nil"/>
              <w:right w:val="nil"/>
            </w:tcBorders>
          </w:tcPr>
          <w:p w14:paraId="274DB4D6"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Pr>
                <w:rFonts w:eastAsia="Times New Roman"/>
                <w:sz w:val="20"/>
                <w:szCs w:val="20"/>
              </w:rPr>
              <w:t>1</w:t>
            </w:r>
          </w:p>
        </w:tc>
      </w:tr>
      <w:tr w:rsidR="004A7BE8" w:rsidRPr="00DA6A7E" w14:paraId="6BBA15B3" w14:textId="77777777" w:rsidTr="008A3C4C">
        <w:tc>
          <w:tcPr>
            <w:tcW w:w="0" w:type="auto"/>
            <w:tcBorders>
              <w:top w:val="nil"/>
              <w:left w:val="nil"/>
              <w:bottom w:val="nil"/>
              <w:right w:val="nil"/>
            </w:tcBorders>
          </w:tcPr>
          <w:p w14:paraId="2B091B21"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Pr>
                <w:rFonts w:eastAsia="Times New Roman"/>
                <w:sz w:val="20"/>
                <w:szCs w:val="20"/>
              </w:rPr>
              <w:t>2003 Spring</w:t>
            </w:r>
          </w:p>
        </w:tc>
        <w:tc>
          <w:tcPr>
            <w:tcW w:w="0" w:type="auto"/>
            <w:tcBorders>
              <w:top w:val="nil"/>
              <w:left w:val="nil"/>
              <w:bottom w:val="nil"/>
              <w:right w:val="nil"/>
            </w:tcBorders>
          </w:tcPr>
          <w:p w14:paraId="176297D5"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Pr>
                <w:rFonts w:eastAsia="Times New Roman"/>
                <w:sz w:val="20"/>
                <w:szCs w:val="20"/>
              </w:rPr>
              <w:t>109</w:t>
            </w:r>
          </w:p>
        </w:tc>
        <w:tc>
          <w:tcPr>
            <w:tcW w:w="0" w:type="auto"/>
            <w:tcBorders>
              <w:top w:val="nil"/>
              <w:left w:val="nil"/>
              <w:bottom w:val="nil"/>
              <w:right w:val="nil"/>
            </w:tcBorders>
          </w:tcPr>
          <w:p w14:paraId="3C678DDC"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Pr>
                <w:rFonts w:eastAsia="Times New Roman"/>
                <w:sz w:val="20"/>
                <w:szCs w:val="20"/>
              </w:rPr>
              <w:t>7</w:t>
            </w:r>
          </w:p>
        </w:tc>
      </w:tr>
      <w:tr w:rsidR="004A7BE8" w:rsidRPr="00DA6A7E" w14:paraId="372660EC" w14:textId="77777777" w:rsidTr="008A3C4C">
        <w:tc>
          <w:tcPr>
            <w:tcW w:w="0" w:type="auto"/>
            <w:tcBorders>
              <w:top w:val="nil"/>
              <w:left w:val="nil"/>
              <w:bottom w:val="nil"/>
              <w:right w:val="nil"/>
            </w:tcBorders>
          </w:tcPr>
          <w:p w14:paraId="5CDF59A1"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Pr>
                <w:rFonts w:eastAsia="Times New Roman"/>
                <w:sz w:val="20"/>
                <w:szCs w:val="20"/>
              </w:rPr>
              <w:t>2003 Fall</w:t>
            </w:r>
          </w:p>
        </w:tc>
        <w:tc>
          <w:tcPr>
            <w:tcW w:w="0" w:type="auto"/>
            <w:tcBorders>
              <w:top w:val="nil"/>
              <w:left w:val="nil"/>
              <w:bottom w:val="nil"/>
              <w:right w:val="nil"/>
            </w:tcBorders>
          </w:tcPr>
          <w:p w14:paraId="7F7E5B03"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Pr>
                <w:rFonts w:eastAsia="Times New Roman"/>
                <w:sz w:val="20"/>
                <w:szCs w:val="20"/>
              </w:rPr>
              <w:t>9</w:t>
            </w:r>
          </w:p>
        </w:tc>
        <w:tc>
          <w:tcPr>
            <w:tcW w:w="0" w:type="auto"/>
            <w:tcBorders>
              <w:top w:val="nil"/>
              <w:left w:val="nil"/>
              <w:bottom w:val="nil"/>
              <w:right w:val="nil"/>
            </w:tcBorders>
          </w:tcPr>
          <w:p w14:paraId="2D76870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Pr>
                <w:rFonts w:eastAsia="Times New Roman"/>
                <w:sz w:val="20"/>
                <w:szCs w:val="20"/>
              </w:rPr>
              <w:t>4</w:t>
            </w:r>
          </w:p>
        </w:tc>
      </w:tr>
      <w:tr w:rsidR="004A7BE8" w:rsidRPr="00DA6A7E" w14:paraId="7427CE47" w14:textId="77777777" w:rsidTr="008A3C4C">
        <w:tc>
          <w:tcPr>
            <w:tcW w:w="0" w:type="auto"/>
            <w:tcBorders>
              <w:top w:val="nil"/>
              <w:left w:val="nil"/>
              <w:right w:val="nil"/>
            </w:tcBorders>
          </w:tcPr>
          <w:p w14:paraId="5661079D"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Pr>
                <w:rFonts w:eastAsia="Times New Roman"/>
                <w:sz w:val="20"/>
                <w:szCs w:val="20"/>
              </w:rPr>
              <w:t>2004 Spring</w:t>
            </w:r>
          </w:p>
        </w:tc>
        <w:tc>
          <w:tcPr>
            <w:tcW w:w="0" w:type="auto"/>
            <w:tcBorders>
              <w:top w:val="nil"/>
              <w:left w:val="nil"/>
              <w:right w:val="nil"/>
            </w:tcBorders>
          </w:tcPr>
          <w:p w14:paraId="636DEF9E"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Pr>
                <w:rFonts w:eastAsia="Times New Roman"/>
                <w:sz w:val="20"/>
                <w:szCs w:val="20"/>
              </w:rPr>
              <w:t>34</w:t>
            </w:r>
          </w:p>
        </w:tc>
        <w:tc>
          <w:tcPr>
            <w:tcW w:w="0" w:type="auto"/>
            <w:tcBorders>
              <w:top w:val="nil"/>
              <w:left w:val="nil"/>
              <w:right w:val="nil"/>
            </w:tcBorders>
          </w:tcPr>
          <w:p w14:paraId="0B8E7B96"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Pr>
                <w:rFonts w:eastAsia="Times New Roman"/>
                <w:sz w:val="20"/>
                <w:szCs w:val="20"/>
              </w:rPr>
              <w:t>4</w:t>
            </w:r>
          </w:p>
        </w:tc>
      </w:tr>
      <w:tr w:rsidR="004A7BE8" w:rsidRPr="00DA6A7E" w14:paraId="232F6CA0" w14:textId="77777777" w:rsidTr="008A3C4C">
        <w:tc>
          <w:tcPr>
            <w:tcW w:w="0" w:type="auto"/>
            <w:tcBorders>
              <w:top w:val="nil"/>
              <w:left w:val="nil"/>
              <w:right w:val="nil"/>
            </w:tcBorders>
          </w:tcPr>
          <w:p w14:paraId="3621811D" w14:textId="77777777" w:rsidR="004A7BE8"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right w:val="nil"/>
            </w:tcBorders>
          </w:tcPr>
          <w:p w14:paraId="3E63112C" w14:textId="77777777" w:rsidR="004A7BE8"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right w:val="nil"/>
            </w:tcBorders>
          </w:tcPr>
          <w:p w14:paraId="7996A471" w14:textId="77777777" w:rsidR="004A7BE8"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4A1BDC88" w14:textId="77777777" w:rsidTr="008A3C4C">
        <w:tc>
          <w:tcPr>
            <w:tcW w:w="0" w:type="auto"/>
            <w:tcBorders>
              <w:left w:val="nil"/>
              <w:bottom w:val="single" w:sz="4" w:space="0" w:color="auto"/>
              <w:right w:val="nil"/>
            </w:tcBorders>
          </w:tcPr>
          <w:p w14:paraId="6D670D6A" w14:textId="77777777" w:rsidR="004A7BE8" w:rsidRDefault="004A7BE8" w:rsidP="008A3C4C">
            <w:pPr>
              <w:autoSpaceDE w:val="0"/>
              <w:autoSpaceDN w:val="0"/>
              <w:adjustRightInd w:val="0"/>
              <w:spacing w:line="240" w:lineRule="auto"/>
              <w:ind w:firstLine="0"/>
              <w:jc w:val="left"/>
              <w:rPr>
                <w:rFonts w:eastAsia="Times New Roman"/>
                <w:sz w:val="20"/>
                <w:szCs w:val="20"/>
              </w:rPr>
            </w:pPr>
            <w:r>
              <w:rPr>
                <w:rFonts w:eastAsia="Times New Roman"/>
                <w:sz w:val="20"/>
                <w:szCs w:val="20"/>
              </w:rPr>
              <w:t>Total</w:t>
            </w:r>
          </w:p>
        </w:tc>
        <w:tc>
          <w:tcPr>
            <w:tcW w:w="0" w:type="auto"/>
            <w:tcBorders>
              <w:left w:val="nil"/>
              <w:bottom w:val="single" w:sz="4" w:space="0" w:color="auto"/>
              <w:right w:val="nil"/>
            </w:tcBorders>
          </w:tcPr>
          <w:p w14:paraId="257A8CCD" w14:textId="77777777" w:rsidR="004A7BE8" w:rsidRDefault="004A7BE8" w:rsidP="008A3C4C">
            <w:pPr>
              <w:autoSpaceDE w:val="0"/>
              <w:autoSpaceDN w:val="0"/>
              <w:adjustRightInd w:val="0"/>
              <w:spacing w:line="240" w:lineRule="auto"/>
              <w:ind w:firstLine="0"/>
              <w:jc w:val="center"/>
              <w:rPr>
                <w:rFonts w:eastAsia="Times New Roman"/>
                <w:sz w:val="20"/>
                <w:szCs w:val="20"/>
              </w:rPr>
            </w:pPr>
            <w:r>
              <w:rPr>
                <w:rFonts w:eastAsia="Times New Roman"/>
                <w:sz w:val="20"/>
                <w:szCs w:val="20"/>
              </w:rPr>
              <w:t>208</w:t>
            </w:r>
          </w:p>
        </w:tc>
        <w:tc>
          <w:tcPr>
            <w:tcW w:w="0" w:type="auto"/>
            <w:tcBorders>
              <w:left w:val="nil"/>
              <w:bottom w:val="single" w:sz="4" w:space="0" w:color="auto"/>
              <w:right w:val="nil"/>
            </w:tcBorders>
          </w:tcPr>
          <w:p w14:paraId="69786086" w14:textId="77777777" w:rsidR="004A7BE8" w:rsidRDefault="004A7BE8" w:rsidP="008A3C4C">
            <w:pPr>
              <w:autoSpaceDE w:val="0"/>
              <w:autoSpaceDN w:val="0"/>
              <w:adjustRightInd w:val="0"/>
              <w:spacing w:line="240" w:lineRule="auto"/>
              <w:ind w:firstLine="0"/>
              <w:jc w:val="center"/>
              <w:rPr>
                <w:rFonts w:eastAsia="Times New Roman"/>
                <w:sz w:val="20"/>
                <w:szCs w:val="20"/>
              </w:rPr>
            </w:pPr>
            <w:r>
              <w:rPr>
                <w:rFonts w:eastAsia="Times New Roman"/>
                <w:sz w:val="20"/>
                <w:szCs w:val="20"/>
              </w:rPr>
              <w:t>17</w:t>
            </w:r>
          </w:p>
        </w:tc>
      </w:tr>
    </w:tbl>
    <w:p w14:paraId="29E81DCE" w14:textId="77777777" w:rsidR="004A7BE8" w:rsidRDefault="004A7BE8" w:rsidP="004A7BE8">
      <w:pPr>
        <w:keepNext/>
        <w:autoSpaceDE w:val="0"/>
        <w:autoSpaceDN w:val="0"/>
        <w:adjustRightInd w:val="0"/>
        <w:spacing w:line="240" w:lineRule="auto"/>
        <w:ind w:firstLine="0"/>
        <w:jc w:val="left"/>
        <w:rPr>
          <w:rFonts w:eastAsia="Times New Roman"/>
          <w:b/>
        </w:rPr>
      </w:pPr>
    </w:p>
    <w:p w14:paraId="48CC3DDA" w14:textId="77777777" w:rsidR="004A7BE8" w:rsidRDefault="004A7BE8" w:rsidP="004A7BE8">
      <w:pPr>
        <w:keepNext/>
        <w:autoSpaceDE w:val="0"/>
        <w:autoSpaceDN w:val="0"/>
        <w:adjustRightInd w:val="0"/>
        <w:spacing w:line="240" w:lineRule="auto"/>
        <w:ind w:firstLine="0"/>
        <w:jc w:val="left"/>
        <w:rPr>
          <w:rFonts w:eastAsia="Times New Roman"/>
          <w:b/>
        </w:rPr>
      </w:pPr>
    </w:p>
    <w:p w14:paraId="5E6DC21D" w14:textId="77777777" w:rsidR="004A7BE8" w:rsidRDefault="004A7BE8" w:rsidP="004A7BE8">
      <w:pPr>
        <w:spacing w:line="240" w:lineRule="auto"/>
        <w:ind w:firstLine="0"/>
        <w:jc w:val="left"/>
        <w:rPr>
          <w:rFonts w:eastAsia="Times New Roman"/>
          <w:b/>
        </w:rPr>
      </w:pPr>
      <w:r>
        <w:rPr>
          <w:rFonts w:eastAsia="Times New Roman"/>
          <w:b/>
        </w:rPr>
        <w:br w:type="page"/>
      </w:r>
    </w:p>
    <w:p w14:paraId="33BCBE48" w14:textId="77777777" w:rsidR="004A7BE8" w:rsidRPr="00C52709" w:rsidRDefault="004A7BE8" w:rsidP="004A7BE8">
      <w:pPr>
        <w:keepNext/>
        <w:autoSpaceDE w:val="0"/>
        <w:autoSpaceDN w:val="0"/>
        <w:adjustRightInd w:val="0"/>
        <w:spacing w:line="240" w:lineRule="auto"/>
        <w:ind w:firstLine="0"/>
        <w:jc w:val="left"/>
        <w:rPr>
          <w:rFonts w:eastAsia="Times New Roman"/>
        </w:rPr>
      </w:pPr>
      <w:r>
        <w:rPr>
          <w:rFonts w:eastAsia="Times New Roman"/>
          <w:b/>
        </w:rPr>
        <w:lastRenderedPageBreak/>
        <w:t xml:space="preserve">Appendix </w:t>
      </w:r>
      <w:r w:rsidRPr="00C52709">
        <w:rPr>
          <w:rFonts w:eastAsia="Times New Roman"/>
          <w:b/>
        </w:rPr>
        <w:t xml:space="preserve">Table </w:t>
      </w:r>
      <w:r>
        <w:rPr>
          <w:rFonts w:eastAsia="Times New Roman"/>
          <w:b/>
        </w:rPr>
        <w:t>C2</w:t>
      </w:r>
      <w:r w:rsidRPr="00C52709">
        <w:rPr>
          <w:rFonts w:eastAsia="Times New Roman"/>
          <w:b/>
        </w:rPr>
        <w:t>:</w:t>
      </w:r>
      <w:r w:rsidRPr="00C52709">
        <w:rPr>
          <w:rFonts w:eastAsia="Times New Roman"/>
        </w:rPr>
        <w:t xml:space="preserve"> Pre-intervention differences between 70 schools that continue using OBPP (A-schools), 102 schools that do not (B-schools), and 157 schools we do not know (Missing), compared to control schools. </w:t>
      </w:r>
    </w:p>
    <w:tbl>
      <w:tblPr>
        <w:tblW w:w="0" w:type="auto"/>
        <w:tblLook w:val="0000" w:firstRow="0" w:lastRow="0" w:firstColumn="0" w:lastColumn="0" w:noHBand="0" w:noVBand="0"/>
      </w:tblPr>
      <w:tblGrid>
        <w:gridCol w:w="2841"/>
        <w:gridCol w:w="1028"/>
        <w:gridCol w:w="1016"/>
        <w:gridCol w:w="1000"/>
        <w:gridCol w:w="1028"/>
        <w:gridCol w:w="1016"/>
        <w:gridCol w:w="900"/>
      </w:tblGrid>
      <w:tr w:rsidR="004A7BE8" w:rsidRPr="00DA6A7E" w14:paraId="753EB68D" w14:textId="77777777" w:rsidTr="008A3C4C">
        <w:tc>
          <w:tcPr>
            <w:tcW w:w="0" w:type="auto"/>
            <w:tcBorders>
              <w:top w:val="single" w:sz="4" w:space="0" w:color="auto"/>
              <w:left w:val="nil"/>
              <w:right w:val="nil"/>
            </w:tcBorders>
          </w:tcPr>
          <w:p w14:paraId="6ADCB1A3"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single" w:sz="4" w:space="0" w:color="auto"/>
              <w:left w:val="nil"/>
              <w:right w:val="nil"/>
            </w:tcBorders>
          </w:tcPr>
          <w:p w14:paraId="2F97A01E"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(1)</w:t>
            </w:r>
          </w:p>
        </w:tc>
        <w:tc>
          <w:tcPr>
            <w:tcW w:w="0" w:type="auto"/>
            <w:tcBorders>
              <w:top w:val="single" w:sz="4" w:space="0" w:color="auto"/>
              <w:left w:val="nil"/>
              <w:right w:val="nil"/>
            </w:tcBorders>
          </w:tcPr>
          <w:p w14:paraId="66E679EF"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(2)</w:t>
            </w:r>
          </w:p>
        </w:tc>
        <w:tc>
          <w:tcPr>
            <w:tcW w:w="0" w:type="auto"/>
            <w:tcBorders>
              <w:top w:val="single" w:sz="4" w:space="0" w:color="auto"/>
              <w:left w:val="nil"/>
              <w:right w:val="single" w:sz="4" w:space="0" w:color="auto"/>
            </w:tcBorders>
          </w:tcPr>
          <w:p w14:paraId="32E0BA4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(3)</w:t>
            </w:r>
          </w:p>
        </w:tc>
        <w:tc>
          <w:tcPr>
            <w:tcW w:w="0" w:type="auto"/>
            <w:tcBorders>
              <w:top w:val="single" w:sz="4" w:space="0" w:color="auto"/>
              <w:left w:val="single" w:sz="4" w:space="0" w:color="auto"/>
              <w:right w:val="nil"/>
            </w:tcBorders>
          </w:tcPr>
          <w:p w14:paraId="7256808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(4)</w:t>
            </w:r>
          </w:p>
        </w:tc>
        <w:tc>
          <w:tcPr>
            <w:tcW w:w="0" w:type="auto"/>
            <w:tcBorders>
              <w:top w:val="single" w:sz="4" w:space="0" w:color="auto"/>
              <w:left w:val="nil"/>
              <w:right w:val="nil"/>
            </w:tcBorders>
          </w:tcPr>
          <w:p w14:paraId="7B8D4288"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(5)</w:t>
            </w:r>
          </w:p>
        </w:tc>
        <w:tc>
          <w:tcPr>
            <w:tcW w:w="0" w:type="auto"/>
            <w:tcBorders>
              <w:top w:val="single" w:sz="4" w:space="0" w:color="auto"/>
              <w:left w:val="nil"/>
              <w:right w:val="nil"/>
            </w:tcBorders>
          </w:tcPr>
          <w:p w14:paraId="753E61E6"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(6)</w:t>
            </w:r>
          </w:p>
        </w:tc>
      </w:tr>
      <w:tr w:rsidR="004A7BE8" w:rsidRPr="00DA6A7E" w14:paraId="6A2C60F0" w14:textId="77777777" w:rsidTr="008A3C4C">
        <w:tc>
          <w:tcPr>
            <w:tcW w:w="0" w:type="auto"/>
            <w:tcBorders>
              <w:top w:val="nil"/>
              <w:left w:val="nil"/>
              <w:bottom w:val="single" w:sz="4" w:space="0" w:color="auto"/>
              <w:right w:val="nil"/>
            </w:tcBorders>
          </w:tcPr>
          <w:p w14:paraId="01EE4520"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bottom w:val="single" w:sz="4" w:space="0" w:color="auto"/>
              <w:right w:val="nil"/>
            </w:tcBorders>
          </w:tcPr>
          <w:p w14:paraId="2CDE808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A-schools</w:t>
            </w:r>
          </w:p>
        </w:tc>
        <w:tc>
          <w:tcPr>
            <w:tcW w:w="0" w:type="auto"/>
            <w:tcBorders>
              <w:top w:val="nil"/>
              <w:left w:val="nil"/>
              <w:bottom w:val="single" w:sz="4" w:space="0" w:color="auto"/>
              <w:right w:val="nil"/>
            </w:tcBorders>
          </w:tcPr>
          <w:p w14:paraId="6EF5220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B-schools</w:t>
            </w:r>
          </w:p>
        </w:tc>
        <w:tc>
          <w:tcPr>
            <w:tcW w:w="0" w:type="auto"/>
            <w:tcBorders>
              <w:top w:val="nil"/>
              <w:left w:val="nil"/>
              <w:bottom w:val="single" w:sz="4" w:space="0" w:color="auto"/>
              <w:right w:val="single" w:sz="4" w:space="0" w:color="auto"/>
            </w:tcBorders>
          </w:tcPr>
          <w:p w14:paraId="4D26F108"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Missing</w:t>
            </w:r>
          </w:p>
        </w:tc>
        <w:tc>
          <w:tcPr>
            <w:tcW w:w="0" w:type="auto"/>
            <w:tcBorders>
              <w:top w:val="nil"/>
              <w:left w:val="single" w:sz="4" w:space="0" w:color="auto"/>
              <w:bottom w:val="single" w:sz="4" w:space="0" w:color="auto"/>
              <w:right w:val="nil"/>
            </w:tcBorders>
          </w:tcPr>
          <w:p w14:paraId="69F9AA3A"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A-schools</w:t>
            </w:r>
          </w:p>
        </w:tc>
        <w:tc>
          <w:tcPr>
            <w:tcW w:w="0" w:type="auto"/>
            <w:tcBorders>
              <w:top w:val="nil"/>
              <w:left w:val="nil"/>
              <w:bottom w:val="single" w:sz="4" w:space="0" w:color="auto"/>
              <w:right w:val="nil"/>
            </w:tcBorders>
          </w:tcPr>
          <w:p w14:paraId="2A04699C"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B-schools</w:t>
            </w:r>
          </w:p>
        </w:tc>
        <w:tc>
          <w:tcPr>
            <w:tcW w:w="0" w:type="auto"/>
            <w:tcBorders>
              <w:top w:val="nil"/>
              <w:left w:val="nil"/>
              <w:bottom w:val="single" w:sz="4" w:space="0" w:color="auto"/>
              <w:right w:val="nil"/>
            </w:tcBorders>
          </w:tcPr>
          <w:p w14:paraId="065446CA"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Missing</w:t>
            </w:r>
          </w:p>
        </w:tc>
      </w:tr>
      <w:tr w:rsidR="004A7BE8" w:rsidRPr="00DA6A7E" w14:paraId="13330221" w14:textId="77777777" w:rsidTr="008A3C4C">
        <w:tc>
          <w:tcPr>
            <w:tcW w:w="0" w:type="auto"/>
            <w:tcBorders>
              <w:top w:val="single" w:sz="4" w:space="0" w:color="auto"/>
              <w:left w:val="nil"/>
              <w:right w:val="nil"/>
            </w:tcBorders>
          </w:tcPr>
          <w:p w14:paraId="438FC1D0"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single" w:sz="4" w:space="0" w:color="auto"/>
              <w:left w:val="nil"/>
              <w:right w:val="nil"/>
            </w:tcBorders>
          </w:tcPr>
          <w:p w14:paraId="7D0B0E3E"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single" w:sz="4" w:space="0" w:color="auto"/>
              <w:left w:val="nil"/>
              <w:right w:val="nil"/>
            </w:tcBorders>
          </w:tcPr>
          <w:p w14:paraId="2C2E5DE1"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single" w:sz="4" w:space="0" w:color="auto"/>
              <w:left w:val="nil"/>
              <w:right w:val="single" w:sz="4" w:space="0" w:color="auto"/>
            </w:tcBorders>
          </w:tcPr>
          <w:p w14:paraId="09D4563C"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single" w:sz="4" w:space="0" w:color="auto"/>
              <w:left w:val="single" w:sz="4" w:space="0" w:color="auto"/>
              <w:right w:val="nil"/>
            </w:tcBorders>
          </w:tcPr>
          <w:p w14:paraId="31FCF8F1"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single" w:sz="4" w:space="0" w:color="auto"/>
              <w:left w:val="nil"/>
              <w:right w:val="nil"/>
            </w:tcBorders>
          </w:tcPr>
          <w:p w14:paraId="50E6F16B"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single" w:sz="4" w:space="0" w:color="auto"/>
              <w:left w:val="nil"/>
              <w:right w:val="nil"/>
            </w:tcBorders>
          </w:tcPr>
          <w:p w14:paraId="46C874BB"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2CC21A02" w14:textId="77777777" w:rsidTr="008A3C4C">
        <w:tc>
          <w:tcPr>
            <w:tcW w:w="0" w:type="auto"/>
            <w:gridSpan w:val="4"/>
            <w:tcBorders>
              <w:top w:val="nil"/>
              <w:left w:val="nil"/>
              <w:bottom w:val="nil"/>
              <w:right w:val="single" w:sz="4" w:space="0" w:color="auto"/>
            </w:tcBorders>
          </w:tcPr>
          <w:p w14:paraId="26E55773" w14:textId="77777777" w:rsidR="004A7BE8" w:rsidRPr="00DA6A7E" w:rsidRDefault="004A7BE8" w:rsidP="008A3C4C">
            <w:pPr>
              <w:autoSpaceDE w:val="0"/>
              <w:autoSpaceDN w:val="0"/>
              <w:adjustRightInd w:val="0"/>
              <w:spacing w:line="240" w:lineRule="auto"/>
              <w:ind w:firstLine="0"/>
              <w:rPr>
                <w:rFonts w:eastAsia="Times New Roman"/>
                <w:sz w:val="20"/>
                <w:szCs w:val="20"/>
              </w:rPr>
            </w:pPr>
            <w:r w:rsidRPr="00DA6A7E">
              <w:rPr>
                <w:rFonts w:eastAsia="Times New Roman"/>
                <w:b/>
                <w:sz w:val="20"/>
                <w:szCs w:val="20"/>
              </w:rPr>
              <w:t>Panel I: Outcome variables</w:t>
            </w:r>
          </w:p>
        </w:tc>
        <w:tc>
          <w:tcPr>
            <w:tcW w:w="0" w:type="auto"/>
            <w:gridSpan w:val="3"/>
            <w:tcBorders>
              <w:top w:val="nil"/>
              <w:left w:val="single" w:sz="4" w:space="0" w:color="auto"/>
              <w:bottom w:val="nil"/>
              <w:right w:val="nil"/>
            </w:tcBorders>
          </w:tcPr>
          <w:p w14:paraId="475897BD" w14:textId="77777777" w:rsidR="004A7BE8" w:rsidRPr="00DA6A7E" w:rsidRDefault="004A7BE8" w:rsidP="008A3C4C">
            <w:pPr>
              <w:autoSpaceDE w:val="0"/>
              <w:autoSpaceDN w:val="0"/>
              <w:adjustRightInd w:val="0"/>
              <w:spacing w:line="240" w:lineRule="auto"/>
              <w:ind w:firstLine="0"/>
              <w:rPr>
                <w:rFonts w:eastAsia="Times New Roman"/>
                <w:sz w:val="20"/>
                <w:szCs w:val="20"/>
              </w:rPr>
            </w:pPr>
          </w:p>
        </w:tc>
      </w:tr>
      <w:tr w:rsidR="004A7BE8" w:rsidRPr="00DA6A7E" w14:paraId="678733FC" w14:textId="77777777" w:rsidTr="008A3C4C">
        <w:tc>
          <w:tcPr>
            <w:tcW w:w="0" w:type="auto"/>
            <w:tcBorders>
              <w:left w:val="nil"/>
              <w:bottom w:val="nil"/>
              <w:right w:val="nil"/>
            </w:tcBorders>
          </w:tcPr>
          <w:p w14:paraId="2D6C8B3B"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Pr>
                <w:rFonts w:eastAsia="Times New Roman"/>
                <w:sz w:val="20"/>
                <w:szCs w:val="20"/>
              </w:rPr>
              <w:t>Completed u</w:t>
            </w:r>
            <w:r w:rsidRPr="00DA6A7E">
              <w:rPr>
                <w:rFonts w:eastAsia="Times New Roman"/>
                <w:sz w:val="20"/>
                <w:szCs w:val="20"/>
              </w:rPr>
              <w:t xml:space="preserve">p sec. </w:t>
            </w:r>
            <w:proofErr w:type="spellStart"/>
            <w:r w:rsidRPr="00DA6A7E">
              <w:rPr>
                <w:rFonts w:eastAsia="Times New Roman"/>
                <w:sz w:val="20"/>
                <w:szCs w:val="20"/>
              </w:rPr>
              <w:t>educ</w:t>
            </w:r>
            <w:proofErr w:type="spellEnd"/>
            <w:r w:rsidRPr="00DA6A7E">
              <w:rPr>
                <w:rFonts w:eastAsia="Times New Roman"/>
                <w:sz w:val="20"/>
                <w:szCs w:val="20"/>
              </w:rPr>
              <w:t xml:space="preserve"> (by 21)</w:t>
            </w:r>
          </w:p>
        </w:tc>
        <w:tc>
          <w:tcPr>
            <w:tcW w:w="0" w:type="auto"/>
            <w:tcBorders>
              <w:left w:val="nil"/>
              <w:bottom w:val="nil"/>
              <w:right w:val="nil"/>
            </w:tcBorders>
          </w:tcPr>
          <w:p w14:paraId="38261B5E"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0.0374</w:t>
            </w:r>
            <w:r w:rsidRPr="00DA6A7E">
              <w:rPr>
                <w:sz w:val="20"/>
                <w:szCs w:val="20"/>
                <w:vertAlign w:val="superscript"/>
              </w:rPr>
              <w:t>**</w:t>
            </w:r>
          </w:p>
        </w:tc>
        <w:tc>
          <w:tcPr>
            <w:tcW w:w="0" w:type="auto"/>
            <w:tcBorders>
              <w:left w:val="nil"/>
              <w:bottom w:val="nil"/>
              <w:right w:val="nil"/>
            </w:tcBorders>
          </w:tcPr>
          <w:p w14:paraId="28F4C32F"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-0.0043</w:t>
            </w:r>
          </w:p>
        </w:tc>
        <w:tc>
          <w:tcPr>
            <w:tcW w:w="0" w:type="auto"/>
            <w:tcBorders>
              <w:left w:val="nil"/>
              <w:bottom w:val="nil"/>
              <w:right w:val="single" w:sz="4" w:space="0" w:color="auto"/>
            </w:tcBorders>
          </w:tcPr>
          <w:p w14:paraId="50F0BA57"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-0.0079</w:t>
            </w:r>
          </w:p>
        </w:tc>
        <w:tc>
          <w:tcPr>
            <w:tcW w:w="0" w:type="auto"/>
            <w:tcBorders>
              <w:left w:val="single" w:sz="4" w:space="0" w:color="auto"/>
              <w:bottom w:val="nil"/>
              <w:right w:val="nil"/>
            </w:tcBorders>
          </w:tcPr>
          <w:p w14:paraId="3E297465"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0.0142</w:t>
            </w:r>
          </w:p>
        </w:tc>
        <w:tc>
          <w:tcPr>
            <w:tcW w:w="0" w:type="auto"/>
            <w:tcBorders>
              <w:left w:val="nil"/>
              <w:bottom w:val="nil"/>
              <w:right w:val="nil"/>
            </w:tcBorders>
          </w:tcPr>
          <w:p w14:paraId="576329E5"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-0.0078</w:t>
            </w:r>
          </w:p>
        </w:tc>
        <w:tc>
          <w:tcPr>
            <w:tcW w:w="0" w:type="auto"/>
            <w:tcBorders>
              <w:left w:val="nil"/>
              <w:bottom w:val="nil"/>
              <w:right w:val="nil"/>
            </w:tcBorders>
          </w:tcPr>
          <w:p w14:paraId="124B22EA"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-0.0060</w:t>
            </w:r>
          </w:p>
        </w:tc>
      </w:tr>
      <w:tr w:rsidR="004A7BE8" w:rsidRPr="00DA6A7E" w14:paraId="78FF3062" w14:textId="77777777" w:rsidTr="008A3C4C">
        <w:tc>
          <w:tcPr>
            <w:tcW w:w="0" w:type="auto"/>
            <w:tcBorders>
              <w:top w:val="nil"/>
              <w:left w:val="nil"/>
              <w:bottom w:val="nil"/>
              <w:right w:val="nil"/>
            </w:tcBorders>
          </w:tcPr>
          <w:p w14:paraId="48E2479A"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bottom w:val="nil"/>
              <w:right w:val="nil"/>
            </w:tcBorders>
          </w:tcPr>
          <w:p w14:paraId="2BE1BEDB"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(0.0130)</w:t>
            </w:r>
          </w:p>
        </w:tc>
        <w:tc>
          <w:tcPr>
            <w:tcW w:w="0" w:type="auto"/>
            <w:tcBorders>
              <w:top w:val="nil"/>
              <w:left w:val="nil"/>
              <w:bottom w:val="nil"/>
              <w:right w:val="nil"/>
            </w:tcBorders>
          </w:tcPr>
          <w:p w14:paraId="0E639E38"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(0.0090)</w:t>
            </w:r>
          </w:p>
        </w:tc>
        <w:tc>
          <w:tcPr>
            <w:tcW w:w="0" w:type="auto"/>
            <w:tcBorders>
              <w:top w:val="nil"/>
              <w:left w:val="nil"/>
              <w:bottom w:val="nil"/>
              <w:right w:val="single" w:sz="4" w:space="0" w:color="auto"/>
            </w:tcBorders>
          </w:tcPr>
          <w:p w14:paraId="1EB988D6"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(0.0177)</w:t>
            </w:r>
          </w:p>
        </w:tc>
        <w:tc>
          <w:tcPr>
            <w:tcW w:w="0" w:type="auto"/>
            <w:tcBorders>
              <w:top w:val="nil"/>
              <w:left w:val="single" w:sz="4" w:space="0" w:color="auto"/>
              <w:bottom w:val="nil"/>
              <w:right w:val="nil"/>
            </w:tcBorders>
          </w:tcPr>
          <w:p w14:paraId="4EC33FF3"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(0.0080)</w:t>
            </w:r>
          </w:p>
        </w:tc>
        <w:tc>
          <w:tcPr>
            <w:tcW w:w="0" w:type="auto"/>
            <w:tcBorders>
              <w:top w:val="nil"/>
              <w:left w:val="nil"/>
              <w:bottom w:val="nil"/>
              <w:right w:val="nil"/>
            </w:tcBorders>
          </w:tcPr>
          <w:p w14:paraId="33792EAF"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(0.0068)</w:t>
            </w:r>
          </w:p>
        </w:tc>
        <w:tc>
          <w:tcPr>
            <w:tcW w:w="0" w:type="auto"/>
            <w:tcBorders>
              <w:top w:val="nil"/>
              <w:left w:val="nil"/>
              <w:bottom w:val="nil"/>
              <w:right w:val="nil"/>
            </w:tcBorders>
          </w:tcPr>
          <w:p w14:paraId="4B00CE82"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(0.0127)</w:t>
            </w:r>
          </w:p>
        </w:tc>
      </w:tr>
      <w:tr w:rsidR="004A7BE8" w:rsidRPr="00DA6A7E" w14:paraId="6002F0D2" w14:textId="77777777" w:rsidTr="008A3C4C">
        <w:tc>
          <w:tcPr>
            <w:tcW w:w="0" w:type="auto"/>
            <w:tcBorders>
              <w:top w:val="nil"/>
              <w:left w:val="nil"/>
              <w:bottom w:val="nil"/>
              <w:right w:val="nil"/>
            </w:tcBorders>
          </w:tcPr>
          <w:p w14:paraId="70F013AA"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Examination grades</w:t>
            </w:r>
          </w:p>
        </w:tc>
        <w:tc>
          <w:tcPr>
            <w:tcW w:w="0" w:type="auto"/>
            <w:tcBorders>
              <w:top w:val="nil"/>
              <w:left w:val="nil"/>
              <w:bottom w:val="nil"/>
              <w:right w:val="nil"/>
            </w:tcBorders>
          </w:tcPr>
          <w:p w14:paraId="452F4889"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0.0957</w:t>
            </w:r>
            <w:r w:rsidRPr="00DA6A7E">
              <w:rPr>
                <w:sz w:val="20"/>
                <w:szCs w:val="20"/>
                <w:vertAlign w:val="superscript"/>
              </w:rPr>
              <w:t>*</w:t>
            </w:r>
          </w:p>
        </w:tc>
        <w:tc>
          <w:tcPr>
            <w:tcW w:w="0" w:type="auto"/>
            <w:tcBorders>
              <w:top w:val="nil"/>
              <w:left w:val="nil"/>
              <w:bottom w:val="nil"/>
              <w:right w:val="nil"/>
            </w:tcBorders>
          </w:tcPr>
          <w:p w14:paraId="41FE7946"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0.0205</w:t>
            </w:r>
          </w:p>
        </w:tc>
        <w:tc>
          <w:tcPr>
            <w:tcW w:w="0" w:type="auto"/>
            <w:tcBorders>
              <w:top w:val="nil"/>
              <w:left w:val="nil"/>
              <w:bottom w:val="nil"/>
              <w:right w:val="single" w:sz="4" w:space="0" w:color="auto"/>
            </w:tcBorders>
          </w:tcPr>
          <w:p w14:paraId="5A7F5389"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-0.0047</w:t>
            </w:r>
          </w:p>
        </w:tc>
        <w:tc>
          <w:tcPr>
            <w:tcW w:w="0" w:type="auto"/>
            <w:tcBorders>
              <w:top w:val="nil"/>
              <w:left w:val="single" w:sz="4" w:space="0" w:color="auto"/>
              <w:bottom w:val="nil"/>
              <w:right w:val="nil"/>
            </w:tcBorders>
          </w:tcPr>
          <w:p w14:paraId="61B49831"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0.0260</w:t>
            </w:r>
          </w:p>
        </w:tc>
        <w:tc>
          <w:tcPr>
            <w:tcW w:w="0" w:type="auto"/>
            <w:tcBorders>
              <w:top w:val="nil"/>
              <w:left w:val="nil"/>
              <w:bottom w:val="nil"/>
              <w:right w:val="nil"/>
            </w:tcBorders>
          </w:tcPr>
          <w:p w14:paraId="683F7F71"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0.0091</w:t>
            </w:r>
          </w:p>
        </w:tc>
        <w:tc>
          <w:tcPr>
            <w:tcW w:w="0" w:type="auto"/>
            <w:tcBorders>
              <w:top w:val="nil"/>
              <w:left w:val="nil"/>
              <w:bottom w:val="nil"/>
              <w:right w:val="nil"/>
            </w:tcBorders>
          </w:tcPr>
          <w:p w14:paraId="6709049D"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0.0002</w:t>
            </w:r>
          </w:p>
        </w:tc>
      </w:tr>
      <w:tr w:rsidR="004A7BE8" w:rsidRPr="00DA6A7E" w14:paraId="6576FDB3" w14:textId="77777777" w:rsidTr="008A3C4C">
        <w:tc>
          <w:tcPr>
            <w:tcW w:w="0" w:type="auto"/>
            <w:tcBorders>
              <w:top w:val="nil"/>
              <w:left w:val="nil"/>
              <w:bottom w:val="nil"/>
              <w:right w:val="nil"/>
            </w:tcBorders>
          </w:tcPr>
          <w:p w14:paraId="6BDD96CE"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bottom w:val="nil"/>
              <w:right w:val="nil"/>
            </w:tcBorders>
          </w:tcPr>
          <w:p w14:paraId="2EEF59F8"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(0.0375)</w:t>
            </w:r>
          </w:p>
        </w:tc>
        <w:tc>
          <w:tcPr>
            <w:tcW w:w="0" w:type="auto"/>
            <w:tcBorders>
              <w:top w:val="nil"/>
              <w:left w:val="nil"/>
              <w:bottom w:val="nil"/>
              <w:right w:val="nil"/>
            </w:tcBorders>
          </w:tcPr>
          <w:p w14:paraId="2F5B3FC2"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(0.0262)</w:t>
            </w:r>
          </w:p>
        </w:tc>
        <w:tc>
          <w:tcPr>
            <w:tcW w:w="0" w:type="auto"/>
            <w:tcBorders>
              <w:top w:val="nil"/>
              <w:left w:val="nil"/>
              <w:bottom w:val="nil"/>
              <w:right w:val="single" w:sz="4" w:space="0" w:color="auto"/>
            </w:tcBorders>
          </w:tcPr>
          <w:p w14:paraId="5AA9C5F3"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(0.0369)</w:t>
            </w:r>
          </w:p>
        </w:tc>
        <w:tc>
          <w:tcPr>
            <w:tcW w:w="0" w:type="auto"/>
            <w:tcBorders>
              <w:top w:val="nil"/>
              <w:left w:val="single" w:sz="4" w:space="0" w:color="auto"/>
              <w:bottom w:val="nil"/>
              <w:right w:val="nil"/>
            </w:tcBorders>
          </w:tcPr>
          <w:p w14:paraId="3E1BD84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(0.0172)</w:t>
            </w:r>
          </w:p>
        </w:tc>
        <w:tc>
          <w:tcPr>
            <w:tcW w:w="0" w:type="auto"/>
            <w:tcBorders>
              <w:top w:val="nil"/>
              <w:left w:val="nil"/>
              <w:bottom w:val="nil"/>
              <w:right w:val="nil"/>
            </w:tcBorders>
          </w:tcPr>
          <w:p w14:paraId="4D446C23"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(0.0179)</w:t>
            </w:r>
          </w:p>
        </w:tc>
        <w:tc>
          <w:tcPr>
            <w:tcW w:w="0" w:type="auto"/>
            <w:tcBorders>
              <w:top w:val="nil"/>
              <w:left w:val="nil"/>
              <w:bottom w:val="nil"/>
              <w:right w:val="nil"/>
            </w:tcBorders>
          </w:tcPr>
          <w:p w14:paraId="54F566D6"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(0.0280)</w:t>
            </w:r>
          </w:p>
        </w:tc>
      </w:tr>
      <w:tr w:rsidR="004A7BE8" w:rsidRPr="00DA6A7E" w14:paraId="2C35D203" w14:textId="77777777" w:rsidTr="008A3C4C">
        <w:tc>
          <w:tcPr>
            <w:tcW w:w="0" w:type="auto"/>
            <w:tcBorders>
              <w:top w:val="nil"/>
              <w:left w:val="nil"/>
              <w:bottom w:val="nil"/>
              <w:right w:val="nil"/>
            </w:tcBorders>
          </w:tcPr>
          <w:p w14:paraId="20EFB3B1"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Charged (by 2</w:t>
            </w:r>
            <w:r>
              <w:rPr>
                <w:rFonts w:eastAsia="Times New Roman"/>
                <w:sz w:val="20"/>
                <w:szCs w:val="20"/>
              </w:rPr>
              <w:t>0</w:t>
            </w:r>
            <w:r w:rsidRPr="00DA6A7E">
              <w:rPr>
                <w:rFonts w:eastAsia="Times New Roman"/>
                <w:sz w:val="20"/>
                <w:szCs w:val="20"/>
              </w:rPr>
              <w:t>)</w:t>
            </w:r>
          </w:p>
        </w:tc>
        <w:tc>
          <w:tcPr>
            <w:tcW w:w="0" w:type="auto"/>
            <w:tcBorders>
              <w:top w:val="nil"/>
              <w:left w:val="nil"/>
              <w:bottom w:val="nil"/>
              <w:right w:val="nil"/>
            </w:tcBorders>
          </w:tcPr>
          <w:p w14:paraId="26CD43DA"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4C5C8D">
              <w:rPr>
                <w:sz w:val="20"/>
                <w:szCs w:val="20"/>
              </w:rPr>
              <w:t>-0.0109</w:t>
            </w:r>
          </w:p>
        </w:tc>
        <w:tc>
          <w:tcPr>
            <w:tcW w:w="0" w:type="auto"/>
            <w:tcBorders>
              <w:top w:val="nil"/>
              <w:left w:val="nil"/>
              <w:bottom w:val="nil"/>
              <w:right w:val="nil"/>
            </w:tcBorders>
          </w:tcPr>
          <w:p w14:paraId="2BB0BEAA"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4C5C8D">
              <w:rPr>
                <w:sz w:val="20"/>
                <w:szCs w:val="20"/>
              </w:rPr>
              <w:t>0.0008</w:t>
            </w:r>
          </w:p>
        </w:tc>
        <w:tc>
          <w:tcPr>
            <w:tcW w:w="0" w:type="auto"/>
            <w:tcBorders>
              <w:top w:val="nil"/>
              <w:left w:val="nil"/>
              <w:bottom w:val="nil"/>
              <w:right w:val="single" w:sz="4" w:space="0" w:color="auto"/>
            </w:tcBorders>
          </w:tcPr>
          <w:p w14:paraId="368F49A3"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4C5C8D">
              <w:rPr>
                <w:sz w:val="20"/>
                <w:szCs w:val="20"/>
              </w:rPr>
              <w:t>-0.0004</w:t>
            </w:r>
          </w:p>
        </w:tc>
        <w:tc>
          <w:tcPr>
            <w:tcW w:w="0" w:type="auto"/>
            <w:tcBorders>
              <w:top w:val="nil"/>
              <w:left w:val="single" w:sz="4" w:space="0" w:color="auto"/>
              <w:bottom w:val="nil"/>
              <w:right w:val="nil"/>
            </w:tcBorders>
          </w:tcPr>
          <w:p w14:paraId="3208CFCD"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4C5C8D">
              <w:rPr>
                <w:sz w:val="20"/>
                <w:szCs w:val="20"/>
              </w:rPr>
              <w:t>-0.0027</w:t>
            </w:r>
          </w:p>
        </w:tc>
        <w:tc>
          <w:tcPr>
            <w:tcW w:w="0" w:type="auto"/>
            <w:tcBorders>
              <w:top w:val="nil"/>
              <w:left w:val="nil"/>
              <w:bottom w:val="nil"/>
              <w:right w:val="nil"/>
            </w:tcBorders>
          </w:tcPr>
          <w:p w14:paraId="1718C04B"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4C5C8D">
              <w:rPr>
                <w:sz w:val="20"/>
                <w:szCs w:val="20"/>
              </w:rPr>
              <w:t>0.0022</w:t>
            </w:r>
          </w:p>
        </w:tc>
        <w:tc>
          <w:tcPr>
            <w:tcW w:w="0" w:type="auto"/>
            <w:tcBorders>
              <w:top w:val="nil"/>
              <w:left w:val="nil"/>
              <w:bottom w:val="nil"/>
              <w:right w:val="nil"/>
            </w:tcBorders>
          </w:tcPr>
          <w:p w14:paraId="2B95C867"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4C5C8D">
              <w:rPr>
                <w:sz w:val="20"/>
                <w:szCs w:val="20"/>
              </w:rPr>
              <w:t>-0.0023</w:t>
            </w:r>
          </w:p>
        </w:tc>
      </w:tr>
      <w:tr w:rsidR="004A7BE8" w:rsidRPr="00DA6A7E" w14:paraId="6E26DD3C" w14:textId="77777777" w:rsidTr="008A3C4C">
        <w:tc>
          <w:tcPr>
            <w:tcW w:w="0" w:type="auto"/>
            <w:tcBorders>
              <w:top w:val="nil"/>
              <w:left w:val="nil"/>
              <w:bottom w:val="nil"/>
              <w:right w:val="nil"/>
            </w:tcBorders>
          </w:tcPr>
          <w:p w14:paraId="27C69894"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bottom w:val="nil"/>
              <w:right w:val="nil"/>
            </w:tcBorders>
          </w:tcPr>
          <w:p w14:paraId="08D8374B"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4C5C8D">
              <w:rPr>
                <w:sz w:val="20"/>
                <w:szCs w:val="20"/>
              </w:rPr>
              <w:t>(0.0078)</w:t>
            </w:r>
          </w:p>
        </w:tc>
        <w:tc>
          <w:tcPr>
            <w:tcW w:w="0" w:type="auto"/>
            <w:tcBorders>
              <w:top w:val="nil"/>
              <w:left w:val="nil"/>
              <w:bottom w:val="nil"/>
              <w:right w:val="nil"/>
            </w:tcBorders>
          </w:tcPr>
          <w:p w14:paraId="69CDDD55"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4C5C8D">
              <w:rPr>
                <w:sz w:val="20"/>
                <w:szCs w:val="20"/>
              </w:rPr>
              <w:t>(0.0066)</w:t>
            </w:r>
          </w:p>
        </w:tc>
        <w:tc>
          <w:tcPr>
            <w:tcW w:w="0" w:type="auto"/>
            <w:tcBorders>
              <w:top w:val="nil"/>
              <w:left w:val="nil"/>
              <w:bottom w:val="nil"/>
              <w:right w:val="single" w:sz="4" w:space="0" w:color="auto"/>
            </w:tcBorders>
          </w:tcPr>
          <w:p w14:paraId="19B102B6"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4C5C8D">
              <w:rPr>
                <w:sz w:val="20"/>
                <w:szCs w:val="20"/>
              </w:rPr>
              <w:t>(0.0133)</w:t>
            </w:r>
          </w:p>
        </w:tc>
        <w:tc>
          <w:tcPr>
            <w:tcW w:w="0" w:type="auto"/>
            <w:tcBorders>
              <w:top w:val="nil"/>
              <w:left w:val="single" w:sz="4" w:space="0" w:color="auto"/>
              <w:bottom w:val="nil"/>
              <w:right w:val="nil"/>
            </w:tcBorders>
          </w:tcPr>
          <w:p w14:paraId="36C1CB1F"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4C5C8D">
              <w:rPr>
                <w:sz w:val="20"/>
                <w:szCs w:val="20"/>
              </w:rPr>
              <w:t>(0.0067)</w:t>
            </w:r>
          </w:p>
        </w:tc>
        <w:tc>
          <w:tcPr>
            <w:tcW w:w="0" w:type="auto"/>
            <w:tcBorders>
              <w:top w:val="nil"/>
              <w:left w:val="nil"/>
              <w:bottom w:val="nil"/>
              <w:right w:val="nil"/>
            </w:tcBorders>
          </w:tcPr>
          <w:p w14:paraId="439A3748"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4C5C8D">
              <w:rPr>
                <w:sz w:val="20"/>
                <w:szCs w:val="20"/>
              </w:rPr>
              <w:t>(0.0059)</w:t>
            </w:r>
          </w:p>
        </w:tc>
        <w:tc>
          <w:tcPr>
            <w:tcW w:w="0" w:type="auto"/>
            <w:tcBorders>
              <w:top w:val="nil"/>
              <w:left w:val="nil"/>
              <w:bottom w:val="nil"/>
              <w:right w:val="nil"/>
            </w:tcBorders>
          </w:tcPr>
          <w:p w14:paraId="0E47A8E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4C5C8D">
              <w:rPr>
                <w:sz w:val="20"/>
                <w:szCs w:val="20"/>
              </w:rPr>
              <w:t>(0.0109)</w:t>
            </w:r>
          </w:p>
        </w:tc>
      </w:tr>
      <w:tr w:rsidR="004A7BE8" w:rsidRPr="00DA6A7E" w14:paraId="011D8E1A" w14:textId="77777777" w:rsidTr="008A3C4C">
        <w:tc>
          <w:tcPr>
            <w:tcW w:w="0" w:type="auto"/>
            <w:tcBorders>
              <w:top w:val="nil"/>
              <w:left w:val="nil"/>
              <w:bottom w:val="nil"/>
              <w:right w:val="nil"/>
            </w:tcBorders>
          </w:tcPr>
          <w:p w14:paraId="64023FA8"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bottom w:val="nil"/>
              <w:right w:val="nil"/>
            </w:tcBorders>
          </w:tcPr>
          <w:p w14:paraId="4550E96C"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4C17A276"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single" w:sz="4" w:space="0" w:color="auto"/>
            </w:tcBorders>
          </w:tcPr>
          <w:p w14:paraId="41C0549F"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single" w:sz="4" w:space="0" w:color="auto"/>
              <w:bottom w:val="nil"/>
              <w:right w:val="nil"/>
            </w:tcBorders>
          </w:tcPr>
          <w:p w14:paraId="0A7B23BE"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3116EA8B"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5730AB0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552B2F2C" w14:textId="77777777" w:rsidTr="008A3C4C">
        <w:tc>
          <w:tcPr>
            <w:tcW w:w="0" w:type="auto"/>
            <w:gridSpan w:val="4"/>
            <w:tcBorders>
              <w:top w:val="nil"/>
              <w:left w:val="nil"/>
              <w:bottom w:val="nil"/>
              <w:right w:val="single" w:sz="4" w:space="0" w:color="auto"/>
            </w:tcBorders>
          </w:tcPr>
          <w:p w14:paraId="65E12028" w14:textId="77777777" w:rsidR="004A7BE8" w:rsidRPr="00DA6A7E" w:rsidRDefault="004A7BE8" w:rsidP="008A3C4C">
            <w:pPr>
              <w:autoSpaceDE w:val="0"/>
              <w:autoSpaceDN w:val="0"/>
              <w:adjustRightInd w:val="0"/>
              <w:spacing w:line="240" w:lineRule="auto"/>
              <w:ind w:firstLine="0"/>
              <w:rPr>
                <w:rFonts w:eastAsia="Times New Roman"/>
                <w:b/>
                <w:sz w:val="20"/>
                <w:szCs w:val="20"/>
              </w:rPr>
            </w:pPr>
          </w:p>
        </w:tc>
        <w:tc>
          <w:tcPr>
            <w:tcW w:w="0" w:type="auto"/>
            <w:gridSpan w:val="3"/>
            <w:tcBorders>
              <w:top w:val="nil"/>
              <w:left w:val="single" w:sz="4" w:space="0" w:color="auto"/>
              <w:bottom w:val="nil"/>
              <w:right w:val="nil"/>
            </w:tcBorders>
          </w:tcPr>
          <w:p w14:paraId="089B9EE3" w14:textId="77777777" w:rsidR="004A7BE8" w:rsidRPr="00DA6A7E" w:rsidRDefault="004A7BE8" w:rsidP="008A3C4C">
            <w:pPr>
              <w:autoSpaceDE w:val="0"/>
              <w:autoSpaceDN w:val="0"/>
              <w:adjustRightInd w:val="0"/>
              <w:spacing w:line="240" w:lineRule="auto"/>
              <w:ind w:firstLine="0"/>
              <w:rPr>
                <w:rFonts w:eastAsia="Times New Roman"/>
                <w:b/>
                <w:sz w:val="20"/>
                <w:szCs w:val="20"/>
              </w:rPr>
            </w:pPr>
          </w:p>
        </w:tc>
      </w:tr>
      <w:tr w:rsidR="004A7BE8" w:rsidRPr="00DA6A7E" w14:paraId="2311A966" w14:textId="77777777" w:rsidTr="008A3C4C">
        <w:tc>
          <w:tcPr>
            <w:tcW w:w="0" w:type="auto"/>
            <w:tcBorders>
              <w:top w:val="nil"/>
              <w:left w:val="nil"/>
              <w:bottom w:val="nil"/>
              <w:right w:val="nil"/>
            </w:tcBorders>
          </w:tcPr>
          <w:p w14:paraId="74BD9A7A"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Parents' education</w:t>
            </w:r>
          </w:p>
        </w:tc>
        <w:tc>
          <w:tcPr>
            <w:tcW w:w="0" w:type="auto"/>
            <w:tcBorders>
              <w:top w:val="nil"/>
              <w:left w:val="nil"/>
              <w:bottom w:val="nil"/>
              <w:right w:val="nil"/>
            </w:tcBorders>
          </w:tcPr>
          <w:p w14:paraId="28DC1EF3"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0.2191</w:t>
            </w:r>
            <w:r w:rsidRPr="00DA6A7E">
              <w:rPr>
                <w:sz w:val="20"/>
                <w:szCs w:val="20"/>
                <w:vertAlign w:val="superscript"/>
              </w:rPr>
              <w:t>*</w:t>
            </w:r>
          </w:p>
        </w:tc>
        <w:tc>
          <w:tcPr>
            <w:tcW w:w="0" w:type="auto"/>
            <w:tcBorders>
              <w:top w:val="nil"/>
              <w:left w:val="nil"/>
              <w:bottom w:val="nil"/>
              <w:right w:val="nil"/>
            </w:tcBorders>
          </w:tcPr>
          <w:p w14:paraId="1F9C2805"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0.0535</w:t>
            </w:r>
          </w:p>
        </w:tc>
        <w:tc>
          <w:tcPr>
            <w:tcW w:w="0" w:type="auto"/>
            <w:tcBorders>
              <w:top w:val="nil"/>
              <w:left w:val="nil"/>
              <w:bottom w:val="nil"/>
              <w:right w:val="single" w:sz="4" w:space="0" w:color="auto"/>
            </w:tcBorders>
          </w:tcPr>
          <w:p w14:paraId="44B81631"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-0.0146</w:t>
            </w:r>
          </w:p>
        </w:tc>
        <w:tc>
          <w:tcPr>
            <w:tcW w:w="0" w:type="auto"/>
            <w:tcBorders>
              <w:top w:val="nil"/>
              <w:left w:val="single" w:sz="4" w:space="0" w:color="auto"/>
              <w:bottom w:val="nil"/>
              <w:right w:val="nil"/>
            </w:tcBorders>
          </w:tcPr>
          <w:p w14:paraId="65382F7D"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3782B882"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2CED34DC"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75BBE94F" w14:textId="77777777" w:rsidTr="008A3C4C">
        <w:tc>
          <w:tcPr>
            <w:tcW w:w="0" w:type="auto"/>
            <w:tcBorders>
              <w:top w:val="nil"/>
              <w:left w:val="nil"/>
              <w:bottom w:val="nil"/>
              <w:right w:val="nil"/>
            </w:tcBorders>
          </w:tcPr>
          <w:p w14:paraId="779C80D9"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bottom w:val="nil"/>
              <w:right w:val="nil"/>
            </w:tcBorders>
          </w:tcPr>
          <w:p w14:paraId="4A07FA05"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(0.0950)</w:t>
            </w:r>
          </w:p>
        </w:tc>
        <w:tc>
          <w:tcPr>
            <w:tcW w:w="0" w:type="auto"/>
            <w:tcBorders>
              <w:top w:val="nil"/>
              <w:left w:val="nil"/>
              <w:bottom w:val="nil"/>
              <w:right w:val="nil"/>
            </w:tcBorders>
          </w:tcPr>
          <w:p w14:paraId="2F0F6EF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(0.0565)</w:t>
            </w:r>
          </w:p>
        </w:tc>
        <w:tc>
          <w:tcPr>
            <w:tcW w:w="0" w:type="auto"/>
            <w:tcBorders>
              <w:top w:val="nil"/>
              <w:left w:val="nil"/>
              <w:bottom w:val="nil"/>
              <w:right w:val="single" w:sz="4" w:space="0" w:color="auto"/>
            </w:tcBorders>
          </w:tcPr>
          <w:p w14:paraId="7E205802"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(0.0893)</w:t>
            </w:r>
          </w:p>
        </w:tc>
        <w:tc>
          <w:tcPr>
            <w:tcW w:w="0" w:type="auto"/>
            <w:tcBorders>
              <w:top w:val="nil"/>
              <w:left w:val="single" w:sz="4" w:space="0" w:color="auto"/>
              <w:bottom w:val="nil"/>
              <w:right w:val="nil"/>
            </w:tcBorders>
          </w:tcPr>
          <w:p w14:paraId="39DD4EF8"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7A2B5EE0"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6CE3AEF5"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3F126A59" w14:textId="77777777" w:rsidTr="008A3C4C">
        <w:tc>
          <w:tcPr>
            <w:tcW w:w="0" w:type="auto"/>
            <w:tcBorders>
              <w:top w:val="nil"/>
              <w:left w:val="nil"/>
              <w:bottom w:val="nil"/>
              <w:right w:val="nil"/>
            </w:tcBorders>
          </w:tcPr>
          <w:p w14:paraId="44F262BA"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Parents' earnings (in 1000 NOK)</w:t>
            </w:r>
          </w:p>
        </w:tc>
        <w:tc>
          <w:tcPr>
            <w:tcW w:w="0" w:type="auto"/>
            <w:tcBorders>
              <w:top w:val="nil"/>
              <w:left w:val="nil"/>
              <w:bottom w:val="nil"/>
              <w:right w:val="nil"/>
            </w:tcBorders>
          </w:tcPr>
          <w:p w14:paraId="21C24A1F"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30.4033</w:t>
            </w:r>
            <w:r w:rsidRPr="00DA6A7E">
              <w:rPr>
                <w:sz w:val="20"/>
                <w:szCs w:val="20"/>
                <w:vertAlign w:val="superscript"/>
              </w:rPr>
              <w:t>**</w:t>
            </w:r>
          </w:p>
        </w:tc>
        <w:tc>
          <w:tcPr>
            <w:tcW w:w="0" w:type="auto"/>
            <w:tcBorders>
              <w:top w:val="nil"/>
              <w:left w:val="nil"/>
              <w:bottom w:val="nil"/>
              <w:right w:val="nil"/>
            </w:tcBorders>
          </w:tcPr>
          <w:p w14:paraId="35A244DB"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1.3042</w:t>
            </w:r>
          </w:p>
        </w:tc>
        <w:tc>
          <w:tcPr>
            <w:tcW w:w="0" w:type="auto"/>
            <w:tcBorders>
              <w:top w:val="nil"/>
              <w:left w:val="nil"/>
              <w:bottom w:val="nil"/>
              <w:right w:val="single" w:sz="4" w:space="0" w:color="auto"/>
            </w:tcBorders>
          </w:tcPr>
          <w:p w14:paraId="2D3844E0"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-5.5233</w:t>
            </w:r>
          </w:p>
        </w:tc>
        <w:tc>
          <w:tcPr>
            <w:tcW w:w="0" w:type="auto"/>
            <w:tcBorders>
              <w:top w:val="nil"/>
              <w:left w:val="single" w:sz="4" w:space="0" w:color="auto"/>
              <w:bottom w:val="nil"/>
              <w:right w:val="nil"/>
            </w:tcBorders>
          </w:tcPr>
          <w:p w14:paraId="62B70B82"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234154AB"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1C59E0D1"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1FEDBC53" w14:textId="77777777" w:rsidTr="008A3C4C">
        <w:tc>
          <w:tcPr>
            <w:tcW w:w="0" w:type="auto"/>
            <w:tcBorders>
              <w:top w:val="nil"/>
              <w:left w:val="nil"/>
              <w:bottom w:val="nil"/>
              <w:right w:val="nil"/>
            </w:tcBorders>
          </w:tcPr>
          <w:p w14:paraId="4086A98E"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bottom w:val="nil"/>
              <w:right w:val="nil"/>
            </w:tcBorders>
          </w:tcPr>
          <w:p w14:paraId="09238288"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(10.9503)</w:t>
            </w:r>
          </w:p>
        </w:tc>
        <w:tc>
          <w:tcPr>
            <w:tcW w:w="0" w:type="auto"/>
            <w:tcBorders>
              <w:top w:val="nil"/>
              <w:left w:val="nil"/>
              <w:bottom w:val="nil"/>
              <w:right w:val="nil"/>
            </w:tcBorders>
          </w:tcPr>
          <w:p w14:paraId="32535BFF"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(6.9339)</w:t>
            </w:r>
          </w:p>
        </w:tc>
        <w:tc>
          <w:tcPr>
            <w:tcW w:w="0" w:type="auto"/>
            <w:tcBorders>
              <w:top w:val="nil"/>
              <w:left w:val="nil"/>
              <w:bottom w:val="nil"/>
              <w:right w:val="single" w:sz="4" w:space="0" w:color="auto"/>
            </w:tcBorders>
          </w:tcPr>
          <w:p w14:paraId="42FD0F2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(12.7047)</w:t>
            </w:r>
          </w:p>
        </w:tc>
        <w:tc>
          <w:tcPr>
            <w:tcW w:w="0" w:type="auto"/>
            <w:tcBorders>
              <w:top w:val="nil"/>
              <w:left w:val="single" w:sz="4" w:space="0" w:color="auto"/>
              <w:bottom w:val="nil"/>
              <w:right w:val="nil"/>
            </w:tcBorders>
          </w:tcPr>
          <w:p w14:paraId="013AB930"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44DF2980"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4047DCC8"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73EBB228" w14:textId="77777777" w:rsidTr="008A3C4C">
        <w:tc>
          <w:tcPr>
            <w:tcW w:w="0" w:type="auto"/>
            <w:tcBorders>
              <w:top w:val="nil"/>
              <w:left w:val="nil"/>
              <w:bottom w:val="nil"/>
              <w:right w:val="nil"/>
            </w:tcBorders>
          </w:tcPr>
          <w:p w14:paraId="7E5E838E"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Immigrant background</w:t>
            </w:r>
          </w:p>
        </w:tc>
        <w:tc>
          <w:tcPr>
            <w:tcW w:w="0" w:type="auto"/>
            <w:tcBorders>
              <w:top w:val="nil"/>
              <w:left w:val="nil"/>
              <w:bottom w:val="nil"/>
              <w:right w:val="nil"/>
            </w:tcBorders>
          </w:tcPr>
          <w:p w14:paraId="0AE9E2C3"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0.0286</w:t>
            </w:r>
            <w:r w:rsidRPr="00DA6A7E">
              <w:rPr>
                <w:sz w:val="20"/>
                <w:szCs w:val="20"/>
                <w:vertAlign w:val="superscript"/>
              </w:rPr>
              <w:t>*</w:t>
            </w:r>
          </w:p>
        </w:tc>
        <w:tc>
          <w:tcPr>
            <w:tcW w:w="0" w:type="auto"/>
            <w:tcBorders>
              <w:top w:val="nil"/>
              <w:left w:val="nil"/>
              <w:bottom w:val="nil"/>
              <w:right w:val="nil"/>
            </w:tcBorders>
          </w:tcPr>
          <w:p w14:paraId="49AD1633"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-0.0053</w:t>
            </w:r>
          </w:p>
        </w:tc>
        <w:tc>
          <w:tcPr>
            <w:tcW w:w="0" w:type="auto"/>
            <w:tcBorders>
              <w:top w:val="nil"/>
              <w:left w:val="nil"/>
              <w:bottom w:val="nil"/>
              <w:right w:val="single" w:sz="4" w:space="0" w:color="auto"/>
            </w:tcBorders>
          </w:tcPr>
          <w:p w14:paraId="103987AF"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0.0402</w:t>
            </w:r>
          </w:p>
        </w:tc>
        <w:tc>
          <w:tcPr>
            <w:tcW w:w="0" w:type="auto"/>
            <w:tcBorders>
              <w:top w:val="nil"/>
              <w:left w:val="single" w:sz="4" w:space="0" w:color="auto"/>
              <w:bottom w:val="nil"/>
              <w:right w:val="nil"/>
            </w:tcBorders>
          </w:tcPr>
          <w:p w14:paraId="0A17004C"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2F730E2C"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6BF3680D"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592A3F00" w14:textId="77777777" w:rsidTr="008A3C4C">
        <w:tc>
          <w:tcPr>
            <w:tcW w:w="0" w:type="auto"/>
            <w:tcBorders>
              <w:top w:val="nil"/>
              <w:left w:val="nil"/>
              <w:right w:val="nil"/>
            </w:tcBorders>
          </w:tcPr>
          <w:p w14:paraId="341E970D"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right w:val="nil"/>
            </w:tcBorders>
          </w:tcPr>
          <w:p w14:paraId="1495A491"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(0.0123)</w:t>
            </w:r>
          </w:p>
        </w:tc>
        <w:tc>
          <w:tcPr>
            <w:tcW w:w="0" w:type="auto"/>
            <w:tcBorders>
              <w:top w:val="nil"/>
              <w:left w:val="nil"/>
              <w:right w:val="nil"/>
            </w:tcBorders>
          </w:tcPr>
          <w:p w14:paraId="4BD71628"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(0.0040)</w:t>
            </w:r>
          </w:p>
        </w:tc>
        <w:tc>
          <w:tcPr>
            <w:tcW w:w="0" w:type="auto"/>
            <w:tcBorders>
              <w:top w:val="nil"/>
              <w:left w:val="nil"/>
              <w:right w:val="single" w:sz="4" w:space="0" w:color="auto"/>
            </w:tcBorders>
          </w:tcPr>
          <w:p w14:paraId="1579E150"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(0.0306)</w:t>
            </w:r>
          </w:p>
        </w:tc>
        <w:tc>
          <w:tcPr>
            <w:tcW w:w="0" w:type="auto"/>
            <w:tcBorders>
              <w:top w:val="nil"/>
              <w:left w:val="single" w:sz="4" w:space="0" w:color="auto"/>
              <w:right w:val="nil"/>
            </w:tcBorders>
          </w:tcPr>
          <w:p w14:paraId="7FC5794C"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right w:val="nil"/>
            </w:tcBorders>
          </w:tcPr>
          <w:p w14:paraId="55CB6480"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right w:val="nil"/>
            </w:tcBorders>
          </w:tcPr>
          <w:p w14:paraId="76DB6122"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0963F553" w14:textId="77777777" w:rsidTr="008A3C4C">
        <w:tc>
          <w:tcPr>
            <w:tcW w:w="0" w:type="auto"/>
            <w:tcBorders>
              <w:top w:val="nil"/>
              <w:left w:val="nil"/>
              <w:right w:val="nil"/>
            </w:tcBorders>
          </w:tcPr>
          <w:p w14:paraId="44BFC156"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right w:val="nil"/>
            </w:tcBorders>
          </w:tcPr>
          <w:p w14:paraId="0B68CE05"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right w:val="nil"/>
            </w:tcBorders>
          </w:tcPr>
          <w:p w14:paraId="4EB45E1F"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right w:val="single" w:sz="4" w:space="0" w:color="auto"/>
            </w:tcBorders>
          </w:tcPr>
          <w:p w14:paraId="788BAFF6"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single" w:sz="4" w:space="0" w:color="auto"/>
              <w:right w:val="nil"/>
            </w:tcBorders>
          </w:tcPr>
          <w:p w14:paraId="21EA755E"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right w:val="nil"/>
            </w:tcBorders>
          </w:tcPr>
          <w:p w14:paraId="3AA55A82"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right w:val="nil"/>
            </w:tcBorders>
          </w:tcPr>
          <w:p w14:paraId="748E1260"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40DA28B0" w14:textId="77777777" w:rsidTr="008A3C4C">
        <w:tc>
          <w:tcPr>
            <w:tcW w:w="0" w:type="auto"/>
            <w:tcBorders>
              <w:left w:val="nil"/>
              <w:bottom w:val="single" w:sz="4" w:space="0" w:color="auto"/>
              <w:right w:val="nil"/>
            </w:tcBorders>
          </w:tcPr>
          <w:p w14:paraId="5AC71BC9"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Control variables</w:t>
            </w:r>
          </w:p>
        </w:tc>
        <w:tc>
          <w:tcPr>
            <w:tcW w:w="0" w:type="auto"/>
            <w:tcBorders>
              <w:left w:val="nil"/>
              <w:bottom w:val="single" w:sz="4" w:space="0" w:color="auto"/>
              <w:right w:val="nil"/>
            </w:tcBorders>
          </w:tcPr>
          <w:p w14:paraId="2381D56C"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No</w:t>
            </w:r>
          </w:p>
        </w:tc>
        <w:tc>
          <w:tcPr>
            <w:tcW w:w="0" w:type="auto"/>
            <w:tcBorders>
              <w:left w:val="nil"/>
              <w:bottom w:val="single" w:sz="4" w:space="0" w:color="auto"/>
              <w:right w:val="nil"/>
            </w:tcBorders>
          </w:tcPr>
          <w:p w14:paraId="46E55D30"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No</w:t>
            </w:r>
          </w:p>
        </w:tc>
        <w:tc>
          <w:tcPr>
            <w:tcW w:w="0" w:type="auto"/>
            <w:tcBorders>
              <w:left w:val="nil"/>
              <w:bottom w:val="single" w:sz="4" w:space="0" w:color="auto"/>
              <w:right w:val="single" w:sz="4" w:space="0" w:color="auto"/>
            </w:tcBorders>
          </w:tcPr>
          <w:p w14:paraId="6834C2D1"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No</w:t>
            </w:r>
          </w:p>
        </w:tc>
        <w:tc>
          <w:tcPr>
            <w:tcW w:w="0" w:type="auto"/>
            <w:tcBorders>
              <w:left w:val="single" w:sz="4" w:space="0" w:color="auto"/>
              <w:bottom w:val="single" w:sz="4" w:space="0" w:color="auto"/>
              <w:right w:val="nil"/>
            </w:tcBorders>
          </w:tcPr>
          <w:p w14:paraId="4B22B799"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Yes</w:t>
            </w:r>
          </w:p>
        </w:tc>
        <w:tc>
          <w:tcPr>
            <w:tcW w:w="0" w:type="auto"/>
            <w:tcBorders>
              <w:left w:val="nil"/>
              <w:bottom w:val="single" w:sz="4" w:space="0" w:color="auto"/>
              <w:right w:val="nil"/>
            </w:tcBorders>
          </w:tcPr>
          <w:p w14:paraId="0DEA4319"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Yes</w:t>
            </w:r>
          </w:p>
        </w:tc>
        <w:tc>
          <w:tcPr>
            <w:tcW w:w="0" w:type="auto"/>
            <w:tcBorders>
              <w:left w:val="nil"/>
              <w:bottom w:val="single" w:sz="4" w:space="0" w:color="auto"/>
              <w:right w:val="nil"/>
            </w:tcBorders>
          </w:tcPr>
          <w:p w14:paraId="6F1CD9BD"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 xml:space="preserve">Yes </w:t>
            </w:r>
          </w:p>
        </w:tc>
      </w:tr>
    </w:tbl>
    <w:p w14:paraId="0C57B9B0" w14:textId="77777777" w:rsidR="004A7BE8" w:rsidRPr="00DA6A7E" w:rsidRDefault="004A7BE8" w:rsidP="004A7BE8">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 xml:space="preserve">Note: Only pre-intervention cohorts are included (born 1986-1988). </w:t>
      </w:r>
      <w:r>
        <w:rPr>
          <w:rFonts w:eastAsia="Times New Roman"/>
          <w:sz w:val="20"/>
          <w:szCs w:val="20"/>
        </w:rPr>
        <w:t>Standard errors clustered at the school level in parentheses.</w:t>
      </w:r>
    </w:p>
    <w:p w14:paraId="1C7B4EEF" w14:textId="77777777" w:rsidR="004A7BE8" w:rsidRPr="00DA6A7E" w:rsidRDefault="004A7BE8" w:rsidP="004A7BE8">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vertAlign w:val="superscript"/>
        </w:rPr>
        <w:t>*</w:t>
      </w:r>
      <w:r w:rsidRPr="00DA6A7E">
        <w:rPr>
          <w:rFonts w:eastAsia="Times New Roman"/>
          <w:sz w:val="20"/>
          <w:szCs w:val="20"/>
        </w:rPr>
        <w:t xml:space="preserve"> </w:t>
      </w:r>
      <w:proofErr w:type="gramStart"/>
      <w:r w:rsidRPr="00DA6A7E">
        <w:rPr>
          <w:rFonts w:eastAsia="Times New Roman"/>
          <w:i/>
          <w:iCs/>
          <w:sz w:val="20"/>
          <w:szCs w:val="20"/>
        </w:rPr>
        <w:t>p</w:t>
      </w:r>
      <w:proofErr w:type="gramEnd"/>
      <w:r w:rsidRPr="00DA6A7E">
        <w:rPr>
          <w:rFonts w:eastAsia="Times New Roman"/>
          <w:sz w:val="20"/>
          <w:szCs w:val="20"/>
        </w:rPr>
        <w:t xml:space="preserve"> &lt; 0.05, </w:t>
      </w:r>
      <w:r w:rsidRPr="00DA6A7E">
        <w:rPr>
          <w:rFonts w:eastAsia="Times New Roman"/>
          <w:sz w:val="20"/>
          <w:szCs w:val="20"/>
          <w:vertAlign w:val="superscript"/>
        </w:rPr>
        <w:t>**</w:t>
      </w:r>
      <w:r w:rsidRPr="00DA6A7E">
        <w:rPr>
          <w:rFonts w:eastAsia="Times New Roman"/>
          <w:sz w:val="20"/>
          <w:szCs w:val="20"/>
        </w:rPr>
        <w:t xml:space="preserve"> </w:t>
      </w:r>
      <w:r w:rsidRPr="00DA6A7E">
        <w:rPr>
          <w:rFonts w:eastAsia="Times New Roman"/>
          <w:i/>
          <w:iCs/>
          <w:sz w:val="20"/>
          <w:szCs w:val="20"/>
        </w:rPr>
        <w:t>p</w:t>
      </w:r>
      <w:r w:rsidRPr="00DA6A7E">
        <w:rPr>
          <w:rFonts w:eastAsia="Times New Roman"/>
          <w:sz w:val="20"/>
          <w:szCs w:val="20"/>
        </w:rPr>
        <w:t xml:space="preserve"> &lt; 0.01, </w:t>
      </w:r>
      <w:r w:rsidRPr="00DA6A7E">
        <w:rPr>
          <w:rFonts w:eastAsia="Times New Roman"/>
          <w:sz w:val="20"/>
          <w:szCs w:val="20"/>
          <w:vertAlign w:val="superscript"/>
        </w:rPr>
        <w:t>***</w:t>
      </w:r>
      <w:r w:rsidRPr="00DA6A7E">
        <w:rPr>
          <w:rFonts w:eastAsia="Times New Roman"/>
          <w:sz w:val="20"/>
          <w:szCs w:val="20"/>
        </w:rPr>
        <w:t xml:space="preserve"> </w:t>
      </w:r>
      <w:r w:rsidRPr="00DA6A7E">
        <w:rPr>
          <w:rFonts w:eastAsia="Times New Roman"/>
          <w:i/>
          <w:iCs/>
          <w:sz w:val="20"/>
          <w:szCs w:val="20"/>
        </w:rPr>
        <w:t>p</w:t>
      </w:r>
      <w:r w:rsidRPr="00DA6A7E">
        <w:rPr>
          <w:rFonts w:eastAsia="Times New Roman"/>
          <w:sz w:val="20"/>
          <w:szCs w:val="20"/>
        </w:rPr>
        <w:t xml:space="preserve"> &lt; 0.001</w:t>
      </w:r>
    </w:p>
    <w:p w14:paraId="418FF0EE" w14:textId="77777777" w:rsidR="004A7BE8" w:rsidRDefault="004A7BE8" w:rsidP="004A7BE8">
      <w:pPr>
        <w:ind w:firstLine="0"/>
        <w:jc w:val="left"/>
      </w:pPr>
    </w:p>
    <w:p w14:paraId="4A1AA696" w14:textId="77777777" w:rsidR="004A7BE8" w:rsidRDefault="004A7BE8" w:rsidP="004A7BE8">
      <w:pPr>
        <w:spacing w:line="240" w:lineRule="auto"/>
        <w:ind w:firstLine="0"/>
        <w:jc w:val="left"/>
        <w:rPr>
          <w:rFonts w:eastAsia="Times New Roman"/>
          <w:b/>
        </w:rPr>
      </w:pPr>
      <w:r>
        <w:rPr>
          <w:rFonts w:eastAsia="Times New Roman"/>
          <w:b/>
        </w:rPr>
        <w:br w:type="page"/>
      </w:r>
    </w:p>
    <w:p w14:paraId="7B75B74F" w14:textId="77777777" w:rsidR="004A7BE8" w:rsidRPr="003D6466" w:rsidRDefault="004A7BE8" w:rsidP="004A7BE8">
      <w:pPr>
        <w:spacing w:line="240" w:lineRule="auto"/>
        <w:ind w:firstLine="0"/>
        <w:jc w:val="left"/>
      </w:pPr>
    </w:p>
    <w:p w14:paraId="6E064456" w14:textId="77777777" w:rsidR="004A7BE8" w:rsidRDefault="004A7BE8" w:rsidP="004A7BE8">
      <w:pPr>
        <w:spacing w:line="240" w:lineRule="auto"/>
        <w:ind w:firstLine="0"/>
        <w:jc w:val="left"/>
        <w:rPr>
          <w:noProof/>
        </w:rPr>
      </w:pPr>
    </w:p>
    <w:p w14:paraId="01789427" w14:textId="5CBF0D69" w:rsidR="004A7BE8" w:rsidRDefault="004A7BE8" w:rsidP="004A7BE8">
      <w:pPr>
        <w:spacing w:line="240" w:lineRule="auto"/>
        <w:ind w:firstLine="0"/>
        <w:jc w:val="left"/>
        <w:rPr>
          <w:sz w:val="20"/>
          <w:szCs w:val="20"/>
        </w:rPr>
      </w:pPr>
    </w:p>
    <w:p w14:paraId="1AFCFBE4" w14:textId="419AB5A6" w:rsidR="00A85F6D" w:rsidRPr="00DA6A7E" w:rsidRDefault="00056B82" w:rsidP="004A7BE8">
      <w:pPr>
        <w:spacing w:line="240" w:lineRule="auto"/>
        <w:ind w:firstLine="0"/>
        <w:jc w:val="left"/>
        <w:rPr>
          <w:sz w:val="20"/>
          <w:szCs w:val="20"/>
        </w:rPr>
      </w:pPr>
      <w:r>
        <w:rPr>
          <w:sz w:val="20"/>
          <w:szCs w:val="20"/>
        </w:rPr>
        <w:pict w14:anchorId="67377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4in">
            <v:imagedata r:id="rId9" o:title="percent_exposed_v2"/>
          </v:shape>
        </w:pict>
      </w:r>
    </w:p>
    <w:p w14:paraId="09D847DB" w14:textId="63A34049" w:rsidR="004A7BE8" w:rsidRPr="00C52709" w:rsidRDefault="004A7BE8" w:rsidP="004A7BE8">
      <w:pPr>
        <w:spacing w:line="240" w:lineRule="auto"/>
        <w:ind w:firstLine="0"/>
        <w:jc w:val="left"/>
      </w:pPr>
      <w:r>
        <w:rPr>
          <w:b/>
        </w:rPr>
        <w:t xml:space="preserve">Appendix </w:t>
      </w:r>
      <w:r w:rsidRPr="00C52709">
        <w:rPr>
          <w:b/>
        </w:rPr>
        <w:t xml:space="preserve">Figure </w:t>
      </w:r>
      <w:r>
        <w:rPr>
          <w:b/>
        </w:rPr>
        <w:t>C</w:t>
      </w:r>
      <w:r w:rsidRPr="00C52709">
        <w:rPr>
          <w:b/>
        </w:rPr>
        <w:t>1:</w:t>
      </w:r>
      <w:r w:rsidRPr="00C52709">
        <w:t xml:space="preserve"> Share of students in various birth cohorts exposed to OBPP between 1 and 4 years.</w:t>
      </w:r>
    </w:p>
    <w:p w14:paraId="49494C10" w14:textId="77777777" w:rsidR="004A7BE8" w:rsidRDefault="004A7BE8" w:rsidP="004A7BE8">
      <w:pPr>
        <w:spacing w:line="240" w:lineRule="auto"/>
        <w:ind w:firstLine="0"/>
        <w:jc w:val="left"/>
        <w:rPr>
          <w:sz w:val="20"/>
          <w:szCs w:val="20"/>
        </w:rPr>
      </w:pPr>
    </w:p>
    <w:p w14:paraId="1BF7ED4D" w14:textId="65F53D7D" w:rsidR="004A7BE8" w:rsidRPr="00DA6A7E" w:rsidRDefault="004A7BE8" w:rsidP="004A7BE8">
      <w:pPr>
        <w:spacing w:line="240" w:lineRule="auto"/>
        <w:ind w:firstLine="0"/>
        <w:jc w:val="left"/>
        <w:rPr>
          <w:sz w:val="20"/>
          <w:szCs w:val="20"/>
        </w:rPr>
      </w:pPr>
      <w:r w:rsidRPr="00DA6A7E">
        <w:rPr>
          <w:sz w:val="20"/>
          <w:szCs w:val="20"/>
        </w:rPr>
        <w:t xml:space="preserve">Note: Students exposed five or more years are included as not exposed in this graph but are excluded from the effect estimates.  </w:t>
      </w:r>
    </w:p>
    <w:p w14:paraId="115758ED" w14:textId="557D94D6" w:rsidR="008D648C" w:rsidRDefault="008D648C">
      <w:pPr>
        <w:widowControl/>
        <w:spacing w:after="160" w:line="259" w:lineRule="auto"/>
        <w:ind w:firstLine="0"/>
        <w:jc w:val="left"/>
      </w:pPr>
      <w:r>
        <w:br w:type="page"/>
      </w:r>
    </w:p>
    <w:p w14:paraId="77F154C8" w14:textId="417ABB39" w:rsidR="008D648C" w:rsidRPr="00DA6A7E" w:rsidRDefault="008D648C" w:rsidP="008D648C">
      <w:pPr>
        <w:spacing w:line="240" w:lineRule="auto"/>
        <w:ind w:firstLine="0"/>
        <w:rPr>
          <w:sz w:val="20"/>
          <w:szCs w:val="20"/>
        </w:rPr>
      </w:pPr>
      <w:r>
        <w:rPr>
          <w:noProof/>
          <w:sz w:val="20"/>
          <w:szCs w:val="20"/>
          <w:lang w:val="nb-NO" w:eastAsia="nb-NO"/>
        </w:rPr>
        <w:lastRenderedPageBreak/>
        <w:drawing>
          <wp:inline distT="0" distB="0" distL="0" distR="0" wp14:anchorId="44291AAE" wp14:editId="10DB2081">
            <wp:extent cx="5762625" cy="2533650"/>
            <wp:effectExtent l="0" t="0" r="9525" b="0"/>
            <wp:docPr id="16" name="Picture 16" descr="main_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_result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2533650"/>
                    </a:xfrm>
                    <a:prstGeom prst="rect">
                      <a:avLst/>
                    </a:prstGeom>
                    <a:noFill/>
                    <a:ln>
                      <a:noFill/>
                    </a:ln>
                  </pic:spPr>
                </pic:pic>
              </a:graphicData>
            </a:graphic>
          </wp:inline>
        </w:drawing>
      </w:r>
    </w:p>
    <w:p w14:paraId="004E791E" w14:textId="11671F80" w:rsidR="008D648C" w:rsidRDefault="004E0CBB" w:rsidP="008D648C">
      <w:pPr>
        <w:ind w:firstLine="0"/>
        <w:rPr>
          <w:b/>
        </w:rPr>
      </w:pPr>
      <w:r>
        <w:rPr>
          <w:b/>
        </w:rPr>
        <w:t xml:space="preserve">Appendix </w:t>
      </w:r>
      <w:r w:rsidR="008D648C" w:rsidRPr="00C52709">
        <w:rPr>
          <w:b/>
        </w:rPr>
        <w:t xml:space="preserve">Figure </w:t>
      </w:r>
      <w:r>
        <w:rPr>
          <w:b/>
        </w:rPr>
        <w:t>C</w:t>
      </w:r>
      <w:r w:rsidR="008D648C" w:rsidRPr="00C52709">
        <w:rPr>
          <w:b/>
        </w:rPr>
        <w:t>2</w:t>
      </w:r>
    </w:p>
    <w:p w14:paraId="5D891C22" w14:textId="77777777" w:rsidR="008D648C" w:rsidRPr="00C57E92" w:rsidRDefault="008D648C" w:rsidP="008D648C">
      <w:pPr>
        <w:ind w:firstLine="0"/>
        <w:rPr>
          <w:i/>
        </w:rPr>
      </w:pPr>
      <w:r w:rsidRPr="00C57E92">
        <w:rPr>
          <w:i/>
        </w:rPr>
        <w:t xml:space="preserve">Effect </w:t>
      </w:r>
      <w:r>
        <w:rPr>
          <w:i/>
        </w:rPr>
        <w:t>E</w:t>
      </w:r>
      <w:r w:rsidRPr="00C57E92">
        <w:rPr>
          <w:i/>
        </w:rPr>
        <w:t xml:space="preserve">stimates </w:t>
      </w:r>
      <w:r>
        <w:rPr>
          <w:i/>
        </w:rPr>
        <w:t>W</w:t>
      </w:r>
      <w:r w:rsidRPr="00C57E92">
        <w:rPr>
          <w:i/>
        </w:rPr>
        <w:t xml:space="preserve">ith 95% CI. </w:t>
      </w:r>
    </w:p>
    <w:p w14:paraId="700932F2" w14:textId="77777777" w:rsidR="008D648C" w:rsidRDefault="008D648C" w:rsidP="008D648C">
      <w:pPr>
        <w:ind w:firstLine="0"/>
        <w:rPr>
          <w:sz w:val="20"/>
          <w:szCs w:val="20"/>
        </w:rPr>
      </w:pPr>
    </w:p>
    <w:p w14:paraId="2BF45A0A" w14:textId="77777777" w:rsidR="008D648C" w:rsidRPr="00DA6A7E" w:rsidRDefault="008D648C" w:rsidP="008D648C">
      <w:pPr>
        <w:ind w:firstLine="0"/>
        <w:rPr>
          <w:sz w:val="20"/>
          <w:szCs w:val="20"/>
        </w:rPr>
      </w:pPr>
      <w:r w:rsidRPr="00DA6A7E">
        <w:rPr>
          <w:sz w:val="20"/>
          <w:szCs w:val="20"/>
        </w:rPr>
        <w:t xml:space="preserve">Note: Outcome metrics: Standardized for examination grades. Observed share for </w:t>
      </w:r>
      <w:r>
        <w:rPr>
          <w:sz w:val="20"/>
          <w:szCs w:val="20"/>
        </w:rPr>
        <w:t>criminal charges</w:t>
      </w:r>
      <w:r w:rsidRPr="00DA6A7E" w:rsidDel="008119DB">
        <w:rPr>
          <w:sz w:val="20"/>
          <w:szCs w:val="20"/>
        </w:rPr>
        <w:t xml:space="preserve"> </w:t>
      </w:r>
      <w:r w:rsidRPr="00DA6A7E">
        <w:rPr>
          <w:sz w:val="20"/>
          <w:szCs w:val="20"/>
        </w:rPr>
        <w:t>and completion of upper secondary education.</w:t>
      </w:r>
    </w:p>
    <w:p w14:paraId="4DC3BD38" w14:textId="77777777" w:rsidR="004A7BE8" w:rsidRPr="00DA6A7E" w:rsidRDefault="004A7BE8" w:rsidP="004A7BE8">
      <w:pPr>
        <w:spacing w:line="240" w:lineRule="auto"/>
        <w:ind w:firstLine="0"/>
        <w:jc w:val="left"/>
      </w:pPr>
    </w:p>
    <w:p w14:paraId="5EFB272E" w14:textId="77777777" w:rsidR="004A7BE8" w:rsidRDefault="004A7BE8" w:rsidP="004A7BE8">
      <w:pPr>
        <w:ind w:firstLine="0"/>
        <w:jc w:val="left"/>
        <w:rPr>
          <w:noProof/>
        </w:rPr>
      </w:pPr>
    </w:p>
    <w:p w14:paraId="641AFA8F" w14:textId="77777777" w:rsidR="004A7BE8" w:rsidRDefault="004A7BE8" w:rsidP="004A7BE8">
      <w:pPr>
        <w:spacing w:line="240" w:lineRule="auto"/>
        <w:ind w:firstLine="0"/>
        <w:jc w:val="left"/>
        <w:rPr>
          <w:noProof/>
        </w:rPr>
      </w:pPr>
      <w:r>
        <w:rPr>
          <w:noProof/>
        </w:rPr>
        <w:br w:type="page"/>
      </w:r>
    </w:p>
    <w:p w14:paraId="7A0B1A89" w14:textId="77777777" w:rsidR="004A7BE8" w:rsidRDefault="004A7BE8" w:rsidP="004A7BE8">
      <w:pPr>
        <w:ind w:firstLine="0"/>
        <w:jc w:val="left"/>
        <w:rPr>
          <w:noProof/>
        </w:rPr>
      </w:pPr>
    </w:p>
    <w:p w14:paraId="1705EAC4" w14:textId="77777777" w:rsidR="004A7BE8" w:rsidRPr="00DA6A7E" w:rsidRDefault="004A7BE8" w:rsidP="004A7BE8">
      <w:pPr>
        <w:ind w:firstLine="0"/>
        <w:jc w:val="left"/>
      </w:pPr>
      <w:r>
        <w:rPr>
          <w:noProof/>
          <w:lang w:val="nb-NO" w:eastAsia="nb-NO"/>
        </w:rPr>
        <w:drawing>
          <wp:inline distT="0" distB="0" distL="0" distR="0" wp14:anchorId="146BDE32" wp14:editId="0937F384">
            <wp:extent cx="5743575" cy="2543175"/>
            <wp:effectExtent l="0" t="0" r="9525" b="9525"/>
            <wp:docPr id="15" name="Picture 15" descr="main_results_with_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_results_with_p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575" cy="2543175"/>
                    </a:xfrm>
                    <a:prstGeom prst="rect">
                      <a:avLst/>
                    </a:prstGeom>
                    <a:noFill/>
                    <a:ln>
                      <a:noFill/>
                    </a:ln>
                  </pic:spPr>
                </pic:pic>
              </a:graphicData>
            </a:graphic>
          </wp:inline>
        </w:drawing>
      </w:r>
    </w:p>
    <w:p w14:paraId="590C1161" w14:textId="5DC9969B" w:rsidR="004A7BE8" w:rsidRPr="00C52709" w:rsidRDefault="004A7BE8" w:rsidP="004A7BE8">
      <w:pPr>
        <w:spacing w:line="240" w:lineRule="auto"/>
        <w:ind w:firstLine="0"/>
        <w:jc w:val="left"/>
      </w:pPr>
      <w:r>
        <w:rPr>
          <w:b/>
        </w:rPr>
        <w:t>Appendix Figure C</w:t>
      </w:r>
      <w:r w:rsidR="00E2535B">
        <w:rPr>
          <w:b/>
        </w:rPr>
        <w:t>3</w:t>
      </w:r>
      <w:r w:rsidRPr="00C52709">
        <w:rPr>
          <w:b/>
        </w:rPr>
        <w:t xml:space="preserve">: </w:t>
      </w:r>
      <w:r w:rsidRPr="00C52709">
        <w:t xml:space="preserve">Effect estimates (after) and pre-program heterogeneity with 95% CI. </w:t>
      </w:r>
    </w:p>
    <w:p w14:paraId="3F03AE93" w14:textId="77777777" w:rsidR="004A7BE8" w:rsidRDefault="004A7BE8" w:rsidP="004A7BE8">
      <w:pPr>
        <w:spacing w:line="240" w:lineRule="auto"/>
        <w:ind w:firstLine="0"/>
        <w:jc w:val="left"/>
        <w:rPr>
          <w:sz w:val="20"/>
          <w:szCs w:val="20"/>
        </w:rPr>
      </w:pPr>
    </w:p>
    <w:p w14:paraId="0B4D0C4E" w14:textId="77777777" w:rsidR="004A7BE8" w:rsidRPr="00DA6A7E" w:rsidRDefault="004A7BE8" w:rsidP="004A7BE8">
      <w:pPr>
        <w:spacing w:line="240" w:lineRule="auto"/>
        <w:ind w:firstLine="0"/>
        <w:jc w:val="left"/>
        <w:rPr>
          <w:sz w:val="20"/>
          <w:szCs w:val="20"/>
        </w:rPr>
      </w:pPr>
      <w:r w:rsidRPr="00DA6A7E">
        <w:rPr>
          <w:sz w:val="20"/>
          <w:szCs w:val="20"/>
        </w:rPr>
        <w:t xml:space="preserve">Note: Outcome metrics: Standardized for examination grades. Observed share for </w:t>
      </w:r>
      <w:r>
        <w:rPr>
          <w:sz w:val="20"/>
          <w:szCs w:val="20"/>
        </w:rPr>
        <w:t>criminal charges</w:t>
      </w:r>
      <w:r w:rsidRPr="00DA6A7E">
        <w:rPr>
          <w:sz w:val="20"/>
          <w:szCs w:val="20"/>
        </w:rPr>
        <w:t xml:space="preserve"> and completion of upper secondary education. </w:t>
      </w:r>
    </w:p>
    <w:p w14:paraId="25DDCA14" w14:textId="77777777" w:rsidR="004A7BE8" w:rsidRPr="00DA6A7E" w:rsidRDefault="004A7BE8" w:rsidP="004A7BE8">
      <w:pPr>
        <w:ind w:firstLine="0"/>
        <w:jc w:val="left"/>
      </w:pPr>
    </w:p>
    <w:p w14:paraId="489E2E84" w14:textId="77777777" w:rsidR="004A7BE8" w:rsidRDefault="004A7BE8" w:rsidP="004A7BE8">
      <w:pPr>
        <w:spacing w:line="240" w:lineRule="auto"/>
        <w:ind w:firstLine="0"/>
        <w:jc w:val="left"/>
        <w:rPr>
          <w:noProof/>
        </w:rPr>
      </w:pPr>
      <w:r>
        <w:rPr>
          <w:noProof/>
        </w:rPr>
        <w:br w:type="page"/>
      </w:r>
    </w:p>
    <w:p w14:paraId="776B6234" w14:textId="77777777" w:rsidR="004A7BE8" w:rsidRDefault="004A7BE8" w:rsidP="004A7BE8">
      <w:pPr>
        <w:ind w:firstLine="0"/>
        <w:jc w:val="left"/>
        <w:rPr>
          <w:noProof/>
        </w:rPr>
      </w:pPr>
    </w:p>
    <w:p w14:paraId="6DA36670" w14:textId="77777777" w:rsidR="004A7BE8" w:rsidRPr="00DA6A7E" w:rsidRDefault="004A7BE8" w:rsidP="004A7BE8">
      <w:pPr>
        <w:ind w:firstLine="0"/>
        <w:jc w:val="left"/>
      </w:pPr>
      <w:r>
        <w:rPr>
          <w:noProof/>
          <w:lang w:val="nb-NO" w:eastAsia="nb-NO"/>
        </w:rPr>
        <w:drawing>
          <wp:inline distT="0" distB="0" distL="0" distR="0" wp14:anchorId="4285D024" wp14:editId="228ECFF8">
            <wp:extent cx="5743575" cy="2543175"/>
            <wp:effectExtent l="0" t="0" r="9525" b="9525"/>
            <wp:docPr id="14" name="Picture 14" descr="effects_fylke_kommune_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fects_fylke_kommune_tre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3575" cy="2543175"/>
                    </a:xfrm>
                    <a:prstGeom prst="rect">
                      <a:avLst/>
                    </a:prstGeom>
                    <a:noFill/>
                    <a:ln>
                      <a:noFill/>
                    </a:ln>
                  </pic:spPr>
                </pic:pic>
              </a:graphicData>
            </a:graphic>
          </wp:inline>
        </w:drawing>
      </w:r>
    </w:p>
    <w:p w14:paraId="309DD924" w14:textId="19A393B9" w:rsidR="004A7BE8" w:rsidRPr="00C52709" w:rsidRDefault="004A7BE8" w:rsidP="004A7BE8">
      <w:pPr>
        <w:spacing w:line="240" w:lineRule="auto"/>
        <w:ind w:firstLine="0"/>
        <w:jc w:val="left"/>
      </w:pPr>
      <w:r>
        <w:rPr>
          <w:b/>
        </w:rPr>
        <w:t>Appendix Figure C</w:t>
      </w:r>
      <w:r w:rsidR="00E2535B">
        <w:rPr>
          <w:b/>
        </w:rPr>
        <w:t>4</w:t>
      </w:r>
      <w:r w:rsidRPr="00C52709">
        <w:rPr>
          <w:b/>
        </w:rPr>
        <w:t xml:space="preserve">: </w:t>
      </w:r>
      <w:r w:rsidRPr="00C52709">
        <w:t>Effect estimates (after) and pre-program heterogeneity with region</w:t>
      </w:r>
      <w:r w:rsidR="0039300F">
        <w:t>-</w:t>
      </w:r>
      <w:r w:rsidRPr="00C52709">
        <w:t xml:space="preserve">specific trends with 95% CI. </w:t>
      </w:r>
    </w:p>
    <w:p w14:paraId="329FF6B2" w14:textId="77777777" w:rsidR="004A7BE8" w:rsidRDefault="004A7BE8" w:rsidP="004A7BE8">
      <w:pPr>
        <w:spacing w:line="240" w:lineRule="auto"/>
        <w:ind w:firstLine="0"/>
        <w:jc w:val="left"/>
        <w:rPr>
          <w:sz w:val="20"/>
          <w:szCs w:val="20"/>
        </w:rPr>
      </w:pPr>
    </w:p>
    <w:p w14:paraId="3DC7E27B" w14:textId="5C971E7A" w:rsidR="004A7BE8" w:rsidRPr="00DA6A7E" w:rsidRDefault="004A7BE8" w:rsidP="004A7BE8">
      <w:pPr>
        <w:spacing w:line="240" w:lineRule="auto"/>
        <w:ind w:firstLine="0"/>
        <w:jc w:val="left"/>
        <w:rPr>
          <w:sz w:val="20"/>
          <w:szCs w:val="20"/>
        </w:rPr>
      </w:pPr>
      <w:r w:rsidRPr="00DA6A7E">
        <w:rPr>
          <w:sz w:val="20"/>
          <w:szCs w:val="20"/>
        </w:rPr>
        <w:t xml:space="preserve">Note: Outcome metrics: Standardized for examination grades. Observed share for </w:t>
      </w:r>
      <w:r>
        <w:rPr>
          <w:sz w:val="20"/>
          <w:szCs w:val="20"/>
        </w:rPr>
        <w:t xml:space="preserve">criminal charges </w:t>
      </w:r>
      <w:r w:rsidRPr="00DA6A7E">
        <w:rPr>
          <w:sz w:val="20"/>
          <w:szCs w:val="20"/>
        </w:rPr>
        <w:t xml:space="preserve">and completion of upper secondary education. Results with school county and municipality specific trends include interaction variables between </w:t>
      </w:r>
      <w:r w:rsidR="0039300F">
        <w:rPr>
          <w:sz w:val="20"/>
          <w:szCs w:val="20"/>
        </w:rPr>
        <w:t xml:space="preserve">the </w:t>
      </w:r>
      <w:r w:rsidRPr="00DA6A7E">
        <w:rPr>
          <w:sz w:val="20"/>
          <w:szCs w:val="20"/>
        </w:rPr>
        <w:t xml:space="preserve">year of birth and </w:t>
      </w:r>
      <w:proofErr w:type="gramStart"/>
      <w:r w:rsidRPr="00DA6A7E">
        <w:rPr>
          <w:sz w:val="20"/>
          <w:szCs w:val="20"/>
        </w:rPr>
        <w:t>school county</w:t>
      </w:r>
      <w:proofErr w:type="gramEnd"/>
      <w:r w:rsidRPr="00DA6A7E">
        <w:rPr>
          <w:sz w:val="20"/>
          <w:szCs w:val="20"/>
        </w:rPr>
        <w:t xml:space="preserve"> and municipality, respectively. </w:t>
      </w:r>
    </w:p>
    <w:p w14:paraId="38485E07" w14:textId="77777777" w:rsidR="004A7BE8" w:rsidRDefault="004A7BE8" w:rsidP="004A7BE8">
      <w:pPr>
        <w:spacing w:line="240" w:lineRule="auto"/>
        <w:ind w:firstLine="0"/>
        <w:jc w:val="left"/>
      </w:pPr>
      <w:r>
        <w:br w:type="page"/>
      </w:r>
    </w:p>
    <w:p w14:paraId="4B4C081C" w14:textId="77777777" w:rsidR="004A7BE8" w:rsidRPr="00DA6A7E" w:rsidRDefault="004A7BE8" w:rsidP="004A7BE8">
      <w:pPr>
        <w:ind w:firstLine="0"/>
        <w:jc w:val="left"/>
      </w:pPr>
    </w:p>
    <w:p w14:paraId="3EE004A5" w14:textId="77777777" w:rsidR="004A7BE8" w:rsidRPr="00DA6A7E" w:rsidRDefault="004A7BE8" w:rsidP="004A7BE8">
      <w:pPr>
        <w:ind w:firstLine="0"/>
        <w:jc w:val="left"/>
      </w:pPr>
      <w:r>
        <w:rPr>
          <w:noProof/>
          <w:lang w:val="nb-NO" w:eastAsia="nb-NO"/>
        </w:rPr>
        <w:drawing>
          <wp:inline distT="0" distB="0" distL="0" distR="0" wp14:anchorId="5BCD1D3B" wp14:editId="66E74CDA">
            <wp:extent cx="5743575" cy="2543175"/>
            <wp:effectExtent l="0" t="0" r="9525" b="9525"/>
            <wp:docPr id="13" name="Picture 13" descr="effects_by_sem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fects_by_semest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3575" cy="2543175"/>
                    </a:xfrm>
                    <a:prstGeom prst="rect">
                      <a:avLst/>
                    </a:prstGeom>
                    <a:noFill/>
                    <a:ln>
                      <a:noFill/>
                    </a:ln>
                  </pic:spPr>
                </pic:pic>
              </a:graphicData>
            </a:graphic>
          </wp:inline>
        </w:drawing>
      </w:r>
    </w:p>
    <w:p w14:paraId="331F0C0D" w14:textId="3366EAC3" w:rsidR="004A7BE8" w:rsidRPr="00C52709" w:rsidRDefault="004A7BE8" w:rsidP="004A7BE8">
      <w:pPr>
        <w:spacing w:line="240" w:lineRule="auto"/>
        <w:ind w:firstLine="0"/>
        <w:jc w:val="left"/>
      </w:pPr>
      <w:r>
        <w:rPr>
          <w:b/>
        </w:rPr>
        <w:t xml:space="preserve">Appendix </w:t>
      </w:r>
      <w:r w:rsidRPr="00C52709">
        <w:rPr>
          <w:b/>
        </w:rPr>
        <w:t xml:space="preserve">Figure </w:t>
      </w:r>
      <w:r>
        <w:rPr>
          <w:b/>
        </w:rPr>
        <w:t>C</w:t>
      </w:r>
      <w:r w:rsidR="00E2535B">
        <w:rPr>
          <w:b/>
        </w:rPr>
        <w:t>5</w:t>
      </w:r>
      <w:r w:rsidRPr="00C52709">
        <w:rPr>
          <w:b/>
        </w:rPr>
        <w:t xml:space="preserve">: </w:t>
      </w:r>
      <w:r w:rsidRPr="00C52709">
        <w:t xml:space="preserve">Effect estimates by baseline semester with 95% CI. </w:t>
      </w:r>
    </w:p>
    <w:p w14:paraId="491E2DF5" w14:textId="77777777" w:rsidR="004A7BE8" w:rsidRDefault="004A7BE8" w:rsidP="004A7BE8">
      <w:pPr>
        <w:spacing w:line="240" w:lineRule="auto"/>
        <w:ind w:firstLine="0"/>
        <w:jc w:val="left"/>
        <w:rPr>
          <w:sz w:val="20"/>
          <w:szCs w:val="20"/>
        </w:rPr>
      </w:pPr>
    </w:p>
    <w:p w14:paraId="25D5E4AD" w14:textId="77777777" w:rsidR="004A7BE8" w:rsidRPr="00DA6A7E" w:rsidRDefault="004A7BE8" w:rsidP="004A7BE8">
      <w:pPr>
        <w:spacing w:line="240" w:lineRule="auto"/>
        <w:ind w:firstLine="0"/>
        <w:jc w:val="left"/>
        <w:rPr>
          <w:sz w:val="20"/>
          <w:szCs w:val="20"/>
        </w:rPr>
      </w:pPr>
      <w:r w:rsidRPr="00DA6A7E">
        <w:rPr>
          <w:sz w:val="20"/>
          <w:szCs w:val="20"/>
        </w:rPr>
        <w:t xml:space="preserve">Note: Outcome metrics: Standardized for examination grades. Observed share for </w:t>
      </w:r>
      <w:r>
        <w:rPr>
          <w:sz w:val="20"/>
          <w:szCs w:val="20"/>
        </w:rPr>
        <w:t>criminal charges</w:t>
      </w:r>
      <w:r w:rsidRPr="00DA6A7E" w:rsidDel="008119DB">
        <w:rPr>
          <w:sz w:val="20"/>
          <w:szCs w:val="20"/>
        </w:rPr>
        <w:t xml:space="preserve"> </w:t>
      </w:r>
      <w:r w:rsidRPr="00DA6A7E">
        <w:rPr>
          <w:sz w:val="20"/>
          <w:szCs w:val="20"/>
        </w:rPr>
        <w:t xml:space="preserve">and completion of upper secondary education. </w:t>
      </w:r>
    </w:p>
    <w:p w14:paraId="19B27E11" w14:textId="77777777" w:rsidR="004A7BE8" w:rsidRPr="00DA6A7E" w:rsidRDefault="004A7BE8" w:rsidP="004A7BE8">
      <w:pPr>
        <w:spacing w:line="240" w:lineRule="auto"/>
        <w:ind w:firstLine="0"/>
        <w:jc w:val="left"/>
        <w:rPr>
          <w:sz w:val="20"/>
          <w:szCs w:val="20"/>
        </w:rPr>
      </w:pPr>
    </w:p>
    <w:p w14:paraId="6F9B1502" w14:textId="77777777" w:rsidR="004A7BE8" w:rsidRPr="00DA6A7E" w:rsidRDefault="004A7BE8" w:rsidP="004A7BE8">
      <w:pPr>
        <w:spacing w:line="240" w:lineRule="auto"/>
        <w:ind w:firstLine="0"/>
        <w:jc w:val="left"/>
        <w:rPr>
          <w:sz w:val="20"/>
          <w:szCs w:val="20"/>
        </w:rPr>
      </w:pPr>
    </w:p>
    <w:p w14:paraId="2B81EED4" w14:textId="77777777" w:rsidR="004A7BE8" w:rsidRDefault="004A7BE8" w:rsidP="004A7BE8">
      <w:pPr>
        <w:spacing w:line="240" w:lineRule="auto"/>
        <w:ind w:firstLine="0"/>
        <w:jc w:val="left"/>
        <w:rPr>
          <w:noProof/>
        </w:rPr>
      </w:pPr>
      <w:r>
        <w:rPr>
          <w:noProof/>
        </w:rPr>
        <w:br w:type="page"/>
      </w:r>
    </w:p>
    <w:p w14:paraId="32B413A8" w14:textId="77777777" w:rsidR="004A7BE8" w:rsidRPr="00DA6A7E" w:rsidRDefault="004A7BE8" w:rsidP="004A7BE8">
      <w:pPr>
        <w:ind w:firstLine="0"/>
        <w:jc w:val="left"/>
      </w:pPr>
      <w:r>
        <w:rPr>
          <w:noProof/>
          <w:lang w:val="nb-NO" w:eastAsia="nb-NO"/>
        </w:rPr>
        <w:lastRenderedPageBreak/>
        <w:drawing>
          <wp:inline distT="0" distB="0" distL="0" distR="0" wp14:anchorId="527C4107" wp14:editId="03D790B9">
            <wp:extent cx="3914775" cy="2543175"/>
            <wp:effectExtent l="0" t="0" r="9525" b="9525"/>
            <wp:docPr id="12" name="Picture 12" descr="siktet_a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ktet_ald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14775" cy="2543175"/>
                    </a:xfrm>
                    <a:prstGeom prst="rect">
                      <a:avLst/>
                    </a:prstGeom>
                    <a:noFill/>
                    <a:ln>
                      <a:noFill/>
                    </a:ln>
                  </pic:spPr>
                </pic:pic>
              </a:graphicData>
            </a:graphic>
          </wp:inline>
        </w:drawing>
      </w:r>
    </w:p>
    <w:p w14:paraId="4162E94D" w14:textId="0E490A6B" w:rsidR="004A7BE8" w:rsidRPr="00C52709" w:rsidRDefault="004A7BE8" w:rsidP="004A7BE8">
      <w:pPr>
        <w:spacing w:line="240" w:lineRule="auto"/>
        <w:ind w:firstLine="0"/>
        <w:jc w:val="left"/>
        <w:rPr>
          <w:rFonts w:eastAsia="Times New Roman"/>
        </w:rPr>
      </w:pPr>
      <w:r>
        <w:rPr>
          <w:b/>
        </w:rPr>
        <w:t xml:space="preserve">Appendix </w:t>
      </w:r>
      <w:r w:rsidRPr="00C52709">
        <w:rPr>
          <w:rFonts w:eastAsia="Times New Roman"/>
          <w:b/>
        </w:rPr>
        <w:t xml:space="preserve">Figure </w:t>
      </w:r>
      <w:r>
        <w:rPr>
          <w:rFonts w:eastAsia="Times New Roman"/>
          <w:b/>
        </w:rPr>
        <w:t>C</w:t>
      </w:r>
      <w:r w:rsidR="00E2535B">
        <w:rPr>
          <w:rFonts w:eastAsia="Times New Roman"/>
          <w:b/>
        </w:rPr>
        <w:t>6</w:t>
      </w:r>
      <w:r w:rsidRPr="00C52709">
        <w:rPr>
          <w:rFonts w:eastAsia="Times New Roman"/>
          <w:b/>
        </w:rPr>
        <w:t xml:space="preserve">: </w:t>
      </w:r>
      <w:r w:rsidRPr="00C52709">
        <w:rPr>
          <w:rFonts w:eastAsia="Times New Roman"/>
        </w:rPr>
        <w:t xml:space="preserve">Effect estimates on criminal charges by age with 95% CI. </w:t>
      </w:r>
    </w:p>
    <w:p w14:paraId="0A9CFD93" w14:textId="77777777" w:rsidR="004A7BE8" w:rsidRDefault="004A7BE8" w:rsidP="004A7BE8">
      <w:pPr>
        <w:spacing w:line="240" w:lineRule="auto"/>
        <w:ind w:firstLine="0"/>
        <w:jc w:val="left"/>
        <w:rPr>
          <w:rFonts w:eastAsia="Times New Roman"/>
          <w:sz w:val="20"/>
          <w:szCs w:val="20"/>
        </w:rPr>
      </w:pPr>
    </w:p>
    <w:p w14:paraId="43B8B8A2" w14:textId="77777777" w:rsidR="004A7BE8" w:rsidRPr="00DA6A7E" w:rsidRDefault="004A7BE8" w:rsidP="004A7BE8">
      <w:pPr>
        <w:spacing w:line="240" w:lineRule="auto"/>
        <w:ind w:firstLine="0"/>
        <w:jc w:val="left"/>
        <w:rPr>
          <w:rFonts w:eastAsia="Times New Roman"/>
          <w:sz w:val="20"/>
          <w:szCs w:val="20"/>
        </w:rPr>
      </w:pPr>
      <w:r w:rsidRPr="00DA6A7E">
        <w:rPr>
          <w:rFonts w:eastAsia="Times New Roman"/>
          <w:sz w:val="20"/>
          <w:szCs w:val="20"/>
        </w:rPr>
        <w:t xml:space="preserve">Note: Outcome metrics: Observed share for </w:t>
      </w:r>
      <w:r>
        <w:rPr>
          <w:sz w:val="20"/>
          <w:szCs w:val="20"/>
        </w:rPr>
        <w:t>criminal charges</w:t>
      </w:r>
      <w:r w:rsidRPr="00DA6A7E">
        <w:rPr>
          <w:rFonts w:eastAsia="Times New Roman"/>
          <w:sz w:val="20"/>
          <w:szCs w:val="20"/>
        </w:rPr>
        <w:t xml:space="preserve">. </w:t>
      </w:r>
    </w:p>
    <w:p w14:paraId="208FFC97" w14:textId="77777777" w:rsidR="004A7BE8" w:rsidRPr="00DA6A7E" w:rsidRDefault="004A7BE8" w:rsidP="004A7BE8">
      <w:pPr>
        <w:ind w:firstLine="0"/>
        <w:jc w:val="left"/>
      </w:pPr>
    </w:p>
    <w:p w14:paraId="4ED9E93F" w14:textId="77777777" w:rsidR="004A7BE8" w:rsidRPr="00DA6A7E" w:rsidRDefault="004A7BE8" w:rsidP="004A7BE8">
      <w:pPr>
        <w:ind w:firstLine="0"/>
        <w:jc w:val="left"/>
      </w:pPr>
    </w:p>
    <w:p w14:paraId="18D5FF2A" w14:textId="77777777" w:rsidR="004A7BE8" w:rsidRDefault="004A7BE8" w:rsidP="004A7BE8">
      <w:pPr>
        <w:spacing w:line="240" w:lineRule="auto"/>
        <w:ind w:firstLine="0"/>
        <w:jc w:val="left"/>
        <w:rPr>
          <w:noProof/>
        </w:rPr>
      </w:pPr>
      <w:r>
        <w:rPr>
          <w:noProof/>
        </w:rPr>
        <w:br w:type="page"/>
      </w:r>
    </w:p>
    <w:p w14:paraId="64AAA999" w14:textId="77777777" w:rsidR="004A7BE8" w:rsidRPr="00DA6A7E" w:rsidRDefault="004A7BE8" w:rsidP="004A7BE8">
      <w:pPr>
        <w:ind w:firstLine="0"/>
        <w:jc w:val="left"/>
      </w:pPr>
      <w:r>
        <w:rPr>
          <w:noProof/>
          <w:lang w:val="nb-NO" w:eastAsia="nb-NO"/>
        </w:rPr>
        <w:lastRenderedPageBreak/>
        <w:drawing>
          <wp:inline distT="0" distB="0" distL="0" distR="0" wp14:anchorId="7FD7C140" wp14:editId="131DAF5C">
            <wp:extent cx="5029200" cy="3333750"/>
            <wp:effectExtent l="0" t="0" r="0" b="0"/>
            <wp:docPr id="11" name="Picture 11" descr="siktelse_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ktelse_typ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9200" cy="3333750"/>
                    </a:xfrm>
                    <a:prstGeom prst="rect">
                      <a:avLst/>
                    </a:prstGeom>
                    <a:noFill/>
                    <a:ln>
                      <a:noFill/>
                    </a:ln>
                  </pic:spPr>
                </pic:pic>
              </a:graphicData>
            </a:graphic>
          </wp:inline>
        </w:drawing>
      </w:r>
    </w:p>
    <w:p w14:paraId="02394D65" w14:textId="23215A9A" w:rsidR="004A7BE8" w:rsidRPr="00C52709" w:rsidRDefault="004A7BE8" w:rsidP="004A7BE8">
      <w:pPr>
        <w:spacing w:line="240" w:lineRule="auto"/>
        <w:ind w:firstLine="0"/>
        <w:jc w:val="left"/>
        <w:rPr>
          <w:rFonts w:eastAsia="Times New Roman"/>
        </w:rPr>
      </w:pPr>
      <w:r>
        <w:rPr>
          <w:b/>
        </w:rPr>
        <w:t xml:space="preserve">Appendix </w:t>
      </w:r>
      <w:r w:rsidRPr="00C52709">
        <w:rPr>
          <w:rFonts w:eastAsia="Times New Roman"/>
          <w:b/>
        </w:rPr>
        <w:t xml:space="preserve">Figure </w:t>
      </w:r>
      <w:r>
        <w:rPr>
          <w:rFonts w:eastAsia="Times New Roman"/>
          <w:b/>
        </w:rPr>
        <w:t>C</w:t>
      </w:r>
      <w:r w:rsidR="00E2535B">
        <w:rPr>
          <w:rFonts w:eastAsia="Times New Roman"/>
          <w:b/>
        </w:rPr>
        <w:t>7</w:t>
      </w:r>
      <w:r w:rsidRPr="00C52709">
        <w:rPr>
          <w:rFonts w:eastAsia="Times New Roman"/>
          <w:b/>
        </w:rPr>
        <w:t xml:space="preserve">: </w:t>
      </w:r>
      <w:r w:rsidRPr="00C52709">
        <w:rPr>
          <w:rFonts w:eastAsia="Times New Roman"/>
        </w:rPr>
        <w:t xml:space="preserve">Effect estimates by type of criminal charge and age with 95% CI. </w:t>
      </w:r>
    </w:p>
    <w:p w14:paraId="6B5AC400" w14:textId="77777777" w:rsidR="004A7BE8" w:rsidRDefault="004A7BE8" w:rsidP="004A7BE8">
      <w:pPr>
        <w:spacing w:line="240" w:lineRule="auto"/>
        <w:ind w:firstLine="0"/>
        <w:jc w:val="left"/>
        <w:rPr>
          <w:rFonts w:eastAsia="Times New Roman"/>
          <w:sz w:val="20"/>
          <w:szCs w:val="20"/>
        </w:rPr>
      </w:pPr>
    </w:p>
    <w:p w14:paraId="141E2991" w14:textId="77777777" w:rsidR="004A7BE8" w:rsidRPr="00DA6A7E" w:rsidRDefault="004A7BE8" w:rsidP="004A7BE8">
      <w:pPr>
        <w:spacing w:line="240" w:lineRule="auto"/>
        <w:ind w:firstLine="0"/>
        <w:jc w:val="left"/>
        <w:rPr>
          <w:rFonts w:eastAsia="Times New Roman"/>
          <w:sz w:val="20"/>
          <w:szCs w:val="20"/>
        </w:rPr>
      </w:pPr>
      <w:r w:rsidRPr="00DA6A7E">
        <w:rPr>
          <w:rFonts w:eastAsia="Times New Roman"/>
          <w:sz w:val="20"/>
          <w:szCs w:val="20"/>
        </w:rPr>
        <w:t xml:space="preserve">Note: Outcome metrics: Observed share for </w:t>
      </w:r>
      <w:r>
        <w:rPr>
          <w:sz w:val="20"/>
          <w:szCs w:val="20"/>
        </w:rPr>
        <w:t>criminal charges</w:t>
      </w:r>
      <w:r w:rsidRPr="00DA6A7E">
        <w:rPr>
          <w:rFonts w:eastAsia="Times New Roman"/>
          <w:sz w:val="20"/>
          <w:szCs w:val="20"/>
        </w:rPr>
        <w:t xml:space="preserve">. </w:t>
      </w:r>
    </w:p>
    <w:p w14:paraId="642D69EE" w14:textId="77777777" w:rsidR="004A7BE8" w:rsidRDefault="004A7BE8" w:rsidP="004A7BE8">
      <w:pPr>
        <w:spacing w:line="240" w:lineRule="auto"/>
        <w:ind w:firstLine="0"/>
        <w:jc w:val="left"/>
      </w:pPr>
      <w:r>
        <w:br w:type="page"/>
      </w:r>
    </w:p>
    <w:p w14:paraId="3D45A986" w14:textId="77777777" w:rsidR="004A7BE8" w:rsidRPr="00DA6A7E" w:rsidRDefault="004A7BE8" w:rsidP="004A7BE8">
      <w:pPr>
        <w:ind w:firstLine="0"/>
        <w:jc w:val="left"/>
      </w:pPr>
    </w:p>
    <w:p w14:paraId="34856042" w14:textId="77777777" w:rsidR="004A7BE8" w:rsidRPr="00DA6A7E" w:rsidRDefault="004A7BE8" w:rsidP="004A7BE8">
      <w:pPr>
        <w:ind w:firstLine="0"/>
        <w:jc w:val="left"/>
      </w:pPr>
      <w:r>
        <w:rPr>
          <w:noProof/>
          <w:lang w:val="nb-NO" w:eastAsia="nb-NO"/>
        </w:rPr>
        <w:drawing>
          <wp:inline distT="0" distB="0" distL="0" distR="0" wp14:anchorId="74DD20AE" wp14:editId="623B9F41">
            <wp:extent cx="5743575" cy="3857625"/>
            <wp:effectExtent l="0" t="0" r="9525" b="9525"/>
            <wp:docPr id="10" name="Picture 10" descr="siktelse_kateg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ktelse_kategor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3575" cy="3857625"/>
                    </a:xfrm>
                    <a:prstGeom prst="rect">
                      <a:avLst/>
                    </a:prstGeom>
                    <a:noFill/>
                    <a:ln>
                      <a:noFill/>
                    </a:ln>
                  </pic:spPr>
                </pic:pic>
              </a:graphicData>
            </a:graphic>
          </wp:inline>
        </w:drawing>
      </w:r>
    </w:p>
    <w:p w14:paraId="7BCA9100" w14:textId="519D9478" w:rsidR="004A7BE8" w:rsidRPr="00C52709" w:rsidRDefault="004A7BE8" w:rsidP="004A7BE8">
      <w:pPr>
        <w:spacing w:line="240" w:lineRule="auto"/>
        <w:ind w:firstLine="0"/>
        <w:jc w:val="left"/>
        <w:rPr>
          <w:rFonts w:eastAsia="Times New Roman"/>
        </w:rPr>
      </w:pPr>
      <w:r>
        <w:rPr>
          <w:b/>
        </w:rPr>
        <w:t xml:space="preserve">Appendix </w:t>
      </w:r>
      <w:r w:rsidRPr="00C52709">
        <w:rPr>
          <w:rFonts w:eastAsia="Times New Roman"/>
          <w:b/>
        </w:rPr>
        <w:t xml:space="preserve">Figure </w:t>
      </w:r>
      <w:r>
        <w:rPr>
          <w:rFonts w:eastAsia="Times New Roman"/>
          <w:b/>
        </w:rPr>
        <w:t>C</w:t>
      </w:r>
      <w:r w:rsidR="00E2535B">
        <w:rPr>
          <w:rFonts w:eastAsia="Times New Roman"/>
          <w:b/>
        </w:rPr>
        <w:t>8</w:t>
      </w:r>
      <w:r w:rsidRPr="00C52709">
        <w:rPr>
          <w:rFonts w:eastAsia="Times New Roman"/>
          <w:b/>
        </w:rPr>
        <w:t xml:space="preserve">: </w:t>
      </w:r>
      <w:r w:rsidRPr="00C52709">
        <w:rPr>
          <w:rFonts w:eastAsia="Times New Roman"/>
        </w:rPr>
        <w:t xml:space="preserve">Effect estimates by detailed type of criminal charge and age with 95% CI. </w:t>
      </w:r>
    </w:p>
    <w:p w14:paraId="2529A2B7" w14:textId="77777777" w:rsidR="004A7BE8" w:rsidRDefault="004A7BE8" w:rsidP="004A7BE8">
      <w:pPr>
        <w:spacing w:line="240" w:lineRule="auto"/>
        <w:ind w:firstLine="0"/>
        <w:jc w:val="left"/>
        <w:rPr>
          <w:rFonts w:eastAsia="Times New Roman"/>
          <w:sz w:val="20"/>
          <w:szCs w:val="20"/>
        </w:rPr>
      </w:pPr>
    </w:p>
    <w:p w14:paraId="495407BE" w14:textId="77777777" w:rsidR="004A7BE8" w:rsidRDefault="004A7BE8" w:rsidP="004A7BE8">
      <w:pPr>
        <w:spacing w:line="240" w:lineRule="auto"/>
        <w:ind w:firstLine="0"/>
        <w:jc w:val="left"/>
        <w:rPr>
          <w:rFonts w:eastAsia="Times New Roman"/>
          <w:sz w:val="20"/>
          <w:szCs w:val="20"/>
        </w:rPr>
      </w:pPr>
      <w:r w:rsidRPr="00DA6A7E">
        <w:rPr>
          <w:rFonts w:eastAsia="Times New Roman"/>
          <w:sz w:val="20"/>
          <w:szCs w:val="20"/>
        </w:rPr>
        <w:t xml:space="preserve">Note: Outcome metrics: Observed share for </w:t>
      </w:r>
      <w:r>
        <w:rPr>
          <w:sz w:val="20"/>
          <w:szCs w:val="20"/>
        </w:rPr>
        <w:t>criminal charges</w:t>
      </w:r>
      <w:r w:rsidRPr="00DA6A7E">
        <w:rPr>
          <w:rFonts w:eastAsia="Times New Roman"/>
          <w:sz w:val="20"/>
          <w:szCs w:val="20"/>
        </w:rPr>
        <w:t xml:space="preserve">. </w:t>
      </w:r>
    </w:p>
    <w:p w14:paraId="37B9E5E1" w14:textId="77777777" w:rsidR="004A7BE8" w:rsidRPr="00DA6A7E" w:rsidRDefault="004A7BE8" w:rsidP="004A7BE8">
      <w:pPr>
        <w:spacing w:line="240" w:lineRule="auto"/>
        <w:ind w:firstLine="0"/>
        <w:jc w:val="left"/>
        <w:rPr>
          <w:rFonts w:eastAsia="Times New Roman"/>
          <w:sz w:val="20"/>
          <w:szCs w:val="20"/>
        </w:rPr>
      </w:pPr>
    </w:p>
    <w:p w14:paraId="71B4CB1E" w14:textId="77777777" w:rsidR="004A7BE8" w:rsidRDefault="004A7BE8" w:rsidP="004A7BE8">
      <w:pPr>
        <w:spacing w:line="240" w:lineRule="auto"/>
        <w:ind w:firstLine="0"/>
        <w:jc w:val="left"/>
        <w:rPr>
          <w:noProof/>
        </w:rPr>
      </w:pPr>
      <w:r>
        <w:rPr>
          <w:noProof/>
        </w:rPr>
        <w:br w:type="page"/>
      </w:r>
    </w:p>
    <w:p w14:paraId="3FE12AB2" w14:textId="77777777" w:rsidR="004A7BE8" w:rsidRDefault="004A7BE8" w:rsidP="004A7BE8">
      <w:pPr>
        <w:ind w:firstLine="0"/>
        <w:jc w:val="left"/>
        <w:rPr>
          <w:noProof/>
        </w:rPr>
      </w:pPr>
    </w:p>
    <w:p w14:paraId="3C2FBE9D" w14:textId="77777777" w:rsidR="004A7BE8" w:rsidRPr="00DA6A7E" w:rsidRDefault="004A7BE8" w:rsidP="004A7BE8">
      <w:pPr>
        <w:ind w:firstLine="0"/>
        <w:jc w:val="left"/>
      </w:pPr>
      <w:r>
        <w:rPr>
          <w:noProof/>
          <w:lang w:val="nb-NO" w:eastAsia="nb-NO"/>
        </w:rPr>
        <w:drawing>
          <wp:inline distT="0" distB="0" distL="0" distR="0" wp14:anchorId="24597E1F" wp14:editId="18482842">
            <wp:extent cx="5743575" cy="2543175"/>
            <wp:effectExtent l="0" t="0" r="9525" b="9525"/>
            <wp:docPr id="9" name="Picture 9" descr="effect_by_ab_with_pre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ffect_by_ab_with_pretren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3575" cy="2543175"/>
                    </a:xfrm>
                    <a:prstGeom prst="rect">
                      <a:avLst/>
                    </a:prstGeom>
                    <a:noFill/>
                    <a:ln>
                      <a:noFill/>
                    </a:ln>
                  </pic:spPr>
                </pic:pic>
              </a:graphicData>
            </a:graphic>
          </wp:inline>
        </w:drawing>
      </w:r>
    </w:p>
    <w:p w14:paraId="0EB05F9C" w14:textId="2555A739" w:rsidR="004A7BE8" w:rsidRPr="00C52709" w:rsidRDefault="004A7BE8" w:rsidP="004A7BE8">
      <w:pPr>
        <w:spacing w:line="240" w:lineRule="auto"/>
        <w:ind w:firstLine="0"/>
        <w:jc w:val="left"/>
      </w:pPr>
      <w:r>
        <w:rPr>
          <w:b/>
        </w:rPr>
        <w:t xml:space="preserve">Appendix </w:t>
      </w:r>
      <w:r w:rsidRPr="00C52709">
        <w:rPr>
          <w:b/>
        </w:rPr>
        <w:t xml:space="preserve">Figure </w:t>
      </w:r>
      <w:r>
        <w:rPr>
          <w:b/>
        </w:rPr>
        <w:t>C</w:t>
      </w:r>
      <w:r w:rsidR="00E2535B">
        <w:rPr>
          <w:b/>
        </w:rPr>
        <w:t>9</w:t>
      </w:r>
      <w:r w:rsidRPr="00C52709">
        <w:rPr>
          <w:b/>
        </w:rPr>
        <w:t xml:space="preserve">: </w:t>
      </w:r>
      <w:r w:rsidRPr="00C52709">
        <w:t xml:space="preserve">Effect estimates (after) and pre-program heterogeneity by A- and B-schools with 95% CI. </w:t>
      </w:r>
    </w:p>
    <w:p w14:paraId="1F509D98" w14:textId="77777777" w:rsidR="004A7BE8" w:rsidRPr="00C52709" w:rsidRDefault="004A7BE8" w:rsidP="004A7BE8">
      <w:pPr>
        <w:spacing w:line="240" w:lineRule="auto"/>
        <w:ind w:firstLine="0"/>
        <w:jc w:val="left"/>
      </w:pPr>
    </w:p>
    <w:p w14:paraId="72BA935A" w14:textId="77777777" w:rsidR="004A7BE8" w:rsidRPr="00DA6A7E" w:rsidRDefault="004A7BE8" w:rsidP="004A7BE8">
      <w:pPr>
        <w:spacing w:line="240" w:lineRule="auto"/>
        <w:ind w:firstLine="0"/>
        <w:jc w:val="left"/>
        <w:rPr>
          <w:sz w:val="20"/>
          <w:szCs w:val="20"/>
        </w:rPr>
      </w:pPr>
      <w:r w:rsidRPr="00DA6A7E">
        <w:rPr>
          <w:sz w:val="20"/>
          <w:szCs w:val="20"/>
        </w:rPr>
        <w:t xml:space="preserve">Note: Outcome metrics: Standardized for examination grades. Observed share for </w:t>
      </w:r>
      <w:r>
        <w:rPr>
          <w:sz w:val="20"/>
          <w:szCs w:val="20"/>
        </w:rPr>
        <w:t>criminal charges</w:t>
      </w:r>
      <w:r w:rsidRPr="00DA6A7E" w:rsidDel="008119DB">
        <w:rPr>
          <w:sz w:val="20"/>
          <w:szCs w:val="20"/>
        </w:rPr>
        <w:t xml:space="preserve"> </w:t>
      </w:r>
      <w:r w:rsidRPr="00DA6A7E">
        <w:rPr>
          <w:sz w:val="20"/>
          <w:szCs w:val="20"/>
        </w:rPr>
        <w:t xml:space="preserve">and completion of upper secondary education. </w:t>
      </w:r>
    </w:p>
    <w:p w14:paraId="7AB3DA4E" w14:textId="77777777" w:rsidR="004A7BE8" w:rsidRPr="00DA6A7E" w:rsidRDefault="004A7BE8" w:rsidP="004A7BE8">
      <w:pPr>
        <w:ind w:firstLine="0"/>
        <w:jc w:val="left"/>
      </w:pPr>
    </w:p>
    <w:p w14:paraId="60CAD0DA" w14:textId="77777777" w:rsidR="004A7BE8" w:rsidRDefault="004A7BE8" w:rsidP="004A7BE8">
      <w:pPr>
        <w:spacing w:line="240" w:lineRule="auto"/>
        <w:ind w:firstLine="0"/>
        <w:jc w:val="left"/>
        <w:rPr>
          <w:sz w:val="20"/>
          <w:szCs w:val="20"/>
        </w:rPr>
      </w:pPr>
      <w:r>
        <w:rPr>
          <w:sz w:val="20"/>
          <w:szCs w:val="20"/>
        </w:rPr>
        <w:br w:type="page"/>
      </w:r>
    </w:p>
    <w:p w14:paraId="5FBB3866" w14:textId="77777777" w:rsidR="004A7BE8" w:rsidRPr="00DA6A7E" w:rsidRDefault="004A7BE8" w:rsidP="004A7BE8">
      <w:pPr>
        <w:spacing w:line="240" w:lineRule="auto"/>
        <w:ind w:firstLine="0"/>
        <w:jc w:val="left"/>
        <w:rPr>
          <w:sz w:val="20"/>
          <w:szCs w:val="20"/>
        </w:rPr>
      </w:pPr>
    </w:p>
    <w:p w14:paraId="2C6F8EE7" w14:textId="77777777" w:rsidR="004A7BE8" w:rsidRPr="00DA6A7E" w:rsidRDefault="004A7BE8" w:rsidP="004A7BE8">
      <w:pPr>
        <w:spacing w:line="240" w:lineRule="auto"/>
        <w:ind w:firstLine="0"/>
        <w:jc w:val="left"/>
        <w:rPr>
          <w:sz w:val="20"/>
          <w:szCs w:val="20"/>
        </w:rPr>
      </w:pPr>
    </w:p>
    <w:p w14:paraId="4EC9F255" w14:textId="77777777" w:rsidR="004A7BE8" w:rsidRPr="00DA6A7E" w:rsidRDefault="004A7BE8" w:rsidP="004A7BE8">
      <w:pPr>
        <w:spacing w:line="240" w:lineRule="auto"/>
        <w:ind w:firstLine="0"/>
        <w:jc w:val="left"/>
        <w:rPr>
          <w:sz w:val="20"/>
          <w:szCs w:val="20"/>
        </w:rPr>
      </w:pPr>
    </w:p>
    <w:p w14:paraId="34628C7C" w14:textId="77777777" w:rsidR="004A7BE8" w:rsidRDefault="004A7BE8" w:rsidP="004A7BE8">
      <w:pPr>
        <w:spacing w:line="240" w:lineRule="auto"/>
        <w:ind w:firstLine="0"/>
        <w:jc w:val="left"/>
        <w:rPr>
          <w:noProof/>
          <w:sz w:val="20"/>
          <w:szCs w:val="20"/>
        </w:rPr>
      </w:pPr>
    </w:p>
    <w:p w14:paraId="43B43036" w14:textId="77777777" w:rsidR="004A7BE8" w:rsidRPr="00DA6A7E" w:rsidRDefault="004A7BE8" w:rsidP="004A7BE8">
      <w:pPr>
        <w:spacing w:line="240" w:lineRule="auto"/>
        <w:ind w:firstLine="0"/>
        <w:jc w:val="left"/>
        <w:rPr>
          <w:sz w:val="20"/>
          <w:szCs w:val="20"/>
        </w:rPr>
      </w:pPr>
      <w:r>
        <w:rPr>
          <w:noProof/>
          <w:sz w:val="20"/>
          <w:szCs w:val="20"/>
          <w:lang w:val="nb-NO" w:eastAsia="nb-NO"/>
        </w:rPr>
        <w:drawing>
          <wp:inline distT="0" distB="0" distL="0" distR="0" wp14:anchorId="233D19E9" wp14:editId="7A17C061">
            <wp:extent cx="5743575" cy="2543175"/>
            <wp:effectExtent l="0" t="0" r="9525" b="9525"/>
            <wp:docPr id="8" name="Picture 8" descr="effect_by_kodeforeksklusj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ffect_by_kodeforeksklusj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43575" cy="2543175"/>
                    </a:xfrm>
                    <a:prstGeom prst="rect">
                      <a:avLst/>
                    </a:prstGeom>
                    <a:noFill/>
                    <a:ln>
                      <a:noFill/>
                    </a:ln>
                  </pic:spPr>
                </pic:pic>
              </a:graphicData>
            </a:graphic>
          </wp:inline>
        </w:drawing>
      </w:r>
    </w:p>
    <w:p w14:paraId="72AA662D" w14:textId="61FCF133" w:rsidR="004A7BE8" w:rsidRDefault="004A7BE8" w:rsidP="004A7BE8">
      <w:pPr>
        <w:spacing w:line="240" w:lineRule="auto"/>
        <w:ind w:firstLine="0"/>
        <w:jc w:val="left"/>
      </w:pPr>
      <w:r>
        <w:rPr>
          <w:b/>
        </w:rPr>
        <w:t>Appendix Figure C</w:t>
      </w:r>
      <w:r w:rsidR="00E2535B">
        <w:rPr>
          <w:b/>
        </w:rPr>
        <w:t>10</w:t>
      </w:r>
      <w:r w:rsidRPr="00C52709">
        <w:rPr>
          <w:b/>
        </w:rPr>
        <w:t>:</w:t>
      </w:r>
      <w:r>
        <w:t xml:space="preserve"> Effect estimates with all OBPP elementary schools compared to the main OBPP schools. </w:t>
      </w:r>
    </w:p>
    <w:p w14:paraId="0E1EAF08" w14:textId="77777777" w:rsidR="004A7BE8" w:rsidRDefault="004A7BE8" w:rsidP="004A7BE8">
      <w:pPr>
        <w:spacing w:line="240" w:lineRule="auto"/>
        <w:ind w:firstLine="0"/>
        <w:jc w:val="left"/>
      </w:pPr>
    </w:p>
    <w:p w14:paraId="4A2D81EC" w14:textId="0004AA24" w:rsidR="004A7BE8" w:rsidRPr="00C116B3" w:rsidRDefault="004A7BE8" w:rsidP="004A7BE8">
      <w:pPr>
        <w:spacing w:line="240" w:lineRule="auto"/>
        <w:ind w:firstLine="0"/>
        <w:jc w:val="left"/>
        <w:rPr>
          <w:sz w:val="20"/>
          <w:szCs w:val="20"/>
        </w:rPr>
      </w:pPr>
      <w:r>
        <w:rPr>
          <w:sz w:val="20"/>
          <w:szCs w:val="20"/>
        </w:rPr>
        <w:t xml:space="preserve">Note: The </w:t>
      </w:r>
      <w:r w:rsidR="0039300F">
        <w:rPr>
          <w:sz w:val="20"/>
          <w:szCs w:val="20"/>
        </w:rPr>
        <w:t xml:space="preserve">results for the </w:t>
      </w:r>
      <w:r>
        <w:rPr>
          <w:sz w:val="20"/>
          <w:szCs w:val="20"/>
        </w:rPr>
        <w:t xml:space="preserve">main OBPP schools exclude 17 of the 225 elementary schools because they had problems with </w:t>
      </w:r>
      <w:r w:rsidR="0039300F">
        <w:rPr>
          <w:sz w:val="20"/>
          <w:szCs w:val="20"/>
        </w:rPr>
        <w:t>implementing</w:t>
      </w:r>
      <w:r>
        <w:rPr>
          <w:sz w:val="20"/>
          <w:szCs w:val="20"/>
        </w:rPr>
        <w:t xml:space="preserve"> the program during the implementation period. </w:t>
      </w:r>
    </w:p>
    <w:p w14:paraId="4EDE2788" w14:textId="77777777" w:rsidR="004A7BE8" w:rsidRDefault="004A7BE8" w:rsidP="004A7BE8">
      <w:pPr>
        <w:spacing w:line="240" w:lineRule="auto"/>
        <w:ind w:firstLine="0"/>
        <w:jc w:val="left"/>
      </w:pPr>
      <w:r>
        <w:br w:type="page"/>
      </w:r>
    </w:p>
    <w:p w14:paraId="3B9F5C5B" w14:textId="77777777" w:rsidR="004A7BE8" w:rsidRDefault="004A7BE8" w:rsidP="004A7BE8">
      <w:pPr>
        <w:spacing w:line="240" w:lineRule="auto"/>
        <w:ind w:firstLine="0"/>
        <w:jc w:val="left"/>
        <w:rPr>
          <w:sz w:val="20"/>
          <w:szCs w:val="20"/>
        </w:rPr>
      </w:pPr>
    </w:p>
    <w:p w14:paraId="6BA6E1A1" w14:textId="77777777" w:rsidR="004A7BE8" w:rsidRPr="00DA6A7E" w:rsidRDefault="004A7BE8" w:rsidP="004A7BE8">
      <w:pPr>
        <w:spacing w:line="240" w:lineRule="auto"/>
        <w:ind w:firstLine="0"/>
        <w:jc w:val="left"/>
        <w:rPr>
          <w:sz w:val="20"/>
          <w:szCs w:val="20"/>
        </w:rPr>
      </w:pPr>
      <w:r>
        <w:rPr>
          <w:noProof/>
          <w:sz w:val="20"/>
          <w:szCs w:val="20"/>
          <w:lang w:val="nb-NO" w:eastAsia="nb-NO"/>
        </w:rPr>
        <w:drawing>
          <wp:inline distT="0" distB="0" distL="0" distR="0" wp14:anchorId="7C3C470A" wp14:editId="2F7E49F0">
            <wp:extent cx="5743575" cy="2543175"/>
            <wp:effectExtent l="0" t="0" r="9525" b="9525"/>
            <wp:docPr id="7" name="Picture 7" descr="effect_by_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ffect_by_ab"/>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43575" cy="2543175"/>
                    </a:xfrm>
                    <a:prstGeom prst="rect">
                      <a:avLst/>
                    </a:prstGeom>
                    <a:noFill/>
                    <a:ln>
                      <a:noFill/>
                    </a:ln>
                  </pic:spPr>
                </pic:pic>
              </a:graphicData>
            </a:graphic>
          </wp:inline>
        </w:drawing>
      </w:r>
    </w:p>
    <w:p w14:paraId="7C2ABDC5" w14:textId="3FBE13E9" w:rsidR="004A7BE8" w:rsidRPr="00C52709" w:rsidRDefault="004A7BE8" w:rsidP="004A7BE8">
      <w:pPr>
        <w:spacing w:line="240" w:lineRule="auto"/>
        <w:ind w:firstLine="0"/>
        <w:jc w:val="left"/>
      </w:pPr>
      <w:r>
        <w:rPr>
          <w:b/>
        </w:rPr>
        <w:t xml:space="preserve">Appendix </w:t>
      </w:r>
      <w:r w:rsidRPr="00C52709">
        <w:rPr>
          <w:b/>
        </w:rPr>
        <w:t xml:space="preserve">Figure </w:t>
      </w:r>
      <w:r>
        <w:rPr>
          <w:b/>
        </w:rPr>
        <w:t>C1</w:t>
      </w:r>
      <w:r w:rsidR="00E2535B">
        <w:rPr>
          <w:b/>
        </w:rPr>
        <w:t>1</w:t>
      </w:r>
      <w:r w:rsidRPr="00C52709">
        <w:rPr>
          <w:b/>
        </w:rPr>
        <w:t>:</w:t>
      </w:r>
      <w:r w:rsidRPr="00C52709">
        <w:t xml:space="preserve"> Effect estimates by A-schools and B-schools with 95% CI. </w:t>
      </w:r>
    </w:p>
    <w:p w14:paraId="0EBF1825" w14:textId="77777777" w:rsidR="004A7BE8" w:rsidRDefault="004A7BE8" w:rsidP="004A7BE8">
      <w:pPr>
        <w:spacing w:line="240" w:lineRule="auto"/>
        <w:ind w:firstLine="0"/>
        <w:jc w:val="left"/>
        <w:rPr>
          <w:sz w:val="20"/>
          <w:szCs w:val="20"/>
        </w:rPr>
      </w:pPr>
    </w:p>
    <w:p w14:paraId="540DF45E" w14:textId="24619D7E" w:rsidR="004A7BE8" w:rsidRPr="00DA6A7E" w:rsidRDefault="004A7BE8" w:rsidP="004A7BE8">
      <w:pPr>
        <w:spacing w:line="240" w:lineRule="auto"/>
        <w:ind w:firstLine="0"/>
        <w:jc w:val="left"/>
        <w:rPr>
          <w:sz w:val="20"/>
          <w:szCs w:val="20"/>
        </w:rPr>
      </w:pPr>
      <w:r w:rsidRPr="00DA6A7E">
        <w:rPr>
          <w:sz w:val="20"/>
          <w:szCs w:val="20"/>
        </w:rPr>
        <w:t xml:space="preserve">Note: </w:t>
      </w:r>
      <w:r w:rsidR="002E67FE">
        <w:rPr>
          <w:sz w:val="20"/>
          <w:szCs w:val="20"/>
        </w:rPr>
        <w:t xml:space="preserve">See Appendix Figure C9 for pre-trend. </w:t>
      </w:r>
      <w:r w:rsidRPr="00DA6A7E">
        <w:rPr>
          <w:sz w:val="20"/>
          <w:szCs w:val="20"/>
        </w:rPr>
        <w:t xml:space="preserve">Outcome metrics: Standardized for examination grades. Observed share for </w:t>
      </w:r>
      <w:r>
        <w:rPr>
          <w:sz w:val="20"/>
          <w:szCs w:val="20"/>
        </w:rPr>
        <w:t>criminal charges</w:t>
      </w:r>
      <w:r w:rsidRPr="00DA6A7E" w:rsidDel="008119DB">
        <w:rPr>
          <w:sz w:val="20"/>
          <w:szCs w:val="20"/>
        </w:rPr>
        <w:t xml:space="preserve"> </w:t>
      </w:r>
      <w:r w:rsidRPr="00DA6A7E">
        <w:rPr>
          <w:sz w:val="20"/>
          <w:szCs w:val="20"/>
        </w:rPr>
        <w:t>and completion of upper secondary education.</w:t>
      </w:r>
    </w:p>
    <w:p w14:paraId="3664AB71" w14:textId="77777777" w:rsidR="004A7BE8" w:rsidRDefault="004A7BE8" w:rsidP="004A7BE8">
      <w:pPr>
        <w:widowControl/>
        <w:spacing w:line="240" w:lineRule="auto"/>
        <w:ind w:firstLine="0"/>
        <w:jc w:val="left"/>
        <w:rPr>
          <w:rFonts w:eastAsia="Times New Roman"/>
          <w:b/>
          <w:sz w:val="26"/>
          <w:szCs w:val="32"/>
        </w:rPr>
      </w:pPr>
      <w:r>
        <w:br w:type="page"/>
      </w:r>
    </w:p>
    <w:p w14:paraId="4F11DA1A" w14:textId="77777777" w:rsidR="004A7BE8" w:rsidRPr="00DA6A7E" w:rsidRDefault="004A7BE8" w:rsidP="004A7BE8">
      <w:pPr>
        <w:spacing w:line="240" w:lineRule="auto"/>
        <w:ind w:firstLine="0"/>
        <w:jc w:val="left"/>
        <w:rPr>
          <w:sz w:val="20"/>
          <w:szCs w:val="20"/>
        </w:rPr>
      </w:pPr>
      <w:r>
        <w:rPr>
          <w:noProof/>
          <w:sz w:val="20"/>
          <w:szCs w:val="20"/>
          <w:lang w:val="nb-NO" w:eastAsia="nb-NO"/>
        </w:rPr>
        <w:lastRenderedPageBreak/>
        <w:drawing>
          <wp:inline distT="0" distB="0" distL="0" distR="0" wp14:anchorId="1AE7470B" wp14:editId="359D3615">
            <wp:extent cx="5743575" cy="2543175"/>
            <wp:effectExtent l="0" t="0" r="9525" b="9525"/>
            <wp:docPr id="6" name="Picture 6" descr="log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i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3575" cy="2543175"/>
                    </a:xfrm>
                    <a:prstGeom prst="rect">
                      <a:avLst/>
                    </a:prstGeom>
                    <a:noFill/>
                    <a:ln>
                      <a:noFill/>
                    </a:ln>
                  </pic:spPr>
                </pic:pic>
              </a:graphicData>
            </a:graphic>
          </wp:inline>
        </w:drawing>
      </w:r>
    </w:p>
    <w:p w14:paraId="7AE8FF4B" w14:textId="7A0E9813" w:rsidR="004A7BE8" w:rsidRPr="00C52709" w:rsidRDefault="004A7BE8" w:rsidP="004A7BE8">
      <w:pPr>
        <w:spacing w:line="240" w:lineRule="auto"/>
        <w:ind w:firstLine="0"/>
        <w:jc w:val="left"/>
      </w:pPr>
      <w:r>
        <w:rPr>
          <w:b/>
        </w:rPr>
        <w:t xml:space="preserve">Appendix </w:t>
      </w:r>
      <w:r w:rsidRPr="00C52709">
        <w:rPr>
          <w:b/>
        </w:rPr>
        <w:t xml:space="preserve">Figure </w:t>
      </w:r>
      <w:r>
        <w:rPr>
          <w:b/>
        </w:rPr>
        <w:t>C1</w:t>
      </w:r>
      <w:r w:rsidR="00E2535B">
        <w:rPr>
          <w:b/>
        </w:rPr>
        <w:t>2</w:t>
      </w:r>
      <w:r w:rsidRPr="00C52709">
        <w:rPr>
          <w:b/>
        </w:rPr>
        <w:t>:</w:t>
      </w:r>
      <w:r w:rsidRPr="00C52709">
        <w:t xml:space="preserve"> </w:t>
      </w:r>
      <w:r>
        <w:t xml:space="preserve">Average marginal effects from unconditional fixed effects logistic regressions with </w:t>
      </w:r>
      <w:r w:rsidRPr="00C52709">
        <w:t xml:space="preserve">95% CI. </w:t>
      </w:r>
    </w:p>
    <w:p w14:paraId="5796D702" w14:textId="77777777" w:rsidR="004A7BE8" w:rsidRDefault="004A7BE8" w:rsidP="004A7BE8">
      <w:pPr>
        <w:spacing w:line="240" w:lineRule="auto"/>
        <w:ind w:firstLine="0"/>
        <w:jc w:val="left"/>
        <w:rPr>
          <w:sz w:val="20"/>
          <w:szCs w:val="20"/>
        </w:rPr>
      </w:pPr>
    </w:p>
    <w:p w14:paraId="50C33DD2" w14:textId="77777777" w:rsidR="004A7BE8" w:rsidRPr="00DA6A7E" w:rsidRDefault="004A7BE8" w:rsidP="004A7BE8">
      <w:pPr>
        <w:spacing w:line="240" w:lineRule="auto"/>
        <w:ind w:firstLine="0"/>
        <w:jc w:val="left"/>
        <w:rPr>
          <w:sz w:val="20"/>
          <w:szCs w:val="20"/>
        </w:rPr>
      </w:pPr>
      <w:r w:rsidRPr="00DA6A7E">
        <w:rPr>
          <w:sz w:val="20"/>
          <w:szCs w:val="20"/>
        </w:rPr>
        <w:t xml:space="preserve">Note: Outcome metrics: Observed share for </w:t>
      </w:r>
      <w:r>
        <w:rPr>
          <w:sz w:val="20"/>
          <w:szCs w:val="20"/>
        </w:rPr>
        <w:t>criminal charges</w:t>
      </w:r>
      <w:r w:rsidRPr="00DA6A7E" w:rsidDel="008119DB">
        <w:rPr>
          <w:sz w:val="20"/>
          <w:szCs w:val="20"/>
        </w:rPr>
        <w:t xml:space="preserve"> </w:t>
      </w:r>
      <w:r w:rsidRPr="00DA6A7E">
        <w:rPr>
          <w:sz w:val="20"/>
          <w:szCs w:val="20"/>
        </w:rPr>
        <w:t>and completion of upper secondary education.</w:t>
      </w:r>
    </w:p>
    <w:p w14:paraId="6D276FD0" w14:textId="77777777" w:rsidR="004A7BE8" w:rsidRDefault="004A7BE8" w:rsidP="004A7BE8">
      <w:pPr>
        <w:widowControl/>
        <w:spacing w:line="240" w:lineRule="auto"/>
        <w:ind w:firstLine="0"/>
        <w:jc w:val="left"/>
        <w:rPr>
          <w:rFonts w:eastAsia="Times New Roman"/>
          <w:b/>
          <w:sz w:val="26"/>
          <w:szCs w:val="32"/>
        </w:rPr>
      </w:pPr>
      <w:r>
        <w:br w:type="page"/>
      </w:r>
    </w:p>
    <w:p w14:paraId="1CF96631" w14:textId="77777777" w:rsidR="004A7BE8" w:rsidRDefault="004A7BE8" w:rsidP="004A7BE8">
      <w:pPr>
        <w:pStyle w:val="Heading1"/>
      </w:pPr>
      <w:r>
        <w:lastRenderedPageBreak/>
        <w:t>Online Appendix D: Matched DiD</w:t>
      </w:r>
    </w:p>
    <w:p w14:paraId="26D2215F" w14:textId="41337640" w:rsidR="004A7BE8" w:rsidRDefault="004A7BE8" w:rsidP="004A7BE8">
      <w:pPr>
        <w:ind w:firstLine="0"/>
      </w:pPr>
      <w:r>
        <w:t xml:space="preserve">To identify program effects in the </w:t>
      </w:r>
      <w:proofErr w:type="gramStart"/>
      <w:r>
        <w:t>DiD</w:t>
      </w:r>
      <w:proofErr w:type="gramEnd"/>
      <w:r>
        <w:t xml:space="preserve"> setup, we need a group of comparison schools that serve as a counterfactual for what the development over time would have been had the treatment schools not implemented the OBPP program. In cases when the common trends assumption is not met, matching on pre-intervention levels may reduce bias </w:t>
      </w:r>
      <w:r>
        <w:fldChar w:fldCharType="begin"/>
      </w:r>
      <w:r w:rsidR="00403075">
        <w:instrText xml:space="preserve"> ADDIN EN.CITE &lt;EndNote&gt;&lt;Cite&gt;&lt;Author&gt;Ryan&lt;/Author&gt;&lt;Year&gt;2018&lt;/Year&gt;&lt;RecNum&gt;1072&lt;/RecNum&gt;&lt;DisplayText&gt;(Ryan 2018; Ryan, Burgess Jr., and Dimick 2015)&lt;/DisplayText&gt;&lt;record&gt;&lt;rec-number&gt;1072&lt;/rec-number&gt;&lt;foreign-keys&gt;&lt;key app="EN" db-id="ve90ps2agaxfw8essaxvaes9x0wpwafdp0zt" timestamp="1576487151"&gt;1072&lt;/key&gt;&lt;/foreign-keys&gt;&lt;ref-type name="Journal Article"&gt;17&lt;/ref-type&gt;&lt;contributors&gt;&lt;authors&gt;&lt;author&gt;Ryan, Andrew M.&lt;/author&gt;&lt;/authors&gt;&lt;/contributors&gt;&lt;titles&gt;&lt;title&gt;Well-Balanced or too Matchy–Matchy? The Controversy over Matching in Difference-in-Differences&lt;/title&gt;&lt;secondary-title&gt;Health Services Research&lt;/secondary-title&gt;&lt;/titles&gt;&lt;periodical&gt;&lt;full-title&gt;Health Services Research&lt;/full-title&gt;&lt;/periodical&gt;&lt;pages&gt;4106-4110&lt;/pages&gt;&lt;volume&gt;53&lt;/volume&gt;&lt;number&gt;6&lt;/number&gt;&lt;dates&gt;&lt;year&gt;2018&lt;/year&gt;&lt;/dates&gt;&lt;isbn&gt;0017-9124&lt;/isbn&gt;&lt;urls&gt;&lt;related-urls&gt;&lt;url&gt;https://onlinelibrary.wiley.com/doi/abs/10.1111/1475-6773.13015&lt;/url&gt;&lt;/related-urls&gt;&lt;/urls&gt;&lt;electronic-resource-num&gt;10.1111/1475-6773.13015&lt;/electronic-resource-num&gt;&lt;/record&gt;&lt;/Cite&gt;&lt;Cite&gt;&lt;Author&gt;Ryan&lt;/Author&gt;&lt;Year&gt;2015&lt;/Year&gt;&lt;RecNum&gt;1073&lt;/RecNum&gt;&lt;record&gt;&lt;rec-number&gt;1073&lt;/rec-number&gt;&lt;foreign-keys&gt;&lt;key app="EN" db-id="ve90ps2agaxfw8essaxvaes9x0wpwafdp0zt" timestamp="1576487240"&gt;1073&lt;/key&gt;&lt;/foreign-keys&gt;&lt;ref-type name="Journal Article"&gt;17&lt;/ref-type&gt;&lt;contributors&gt;&lt;authors&gt;&lt;author&gt;Ryan, Andrew M.&lt;/author&gt;&lt;author&gt;Burgess Jr., James F.&lt;/author&gt;&lt;author&gt;Dimick, Justin B.&lt;/author&gt;&lt;/authors&gt;&lt;/contributors&gt;&lt;titles&gt;&lt;title&gt;Why We Should Not Be Indifferent to Specification Choices for Difference-in-Differences&lt;/title&gt;&lt;secondary-title&gt;Health Services Research&lt;/secondary-title&gt;&lt;/titles&gt;&lt;periodical&gt;&lt;full-title&gt;Health Services Research&lt;/full-title&gt;&lt;/periodical&gt;&lt;pages&gt;1211-1235&lt;/pages&gt;&lt;volume&gt;50&lt;/volume&gt;&lt;number&gt;4&lt;/number&gt;&lt;dates&gt;&lt;year&gt;2015&lt;/year&gt;&lt;/dates&gt;&lt;isbn&gt;0017-9124&lt;/isbn&gt;&lt;urls&gt;&lt;/urls&gt;&lt;/record&gt;&lt;/Cite&gt;&lt;/EndNote&gt;</w:instrText>
      </w:r>
      <w:r>
        <w:fldChar w:fldCharType="separate"/>
      </w:r>
      <w:r w:rsidR="00403075">
        <w:rPr>
          <w:noProof/>
        </w:rPr>
        <w:t>(Ryan 2018; Ryan, Burgess Jr., and Dimick 2015)</w:t>
      </w:r>
      <w:r>
        <w:fldChar w:fldCharType="end"/>
      </w:r>
      <w:r>
        <w:t xml:space="preserve">. However, in cases where the common trends assumption does indeed hold, such matching may introduce bias because of regression to the mean </w:t>
      </w:r>
      <w:r>
        <w:fldChar w:fldCharType="begin"/>
      </w:r>
      <w:r w:rsidR="00403075">
        <w:instrText xml:space="preserve"> ADDIN EN.CITE &lt;EndNote&gt;&lt;Cite&gt;&lt;Author&gt;Daw&lt;/Author&gt;&lt;Year&gt;2018&lt;/Year&gt;&lt;RecNum&gt;1074&lt;/RecNum&gt;&lt;DisplayText&gt;(Daw and Hatfield 2018a)&lt;/DisplayText&gt;&lt;record&gt;&lt;rec-number&gt;1074&lt;/rec-number&gt;&lt;foreign-keys&gt;&lt;key app="EN" db-id="ve90ps2agaxfw8essaxvaes9x0wpwafdp0zt" timestamp="1576487878"&gt;1074&lt;/key&gt;&lt;/foreign-keys&gt;&lt;ref-type name="Journal Article"&gt;17&lt;/ref-type&gt;&lt;contributors&gt;&lt;authors&gt;&lt;author&gt;Daw, Jamie R.&lt;/author&gt;&lt;author&gt;Hatfield, Laura A.&lt;/author&gt;&lt;/authors&gt;&lt;/contributors&gt;&lt;titles&gt;&lt;title&gt;Matching and Regression to the Mean in Difference-in-Differences Analysis&lt;/title&gt;&lt;secondary-title&gt;Health Services Research&lt;/secondary-title&gt;&lt;/titles&gt;&lt;periodical&gt;&lt;full-title&gt;Health Services Research&lt;/full-title&gt;&lt;/periodical&gt;&lt;pages&gt;4138-4156&lt;/pages&gt;&lt;volume&gt;53&lt;/volume&gt;&lt;number&gt;6&lt;/number&gt;&lt;dates&gt;&lt;year&gt;2018&lt;/year&gt;&lt;/dates&gt;&lt;isbn&gt;0017-9124&lt;/isbn&gt;&lt;urls&gt;&lt;/urls&gt;&lt;/record&gt;&lt;/Cite&gt;&lt;/EndNote&gt;</w:instrText>
      </w:r>
      <w:r>
        <w:fldChar w:fldCharType="separate"/>
      </w:r>
      <w:r w:rsidR="00403075">
        <w:rPr>
          <w:noProof/>
        </w:rPr>
        <w:t>(Daw and Hatfield 2018a)</w:t>
      </w:r>
      <w:r>
        <w:fldChar w:fldCharType="end"/>
      </w:r>
      <w:r>
        <w:t xml:space="preserve">. Thus, one should primarily use matched DiD when there are reasons to expect that all untreated cases constitute poor counterfactuals </w:t>
      </w:r>
      <w:r>
        <w:fldChar w:fldCharType="begin"/>
      </w:r>
      <w:r w:rsidR="00403075">
        <w:instrText xml:space="preserve"> ADDIN EN.CITE &lt;EndNote&gt;&lt;Cite&gt;&lt;Author&gt;Daw&lt;/Author&gt;&lt;Year&gt;2018&lt;/Year&gt;&lt;RecNum&gt;1075&lt;/RecNum&gt;&lt;DisplayText&gt;(Daw and Hatfield 2018b; Ryan 2018)&lt;/DisplayText&gt;&lt;record&gt;&lt;rec-number&gt;1075&lt;/rec-number&gt;&lt;foreign-keys&gt;&lt;key app="EN" db-id="ve90ps2agaxfw8essaxvaes9x0wpwafdp0zt" timestamp="1576487914"&gt;1075&lt;/key&gt;&lt;/foreign-keys&gt;&lt;ref-type name="Journal Article"&gt;17&lt;/ref-type&gt;&lt;contributors&gt;&lt;authors&gt;&lt;author&gt;Daw, Jamie R.&lt;/author&gt;&lt;author&gt;Hatfield, Laura A.&lt;/author&gt;&lt;/authors&gt;&lt;/contributors&gt;&lt;titles&gt;&lt;title&gt;Matching in Difference-in-Differences: between a Rock and a Hard Place&lt;/title&gt;&lt;secondary-title&gt;Health Services Research&lt;/secondary-title&gt;&lt;/titles&gt;&lt;periodical&gt;&lt;full-title&gt;Health Services Research&lt;/full-title&gt;&lt;/periodical&gt;&lt;pages&gt;4111-4117&lt;/pages&gt;&lt;volume&gt;53&lt;/volume&gt;&lt;number&gt;6&lt;/number&gt;&lt;dates&gt;&lt;year&gt;2018&lt;/year&gt;&lt;/dates&gt;&lt;isbn&gt;0017-9124&lt;/isbn&gt;&lt;urls&gt;&lt;/urls&gt;&lt;/record&gt;&lt;/Cite&gt;&lt;Cite&gt;&lt;Author&gt;Ryan&lt;/Author&gt;&lt;Year&gt;2018&lt;/Year&gt;&lt;RecNum&gt;1072&lt;/RecNum&gt;&lt;record&gt;&lt;rec-number&gt;1072&lt;/rec-number&gt;&lt;foreign-keys&gt;&lt;key app="EN" db-id="ve90ps2agaxfw8essaxvaes9x0wpwafdp0zt" timestamp="1576487151"&gt;1072&lt;/key&gt;&lt;/foreign-keys&gt;&lt;ref-type name="Journal Article"&gt;17&lt;/ref-type&gt;&lt;contributors&gt;&lt;authors&gt;&lt;author&gt;Ryan, Andrew M.&lt;/author&gt;&lt;/authors&gt;&lt;/contributors&gt;&lt;titles&gt;&lt;title&gt;Well-Balanced or too Matchy–Matchy? The Controversy over Matching in Difference-in-Differences&lt;/title&gt;&lt;secondary-title&gt;Health Services Research&lt;/secondary-title&gt;&lt;/titles&gt;&lt;periodical&gt;&lt;full-title&gt;Health Services Research&lt;/full-title&gt;&lt;/periodical&gt;&lt;pages&gt;4106-4110&lt;/pages&gt;&lt;volume&gt;53&lt;/volume&gt;&lt;number&gt;6&lt;/number&gt;&lt;dates&gt;&lt;year&gt;2018&lt;/year&gt;&lt;/dates&gt;&lt;isbn&gt;0017-9124&lt;/isbn&gt;&lt;urls&gt;&lt;related-urls&gt;&lt;url&gt;https://onlinelibrary.wiley.com/doi/abs/10.1111/1475-6773.13015&lt;/url&gt;&lt;/related-urls&gt;&lt;/urls&gt;&lt;electronic-resource-num&gt;10.1111/1475-6773.13015&lt;/electronic-resource-num&gt;&lt;/record&gt;&lt;/Cite&gt;&lt;/EndNote&gt;</w:instrText>
      </w:r>
      <w:r>
        <w:fldChar w:fldCharType="separate"/>
      </w:r>
      <w:r w:rsidR="00403075">
        <w:rPr>
          <w:noProof/>
        </w:rPr>
        <w:t>(Daw and Hatfield 2018b; Ryan 2018)</w:t>
      </w:r>
      <w:r>
        <w:fldChar w:fldCharType="end"/>
      </w:r>
      <w:r>
        <w:t>.</w:t>
      </w:r>
    </w:p>
    <w:p w14:paraId="6656FC7F" w14:textId="77777777" w:rsidR="004A7BE8" w:rsidRDefault="004A7BE8" w:rsidP="004A7BE8">
      <w:pPr>
        <w:ind w:firstLine="0"/>
      </w:pPr>
    </w:p>
    <w:p w14:paraId="32217CD0" w14:textId="5819DB2F" w:rsidR="004A7BE8" w:rsidRPr="00C52709" w:rsidRDefault="004A7BE8" w:rsidP="004A7BE8">
      <w:pPr>
        <w:keepNext/>
        <w:autoSpaceDE w:val="0"/>
        <w:autoSpaceDN w:val="0"/>
        <w:adjustRightInd w:val="0"/>
        <w:spacing w:line="240" w:lineRule="auto"/>
        <w:ind w:firstLine="0"/>
        <w:jc w:val="left"/>
        <w:rPr>
          <w:rFonts w:eastAsia="Times New Roman"/>
        </w:rPr>
      </w:pPr>
      <w:r>
        <w:rPr>
          <w:rFonts w:eastAsia="Times New Roman"/>
          <w:b/>
        </w:rPr>
        <w:t xml:space="preserve">Appendix </w:t>
      </w:r>
      <w:r w:rsidRPr="00C52709">
        <w:rPr>
          <w:rFonts w:eastAsia="Times New Roman"/>
          <w:b/>
        </w:rPr>
        <w:t>Table</w:t>
      </w:r>
      <w:r>
        <w:rPr>
          <w:rFonts w:eastAsia="Times New Roman"/>
          <w:b/>
        </w:rPr>
        <w:t xml:space="preserve"> D1</w:t>
      </w:r>
      <w:r w:rsidRPr="00C52709">
        <w:rPr>
          <w:rFonts w:eastAsia="Times New Roman"/>
          <w:b/>
        </w:rPr>
        <w:t>:</w:t>
      </w:r>
      <w:r w:rsidRPr="00C52709">
        <w:rPr>
          <w:rFonts w:eastAsia="Times New Roman"/>
        </w:rPr>
        <w:t xml:space="preserve"> Pre-intervention differences between schools that implement OBPP and control schools. Only pre-intervention cohorts </w:t>
      </w:r>
      <w:r w:rsidR="0039300F">
        <w:rPr>
          <w:rFonts w:eastAsia="Times New Roman"/>
        </w:rPr>
        <w:t xml:space="preserve">were </w:t>
      </w:r>
      <w:r w:rsidRPr="00C52709">
        <w:rPr>
          <w:rFonts w:eastAsia="Times New Roman"/>
        </w:rPr>
        <w:t>included (born 1986-1988).</w:t>
      </w:r>
    </w:p>
    <w:tbl>
      <w:tblPr>
        <w:tblW w:w="0" w:type="auto"/>
        <w:tblLook w:val="0000" w:firstRow="0" w:lastRow="0" w:firstColumn="0" w:lastColumn="0" w:noHBand="0" w:noVBand="0"/>
      </w:tblPr>
      <w:tblGrid>
        <w:gridCol w:w="2960"/>
        <w:gridCol w:w="900"/>
        <w:gridCol w:w="900"/>
      </w:tblGrid>
      <w:tr w:rsidR="004A7BE8" w:rsidRPr="00DA6A7E" w14:paraId="4D8540DC" w14:textId="77777777" w:rsidTr="008A3C4C">
        <w:tc>
          <w:tcPr>
            <w:tcW w:w="0" w:type="auto"/>
            <w:tcBorders>
              <w:top w:val="single" w:sz="4" w:space="0" w:color="auto"/>
              <w:left w:val="nil"/>
              <w:bottom w:val="single" w:sz="4" w:space="0" w:color="auto"/>
              <w:right w:val="nil"/>
            </w:tcBorders>
          </w:tcPr>
          <w:p w14:paraId="49BE07E3"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single" w:sz="4" w:space="0" w:color="auto"/>
              <w:left w:val="nil"/>
              <w:bottom w:val="single" w:sz="4" w:space="0" w:color="auto"/>
              <w:right w:val="nil"/>
            </w:tcBorders>
          </w:tcPr>
          <w:p w14:paraId="1A415E8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(1)</w:t>
            </w:r>
          </w:p>
        </w:tc>
        <w:tc>
          <w:tcPr>
            <w:tcW w:w="0" w:type="auto"/>
            <w:tcBorders>
              <w:top w:val="single" w:sz="4" w:space="0" w:color="auto"/>
              <w:left w:val="nil"/>
              <w:bottom w:val="single" w:sz="4" w:space="0" w:color="auto"/>
              <w:right w:val="nil"/>
            </w:tcBorders>
          </w:tcPr>
          <w:p w14:paraId="58D3B9A1"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(2)</w:t>
            </w:r>
          </w:p>
        </w:tc>
      </w:tr>
      <w:tr w:rsidR="004A7BE8" w:rsidRPr="00DA6A7E" w14:paraId="039F9AA0" w14:textId="77777777" w:rsidTr="008A3C4C">
        <w:tc>
          <w:tcPr>
            <w:tcW w:w="0" w:type="auto"/>
            <w:tcBorders>
              <w:top w:val="single" w:sz="4" w:space="0" w:color="auto"/>
              <w:left w:val="nil"/>
              <w:bottom w:val="nil"/>
              <w:right w:val="nil"/>
            </w:tcBorders>
          </w:tcPr>
          <w:p w14:paraId="0C161CEE"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single" w:sz="4" w:space="0" w:color="auto"/>
              <w:left w:val="nil"/>
              <w:bottom w:val="nil"/>
              <w:right w:val="nil"/>
            </w:tcBorders>
          </w:tcPr>
          <w:p w14:paraId="4760843E"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single" w:sz="4" w:space="0" w:color="auto"/>
              <w:left w:val="nil"/>
              <w:bottom w:val="nil"/>
              <w:right w:val="nil"/>
            </w:tcBorders>
          </w:tcPr>
          <w:p w14:paraId="5CBE17B0"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73DA7517" w14:textId="77777777" w:rsidTr="008A3C4C">
        <w:tc>
          <w:tcPr>
            <w:tcW w:w="0" w:type="auto"/>
            <w:tcBorders>
              <w:top w:val="nil"/>
              <w:left w:val="nil"/>
              <w:right w:val="nil"/>
            </w:tcBorders>
          </w:tcPr>
          <w:p w14:paraId="1CFB9DE1" w14:textId="77777777" w:rsidR="004A7BE8" w:rsidRPr="00DA6A7E" w:rsidRDefault="004A7BE8" w:rsidP="008A3C4C">
            <w:pPr>
              <w:autoSpaceDE w:val="0"/>
              <w:autoSpaceDN w:val="0"/>
              <w:adjustRightInd w:val="0"/>
              <w:spacing w:line="240" w:lineRule="auto"/>
              <w:ind w:firstLine="0"/>
              <w:jc w:val="left"/>
              <w:rPr>
                <w:rFonts w:eastAsia="Times New Roman"/>
                <w:b/>
                <w:sz w:val="20"/>
                <w:szCs w:val="20"/>
              </w:rPr>
            </w:pPr>
            <w:r w:rsidRPr="00DA6A7E">
              <w:rPr>
                <w:rFonts w:eastAsia="Times New Roman"/>
                <w:b/>
                <w:sz w:val="20"/>
                <w:szCs w:val="20"/>
              </w:rPr>
              <w:t>Panel I: Outcome variables</w:t>
            </w:r>
          </w:p>
        </w:tc>
        <w:tc>
          <w:tcPr>
            <w:tcW w:w="0" w:type="auto"/>
            <w:tcBorders>
              <w:top w:val="nil"/>
              <w:left w:val="nil"/>
              <w:right w:val="nil"/>
            </w:tcBorders>
          </w:tcPr>
          <w:p w14:paraId="7BE48B97"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right w:val="nil"/>
            </w:tcBorders>
          </w:tcPr>
          <w:p w14:paraId="09CC0B4E"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033AC47B" w14:textId="77777777" w:rsidTr="008A3C4C">
        <w:tc>
          <w:tcPr>
            <w:tcW w:w="0" w:type="auto"/>
            <w:tcBorders>
              <w:top w:val="nil"/>
              <w:left w:val="nil"/>
              <w:right w:val="nil"/>
            </w:tcBorders>
          </w:tcPr>
          <w:p w14:paraId="1ECAF7AE"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right w:val="nil"/>
            </w:tcBorders>
          </w:tcPr>
          <w:p w14:paraId="6B8C9FA8"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right w:val="nil"/>
            </w:tcBorders>
          </w:tcPr>
          <w:p w14:paraId="0CD5DAE2"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577ADDC8" w14:textId="77777777" w:rsidTr="008A3C4C">
        <w:tc>
          <w:tcPr>
            <w:tcW w:w="0" w:type="auto"/>
            <w:tcBorders>
              <w:left w:val="nil"/>
              <w:bottom w:val="nil"/>
              <w:right w:val="nil"/>
            </w:tcBorders>
          </w:tcPr>
          <w:p w14:paraId="009054E4"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Complete</w:t>
            </w:r>
            <w:r>
              <w:rPr>
                <w:rFonts w:eastAsia="Times New Roman"/>
                <w:sz w:val="20"/>
                <w:szCs w:val="20"/>
              </w:rPr>
              <w:t>d</w:t>
            </w:r>
            <w:r w:rsidRPr="00DA6A7E">
              <w:rPr>
                <w:rFonts w:eastAsia="Times New Roman"/>
                <w:sz w:val="20"/>
                <w:szCs w:val="20"/>
              </w:rPr>
              <w:t xml:space="preserve"> upp. sec. educ. (by 21)</w:t>
            </w:r>
          </w:p>
        </w:tc>
        <w:tc>
          <w:tcPr>
            <w:tcW w:w="0" w:type="auto"/>
            <w:tcBorders>
              <w:left w:val="nil"/>
              <w:bottom w:val="nil"/>
              <w:right w:val="nil"/>
            </w:tcBorders>
          </w:tcPr>
          <w:p w14:paraId="3C1556C5"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0.0116</w:t>
            </w:r>
          </w:p>
        </w:tc>
        <w:tc>
          <w:tcPr>
            <w:tcW w:w="0" w:type="auto"/>
            <w:tcBorders>
              <w:left w:val="nil"/>
              <w:bottom w:val="nil"/>
              <w:right w:val="nil"/>
            </w:tcBorders>
          </w:tcPr>
          <w:p w14:paraId="19AE86EC"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0.0012</w:t>
            </w:r>
          </w:p>
        </w:tc>
      </w:tr>
      <w:tr w:rsidR="004A7BE8" w:rsidRPr="00DA6A7E" w14:paraId="10906256" w14:textId="77777777" w:rsidTr="008A3C4C">
        <w:tc>
          <w:tcPr>
            <w:tcW w:w="0" w:type="auto"/>
            <w:tcBorders>
              <w:top w:val="nil"/>
              <w:left w:val="nil"/>
              <w:bottom w:val="nil"/>
              <w:right w:val="nil"/>
            </w:tcBorders>
          </w:tcPr>
          <w:p w14:paraId="1F9B1787"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bottom w:val="nil"/>
              <w:right w:val="nil"/>
            </w:tcBorders>
          </w:tcPr>
          <w:p w14:paraId="1BE24FAA"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(0.0077)</w:t>
            </w:r>
          </w:p>
        </w:tc>
        <w:tc>
          <w:tcPr>
            <w:tcW w:w="0" w:type="auto"/>
            <w:tcBorders>
              <w:top w:val="nil"/>
              <w:left w:val="nil"/>
              <w:bottom w:val="nil"/>
              <w:right w:val="nil"/>
            </w:tcBorders>
          </w:tcPr>
          <w:p w14:paraId="5416FA62"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(0.0052)</w:t>
            </w:r>
          </w:p>
        </w:tc>
      </w:tr>
      <w:tr w:rsidR="004A7BE8" w:rsidRPr="00DA6A7E" w14:paraId="5B66D2E6" w14:textId="77777777" w:rsidTr="008A3C4C">
        <w:tc>
          <w:tcPr>
            <w:tcW w:w="0" w:type="auto"/>
            <w:tcBorders>
              <w:top w:val="nil"/>
              <w:left w:val="nil"/>
              <w:bottom w:val="nil"/>
              <w:right w:val="nil"/>
            </w:tcBorders>
          </w:tcPr>
          <w:p w14:paraId="0E1943D4"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Examination grades</w:t>
            </w:r>
          </w:p>
        </w:tc>
        <w:tc>
          <w:tcPr>
            <w:tcW w:w="0" w:type="auto"/>
            <w:tcBorders>
              <w:top w:val="nil"/>
              <w:left w:val="nil"/>
              <w:bottom w:val="nil"/>
              <w:right w:val="nil"/>
            </w:tcBorders>
          </w:tcPr>
          <w:p w14:paraId="7A4BD389"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0.0461</w:t>
            </w:r>
            <w:r w:rsidRPr="00DA6A7E">
              <w:rPr>
                <w:sz w:val="20"/>
                <w:szCs w:val="20"/>
                <w:vertAlign w:val="superscript"/>
              </w:rPr>
              <w:t>*</w:t>
            </w:r>
          </w:p>
        </w:tc>
        <w:tc>
          <w:tcPr>
            <w:tcW w:w="0" w:type="auto"/>
            <w:tcBorders>
              <w:top w:val="nil"/>
              <w:left w:val="nil"/>
              <w:bottom w:val="nil"/>
              <w:right w:val="nil"/>
            </w:tcBorders>
          </w:tcPr>
          <w:p w14:paraId="49FF1F76"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0.0143</w:t>
            </w:r>
          </w:p>
        </w:tc>
      </w:tr>
      <w:tr w:rsidR="004A7BE8" w:rsidRPr="00DA6A7E" w14:paraId="60A733E4" w14:textId="77777777" w:rsidTr="008A3C4C">
        <w:tc>
          <w:tcPr>
            <w:tcW w:w="0" w:type="auto"/>
            <w:tcBorders>
              <w:top w:val="nil"/>
              <w:left w:val="nil"/>
              <w:bottom w:val="nil"/>
              <w:right w:val="nil"/>
            </w:tcBorders>
          </w:tcPr>
          <w:p w14:paraId="12B5A403"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bottom w:val="nil"/>
              <w:right w:val="nil"/>
            </w:tcBorders>
          </w:tcPr>
          <w:p w14:paraId="5D61D47D"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(0.0210)</w:t>
            </w:r>
          </w:p>
        </w:tc>
        <w:tc>
          <w:tcPr>
            <w:tcW w:w="0" w:type="auto"/>
            <w:tcBorders>
              <w:top w:val="nil"/>
              <w:left w:val="nil"/>
              <w:bottom w:val="nil"/>
              <w:right w:val="nil"/>
            </w:tcBorders>
          </w:tcPr>
          <w:p w14:paraId="0D21B19B"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(0.0120)</w:t>
            </w:r>
          </w:p>
        </w:tc>
      </w:tr>
      <w:tr w:rsidR="004A7BE8" w:rsidRPr="00DA6A7E" w14:paraId="0554C5DA" w14:textId="77777777" w:rsidTr="008A3C4C">
        <w:tc>
          <w:tcPr>
            <w:tcW w:w="0" w:type="auto"/>
            <w:tcBorders>
              <w:top w:val="nil"/>
              <w:left w:val="nil"/>
              <w:bottom w:val="nil"/>
              <w:right w:val="nil"/>
            </w:tcBorders>
          </w:tcPr>
          <w:p w14:paraId="097E8E98"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 xml:space="preserve">Charged (by </w:t>
            </w:r>
            <w:r>
              <w:rPr>
                <w:rFonts w:eastAsia="Times New Roman"/>
                <w:sz w:val="20"/>
                <w:szCs w:val="20"/>
              </w:rPr>
              <w:t>20</w:t>
            </w:r>
            <w:r w:rsidRPr="00DA6A7E">
              <w:rPr>
                <w:rFonts w:eastAsia="Times New Roman"/>
                <w:sz w:val="20"/>
                <w:szCs w:val="20"/>
              </w:rPr>
              <w:t>)</w:t>
            </w:r>
          </w:p>
        </w:tc>
        <w:tc>
          <w:tcPr>
            <w:tcW w:w="0" w:type="auto"/>
            <w:tcBorders>
              <w:top w:val="nil"/>
              <w:left w:val="nil"/>
              <w:bottom w:val="nil"/>
              <w:right w:val="nil"/>
            </w:tcBorders>
          </w:tcPr>
          <w:p w14:paraId="57310BC0"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066353">
              <w:rPr>
                <w:sz w:val="20"/>
                <w:szCs w:val="20"/>
              </w:rPr>
              <w:t>-0.0040</w:t>
            </w:r>
          </w:p>
        </w:tc>
        <w:tc>
          <w:tcPr>
            <w:tcW w:w="0" w:type="auto"/>
            <w:tcBorders>
              <w:top w:val="nil"/>
              <w:left w:val="nil"/>
              <w:bottom w:val="nil"/>
              <w:right w:val="nil"/>
            </w:tcBorders>
          </w:tcPr>
          <w:p w14:paraId="0F9C96E0"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066353">
              <w:rPr>
                <w:sz w:val="20"/>
                <w:szCs w:val="20"/>
              </w:rPr>
              <w:t>-0.0005</w:t>
            </w:r>
          </w:p>
        </w:tc>
      </w:tr>
      <w:tr w:rsidR="004A7BE8" w:rsidRPr="00DA6A7E" w14:paraId="564EBF6F" w14:textId="77777777" w:rsidTr="008A3C4C">
        <w:tc>
          <w:tcPr>
            <w:tcW w:w="0" w:type="auto"/>
            <w:tcBorders>
              <w:top w:val="nil"/>
              <w:left w:val="nil"/>
              <w:bottom w:val="nil"/>
              <w:right w:val="nil"/>
            </w:tcBorders>
          </w:tcPr>
          <w:p w14:paraId="2036F1B2"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bottom w:val="nil"/>
              <w:right w:val="nil"/>
            </w:tcBorders>
          </w:tcPr>
          <w:p w14:paraId="76E307A9"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066353">
              <w:rPr>
                <w:sz w:val="20"/>
                <w:szCs w:val="20"/>
              </w:rPr>
              <w:t>(0.0050)</w:t>
            </w:r>
          </w:p>
        </w:tc>
        <w:tc>
          <w:tcPr>
            <w:tcW w:w="0" w:type="auto"/>
            <w:tcBorders>
              <w:top w:val="nil"/>
              <w:left w:val="nil"/>
              <w:bottom w:val="nil"/>
              <w:right w:val="nil"/>
            </w:tcBorders>
          </w:tcPr>
          <w:p w14:paraId="7EA9E1F7"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066353">
              <w:rPr>
                <w:sz w:val="20"/>
                <w:szCs w:val="20"/>
              </w:rPr>
              <w:t>(0.0043)</w:t>
            </w:r>
          </w:p>
        </w:tc>
      </w:tr>
      <w:tr w:rsidR="004A7BE8" w:rsidRPr="00DA6A7E" w14:paraId="425B77A4" w14:textId="77777777" w:rsidTr="008A3C4C">
        <w:tc>
          <w:tcPr>
            <w:tcW w:w="0" w:type="auto"/>
            <w:tcBorders>
              <w:top w:val="nil"/>
              <w:left w:val="nil"/>
              <w:bottom w:val="nil"/>
              <w:right w:val="nil"/>
            </w:tcBorders>
          </w:tcPr>
          <w:p w14:paraId="2612E529"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bottom w:val="nil"/>
              <w:right w:val="nil"/>
            </w:tcBorders>
          </w:tcPr>
          <w:p w14:paraId="3DEE1596"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71BEDE1A"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10407BC7" w14:textId="77777777" w:rsidTr="008A3C4C">
        <w:tc>
          <w:tcPr>
            <w:tcW w:w="0" w:type="auto"/>
            <w:tcBorders>
              <w:top w:val="nil"/>
              <w:left w:val="nil"/>
              <w:bottom w:val="nil"/>
              <w:right w:val="nil"/>
            </w:tcBorders>
          </w:tcPr>
          <w:p w14:paraId="4A09B382" w14:textId="77777777" w:rsidR="004A7BE8" w:rsidRPr="00DA6A7E" w:rsidRDefault="004A7BE8" w:rsidP="008A3C4C">
            <w:pPr>
              <w:autoSpaceDE w:val="0"/>
              <w:autoSpaceDN w:val="0"/>
              <w:adjustRightInd w:val="0"/>
              <w:spacing w:line="240" w:lineRule="auto"/>
              <w:ind w:firstLine="0"/>
              <w:jc w:val="left"/>
              <w:rPr>
                <w:rFonts w:eastAsia="Times New Roman"/>
                <w:b/>
                <w:sz w:val="20"/>
                <w:szCs w:val="20"/>
              </w:rPr>
            </w:pPr>
            <w:r w:rsidRPr="00DA6A7E">
              <w:rPr>
                <w:rFonts w:eastAsia="Times New Roman"/>
                <w:b/>
                <w:sz w:val="20"/>
                <w:szCs w:val="20"/>
              </w:rPr>
              <w:t>Panel II: Control variables</w:t>
            </w:r>
          </w:p>
        </w:tc>
        <w:tc>
          <w:tcPr>
            <w:tcW w:w="0" w:type="auto"/>
            <w:tcBorders>
              <w:top w:val="nil"/>
              <w:left w:val="nil"/>
              <w:bottom w:val="nil"/>
              <w:right w:val="nil"/>
            </w:tcBorders>
          </w:tcPr>
          <w:p w14:paraId="71384F66"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bottom w:val="nil"/>
              <w:right w:val="nil"/>
            </w:tcBorders>
          </w:tcPr>
          <w:p w14:paraId="184AFFB5"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2BE4D353" w14:textId="77777777" w:rsidTr="008A3C4C">
        <w:tc>
          <w:tcPr>
            <w:tcW w:w="0" w:type="auto"/>
            <w:tcBorders>
              <w:top w:val="nil"/>
              <w:left w:val="nil"/>
              <w:bottom w:val="nil"/>
              <w:right w:val="nil"/>
            </w:tcBorders>
          </w:tcPr>
          <w:p w14:paraId="14D93D8A"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Parents' education</w:t>
            </w:r>
          </w:p>
        </w:tc>
        <w:tc>
          <w:tcPr>
            <w:tcW w:w="0" w:type="auto"/>
            <w:tcBorders>
              <w:top w:val="nil"/>
              <w:left w:val="nil"/>
              <w:bottom w:val="nil"/>
              <w:right w:val="nil"/>
            </w:tcBorders>
          </w:tcPr>
          <w:p w14:paraId="6D1A8C1B"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0.1081</w:t>
            </w:r>
            <w:r w:rsidRPr="00DA6A7E">
              <w:rPr>
                <w:sz w:val="20"/>
                <w:szCs w:val="20"/>
                <w:vertAlign w:val="superscript"/>
              </w:rPr>
              <w:t>*</w:t>
            </w:r>
          </w:p>
        </w:tc>
        <w:tc>
          <w:tcPr>
            <w:tcW w:w="0" w:type="auto"/>
            <w:tcBorders>
              <w:top w:val="nil"/>
              <w:left w:val="nil"/>
              <w:bottom w:val="nil"/>
              <w:right w:val="nil"/>
            </w:tcBorders>
          </w:tcPr>
          <w:p w14:paraId="2E7DD1C2"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61F6034E" w14:textId="77777777" w:rsidTr="008A3C4C">
        <w:tc>
          <w:tcPr>
            <w:tcW w:w="0" w:type="auto"/>
            <w:tcBorders>
              <w:top w:val="nil"/>
              <w:left w:val="nil"/>
              <w:bottom w:val="nil"/>
              <w:right w:val="nil"/>
            </w:tcBorders>
          </w:tcPr>
          <w:p w14:paraId="048BD473"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bottom w:val="nil"/>
              <w:right w:val="nil"/>
            </w:tcBorders>
          </w:tcPr>
          <w:p w14:paraId="0361E339"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(0.0506)</w:t>
            </w:r>
          </w:p>
        </w:tc>
        <w:tc>
          <w:tcPr>
            <w:tcW w:w="0" w:type="auto"/>
            <w:tcBorders>
              <w:top w:val="nil"/>
              <w:left w:val="nil"/>
              <w:bottom w:val="nil"/>
              <w:right w:val="nil"/>
            </w:tcBorders>
          </w:tcPr>
          <w:p w14:paraId="5D56B1F6"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5F74F88A" w14:textId="77777777" w:rsidTr="008A3C4C">
        <w:tc>
          <w:tcPr>
            <w:tcW w:w="0" w:type="auto"/>
            <w:tcBorders>
              <w:top w:val="nil"/>
              <w:left w:val="nil"/>
              <w:bottom w:val="nil"/>
              <w:right w:val="nil"/>
            </w:tcBorders>
          </w:tcPr>
          <w:p w14:paraId="35E9B87B"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Parents' earnings (in 1000 NOK)</w:t>
            </w:r>
          </w:p>
        </w:tc>
        <w:tc>
          <w:tcPr>
            <w:tcW w:w="0" w:type="auto"/>
            <w:tcBorders>
              <w:top w:val="nil"/>
              <w:left w:val="nil"/>
              <w:bottom w:val="nil"/>
              <w:right w:val="nil"/>
            </w:tcBorders>
          </w:tcPr>
          <w:p w14:paraId="625704CC"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11.7283</w:t>
            </w:r>
          </w:p>
        </w:tc>
        <w:tc>
          <w:tcPr>
            <w:tcW w:w="0" w:type="auto"/>
            <w:tcBorders>
              <w:top w:val="nil"/>
              <w:left w:val="nil"/>
              <w:bottom w:val="nil"/>
              <w:right w:val="nil"/>
            </w:tcBorders>
          </w:tcPr>
          <w:p w14:paraId="3F5FF63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5A625C2E" w14:textId="77777777" w:rsidTr="008A3C4C">
        <w:tc>
          <w:tcPr>
            <w:tcW w:w="0" w:type="auto"/>
            <w:tcBorders>
              <w:top w:val="nil"/>
              <w:left w:val="nil"/>
              <w:bottom w:val="nil"/>
              <w:right w:val="nil"/>
            </w:tcBorders>
          </w:tcPr>
          <w:p w14:paraId="256FA332"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bottom w:val="nil"/>
              <w:right w:val="nil"/>
            </w:tcBorders>
          </w:tcPr>
          <w:p w14:paraId="46D47F91"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(6.1898)</w:t>
            </w:r>
          </w:p>
        </w:tc>
        <w:tc>
          <w:tcPr>
            <w:tcW w:w="0" w:type="auto"/>
            <w:tcBorders>
              <w:top w:val="nil"/>
              <w:left w:val="nil"/>
              <w:bottom w:val="nil"/>
              <w:right w:val="nil"/>
            </w:tcBorders>
          </w:tcPr>
          <w:p w14:paraId="612EC5AD"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57982F86" w14:textId="77777777" w:rsidTr="008A3C4C">
        <w:tc>
          <w:tcPr>
            <w:tcW w:w="0" w:type="auto"/>
            <w:tcBorders>
              <w:top w:val="nil"/>
              <w:left w:val="nil"/>
              <w:right w:val="nil"/>
            </w:tcBorders>
          </w:tcPr>
          <w:p w14:paraId="0A7744DA"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Immigrant background</w:t>
            </w:r>
          </w:p>
        </w:tc>
        <w:tc>
          <w:tcPr>
            <w:tcW w:w="0" w:type="auto"/>
            <w:tcBorders>
              <w:top w:val="nil"/>
              <w:left w:val="nil"/>
              <w:right w:val="nil"/>
            </w:tcBorders>
          </w:tcPr>
          <w:p w14:paraId="1C992781"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0.0154</w:t>
            </w:r>
            <w:r w:rsidRPr="00DA6A7E">
              <w:rPr>
                <w:sz w:val="20"/>
                <w:szCs w:val="20"/>
                <w:vertAlign w:val="superscript"/>
              </w:rPr>
              <w:t>*</w:t>
            </w:r>
          </w:p>
        </w:tc>
        <w:tc>
          <w:tcPr>
            <w:tcW w:w="0" w:type="auto"/>
            <w:tcBorders>
              <w:top w:val="nil"/>
              <w:left w:val="nil"/>
              <w:right w:val="nil"/>
            </w:tcBorders>
          </w:tcPr>
          <w:p w14:paraId="3A8D3E3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41D645FB" w14:textId="77777777" w:rsidTr="008A3C4C">
        <w:tc>
          <w:tcPr>
            <w:tcW w:w="0" w:type="auto"/>
            <w:tcBorders>
              <w:top w:val="nil"/>
              <w:left w:val="nil"/>
              <w:right w:val="nil"/>
            </w:tcBorders>
          </w:tcPr>
          <w:p w14:paraId="04641155"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right w:val="nil"/>
            </w:tcBorders>
          </w:tcPr>
          <w:p w14:paraId="0DF9A1B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sz w:val="20"/>
                <w:szCs w:val="20"/>
              </w:rPr>
              <w:t>(0.0075)</w:t>
            </w:r>
          </w:p>
        </w:tc>
        <w:tc>
          <w:tcPr>
            <w:tcW w:w="0" w:type="auto"/>
            <w:tcBorders>
              <w:top w:val="nil"/>
              <w:left w:val="nil"/>
              <w:right w:val="nil"/>
            </w:tcBorders>
          </w:tcPr>
          <w:p w14:paraId="3CBD363B"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0007DF18" w14:textId="77777777" w:rsidTr="008A3C4C">
        <w:tc>
          <w:tcPr>
            <w:tcW w:w="0" w:type="auto"/>
            <w:tcBorders>
              <w:top w:val="nil"/>
              <w:left w:val="nil"/>
              <w:right w:val="nil"/>
            </w:tcBorders>
          </w:tcPr>
          <w:p w14:paraId="54479223"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p>
        </w:tc>
        <w:tc>
          <w:tcPr>
            <w:tcW w:w="0" w:type="auto"/>
            <w:tcBorders>
              <w:top w:val="nil"/>
              <w:left w:val="nil"/>
              <w:right w:val="nil"/>
            </w:tcBorders>
          </w:tcPr>
          <w:p w14:paraId="58BE2E6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c>
          <w:tcPr>
            <w:tcW w:w="0" w:type="auto"/>
            <w:tcBorders>
              <w:top w:val="nil"/>
              <w:left w:val="nil"/>
              <w:right w:val="nil"/>
            </w:tcBorders>
          </w:tcPr>
          <w:p w14:paraId="13069ED4"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p>
        </w:tc>
      </w:tr>
      <w:tr w:rsidR="004A7BE8" w:rsidRPr="00DA6A7E" w14:paraId="671788FA" w14:textId="77777777" w:rsidTr="008A3C4C">
        <w:tc>
          <w:tcPr>
            <w:tcW w:w="0" w:type="auto"/>
            <w:tcBorders>
              <w:left w:val="nil"/>
              <w:bottom w:val="single" w:sz="4" w:space="0" w:color="auto"/>
              <w:right w:val="nil"/>
            </w:tcBorders>
          </w:tcPr>
          <w:p w14:paraId="49065869" w14:textId="77777777" w:rsidR="004A7BE8" w:rsidRPr="00DA6A7E" w:rsidRDefault="004A7BE8" w:rsidP="008A3C4C">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Control variables</w:t>
            </w:r>
          </w:p>
        </w:tc>
        <w:tc>
          <w:tcPr>
            <w:tcW w:w="0" w:type="auto"/>
            <w:tcBorders>
              <w:left w:val="nil"/>
              <w:bottom w:val="single" w:sz="4" w:space="0" w:color="auto"/>
              <w:right w:val="nil"/>
            </w:tcBorders>
          </w:tcPr>
          <w:p w14:paraId="137A92EF"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No</w:t>
            </w:r>
          </w:p>
        </w:tc>
        <w:tc>
          <w:tcPr>
            <w:tcW w:w="0" w:type="auto"/>
            <w:tcBorders>
              <w:left w:val="nil"/>
              <w:bottom w:val="single" w:sz="4" w:space="0" w:color="auto"/>
              <w:right w:val="nil"/>
            </w:tcBorders>
          </w:tcPr>
          <w:p w14:paraId="60639352" w14:textId="77777777" w:rsidR="004A7BE8" w:rsidRPr="00DA6A7E" w:rsidRDefault="004A7BE8" w:rsidP="008A3C4C">
            <w:pPr>
              <w:autoSpaceDE w:val="0"/>
              <w:autoSpaceDN w:val="0"/>
              <w:adjustRightInd w:val="0"/>
              <w:spacing w:line="240" w:lineRule="auto"/>
              <w:ind w:firstLine="0"/>
              <w:jc w:val="center"/>
              <w:rPr>
                <w:rFonts w:eastAsia="Times New Roman"/>
                <w:sz w:val="20"/>
                <w:szCs w:val="20"/>
              </w:rPr>
            </w:pPr>
            <w:r w:rsidRPr="00DA6A7E">
              <w:rPr>
                <w:rFonts w:eastAsia="Times New Roman"/>
                <w:sz w:val="20"/>
                <w:szCs w:val="20"/>
              </w:rPr>
              <w:t>Yes</w:t>
            </w:r>
          </w:p>
        </w:tc>
      </w:tr>
    </w:tbl>
    <w:p w14:paraId="0CEED702" w14:textId="7B6BE7AF" w:rsidR="004A7BE8" w:rsidRPr="00DA6A7E" w:rsidRDefault="004A7BE8" w:rsidP="004A7BE8">
      <w:pPr>
        <w:keepNext/>
        <w:autoSpaceDE w:val="0"/>
        <w:autoSpaceDN w:val="0"/>
        <w:adjustRightInd w:val="0"/>
        <w:spacing w:line="240" w:lineRule="auto"/>
        <w:ind w:firstLine="0"/>
        <w:jc w:val="left"/>
        <w:rPr>
          <w:rFonts w:eastAsia="Times New Roman"/>
          <w:sz w:val="20"/>
          <w:szCs w:val="20"/>
        </w:rPr>
      </w:pPr>
      <w:r w:rsidRPr="00DA6A7E">
        <w:rPr>
          <w:rFonts w:eastAsia="Times New Roman"/>
          <w:sz w:val="20"/>
          <w:szCs w:val="20"/>
        </w:rPr>
        <w:t xml:space="preserve">Note: Only pre-intervention cohorts </w:t>
      </w:r>
      <w:r w:rsidR="00B36434">
        <w:rPr>
          <w:rFonts w:eastAsia="Times New Roman"/>
          <w:sz w:val="20"/>
          <w:szCs w:val="20"/>
        </w:rPr>
        <w:t xml:space="preserve">were </w:t>
      </w:r>
      <w:r w:rsidRPr="00DA6A7E">
        <w:rPr>
          <w:rFonts w:eastAsia="Times New Roman"/>
          <w:sz w:val="20"/>
          <w:szCs w:val="20"/>
        </w:rPr>
        <w:t xml:space="preserve">included (born 1986-1988). </w:t>
      </w:r>
      <w:r>
        <w:rPr>
          <w:rFonts w:eastAsia="Times New Roman"/>
          <w:sz w:val="20"/>
          <w:szCs w:val="20"/>
        </w:rPr>
        <w:t>Standard errors clustered at the school level in parentheses.</w:t>
      </w:r>
    </w:p>
    <w:p w14:paraId="41BB28B1" w14:textId="77777777" w:rsidR="004A7BE8" w:rsidRPr="00DA6A7E" w:rsidRDefault="004A7BE8" w:rsidP="004A7BE8">
      <w:pPr>
        <w:autoSpaceDE w:val="0"/>
        <w:autoSpaceDN w:val="0"/>
        <w:adjustRightInd w:val="0"/>
        <w:spacing w:line="240" w:lineRule="auto"/>
        <w:ind w:firstLine="0"/>
        <w:jc w:val="left"/>
        <w:rPr>
          <w:rFonts w:eastAsia="Times New Roman"/>
          <w:sz w:val="20"/>
          <w:szCs w:val="20"/>
        </w:rPr>
      </w:pPr>
      <w:r w:rsidRPr="00DA6A7E">
        <w:rPr>
          <w:rFonts w:eastAsia="Times New Roman"/>
          <w:sz w:val="20"/>
          <w:szCs w:val="20"/>
          <w:vertAlign w:val="superscript"/>
        </w:rPr>
        <w:t>*</w:t>
      </w:r>
      <w:r w:rsidRPr="00DA6A7E">
        <w:rPr>
          <w:rFonts w:eastAsia="Times New Roman"/>
          <w:sz w:val="20"/>
          <w:szCs w:val="20"/>
        </w:rPr>
        <w:t xml:space="preserve"> </w:t>
      </w:r>
      <w:proofErr w:type="gramStart"/>
      <w:r w:rsidRPr="00DA6A7E">
        <w:rPr>
          <w:rFonts w:eastAsia="Times New Roman"/>
          <w:i/>
          <w:iCs/>
          <w:sz w:val="20"/>
          <w:szCs w:val="20"/>
        </w:rPr>
        <w:t>p</w:t>
      </w:r>
      <w:proofErr w:type="gramEnd"/>
      <w:r w:rsidRPr="00DA6A7E">
        <w:rPr>
          <w:rFonts w:eastAsia="Times New Roman"/>
          <w:sz w:val="20"/>
          <w:szCs w:val="20"/>
        </w:rPr>
        <w:t xml:space="preserve"> &lt; 0.05, </w:t>
      </w:r>
      <w:r w:rsidRPr="00DA6A7E">
        <w:rPr>
          <w:rFonts w:eastAsia="Times New Roman"/>
          <w:sz w:val="20"/>
          <w:szCs w:val="20"/>
          <w:vertAlign w:val="superscript"/>
        </w:rPr>
        <w:t>**</w:t>
      </w:r>
      <w:r w:rsidRPr="00DA6A7E">
        <w:rPr>
          <w:rFonts w:eastAsia="Times New Roman"/>
          <w:sz w:val="20"/>
          <w:szCs w:val="20"/>
        </w:rPr>
        <w:t xml:space="preserve"> </w:t>
      </w:r>
      <w:r w:rsidRPr="00DA6A7E">
        <w:rPr>
          <w:rFonts w:eastAsia="Times New Roman"/>
          <w:i/>
          <w:iCs/>
          <w:sz w:val="20"/>
          <w:szCs w:val="20"/>
        </w:rPr>
        <w:t>p</w:t>
      </w:r>
      <w:r w:rsidRPr="00DA6A7E">
        <w:rPr>
          <w:rFonts w:eastAsia="Times New Roman"/>
          <w:sz w:val="20"/>
          <w:szCs w:val="20"/>
        </w:rPr>
        <w:t xml:space="preserve"> &lt; 0.01, </w:t>
      </w:r>
      <w:r w:rsidRPr="00DA6A7E">
        <w:rPr>
          <w:rFonts w:eastAsia="Times New Roman"/>
          <w:sz w:val="20"/>
          <w:szCs w:val="20"/>
          <w:vertAlign w:val="superscript"/>
        </w:rPr>
        <w:t>***</w:t>
      </w:r>
      <w:r w:rsidRPr="00DA6A7E">
        <w:rPr>
          <w:rFonts w:eastAsia="Times New Roman"/>
          <w:sz w:val="20"/>
          <w:szCs w:val="20"/>
        </w:rPr>
        <w:t xml:space="preserve"> </w:t>
      </w:r>
      <w:r w:rsidRPr="00DA6A7E">
        <w:rPr>
          <w:rFonts w:eastAsia="Times New Roman"/>
          <w:i/>
          <w:iCs/>
          <w:sz w:val="20"/>
          <w:szCs w:val="20"/>
        </w:rPr>
        <w:t>p</w:t>
      </w:r>
      <w:r w:rsidRPr="00DA6A7E">
        <w:rPr>
          <w:rFonts w:eastAsia="Times New Roman"/>
          <w:sz w:val="20"/>
          <w:szCs w:val="20"/>
        </w:rPr>
        <w:t xml:space="preserve"> &lt; 0.001</w:t>
      </w:r>
    </w:p>
    <w:p w14:paraId="4414D449" w14:textId="77777777" w:rsidR="004A7BE8" w:rsidRDefault="004A7BE8" w:rsidP="004A7BE8">
      <w:pPr>
        <w:ind w:firstLine="0"/>
      </w:pPr>
    </w:p>
    <w:p w14:paraId="6E20C105" w14:textId="1CED0737" w:rsidR="004A7BE8" w:rsidRDefault="00B36434" w:rsidP="004A7BE8">
      <w:r>
        <w:t>There are small differences between OBPP schools and control schools in both pre-intervention trends and pre-intervention levels in this study</w:t>
      </w:r>
      <w:r w:rsidR="004A7BE8">
        <w:t xml:space="preserve">. </w:t>
      </w:r>
      <w:r w:rsidR="004A7BE8" w:rsidRPr="00DA6A7E">
        <w:t>As discussed above, inspecting leads and lags of program implementation (</w:t>
      </w:r>
      <w:r w:rsidR="004A7BE8">
        <w:t xml:space="preserve">Appendix </w:t>
      </w:r>
      <w:r w:rsidR="004A7BE8" w:rsidRPr="00DA6A7E">
        <w:t xml:space="preserve">Figure </w:t>
      </w:r>
      <w:r w:rsidR="004A7BE8">
        <w:t>C2</w:t>
      </w:r>
      <w:r w:rsidR="004A7BE8" w:rsidRPr="00DA6A7E">
        <w:t xml:space="preserve">) </w:t>
      </w:r>
      <w:r w:rsidR="004A7BE8">
        <w:t>suggests that the concern of violation of common trends assumption is largely not warranted. Additionally, i</w:t>
      </w:r>
      <w:r w:rsidR="004A7BE8" w:rsidRPr="00DA6A7E">
        <w:t>n the pre-</w:t>
      </w:r>
      <w:r w:rsidR="004A7BE8" w:rsidRPr="00DA6A7E">
        <w:lastRenderedPageBreak/>
        <w:t>intervention years, students who attend schools that will later implement OBPP have similar levels of grades, educational attainment, and charges than students who attend schools that will not implement OBPP (control schools)</w:t>
      </w:r>
      <w:r w:rsidR="004A7BE8">
        <w:t xml:space="preserve"> after accounting for observed control variables </w:t>
      </w:r>
      <w:r w:rsidR="004A7BE8" w:rsidRPr="00DA6A7E">
        <w:t>(</w:t>
      </w:r>
      <w:r w:rsidR="004A7BE8">
        <w:t xml:space="preserve">Appendix </w:t>
      </w:r>
      <w:r w:rsidR="004A7BE8" w:rsidRPr="00DA6A7E">
        <w:t xml:space="preserve">Table </w:t>
      </w:r>
      <w:r w:rsidR="004A7BE8">
        <w:t>D1</w:t>
      </w:r>
      <w:r w:rsidR="004A7BE8" w:rsidRPr="00DA6A7E">
        <w:t xml:space="preserve">, </w:t>
      </w:r>
      <w:r w:rsidR="004A7BE8">
        <w:t xml:space="preserve">Appendix </w:t>
      </w:r>
      <w:r w:rsidR="004A7BE8" w:rsidRPr="00DA6A7E">
        <w:t xml:space="preserve">Figure </w:t>
      </w:r>
      <w:r w:rsidR="004A7BE8">
        <w:t>D2</w:t>
      </w:r>
      <w:r w:rsidR="004A7BE8" w:rsidRPr="00DA6A7E">
        <w:t>).</w:t>
      </w:r>
      <w:r w:rsidR="004A7BE8">
        <w:t xml:space="preserve"> </w:t>
      </w:r>
    </w:p>
    <w:p w14:paraId="7999C81C" w14:textId="77777777" w:rsidR="004A7BE8" w:rsidRDefault="004A7BE8" w:rsidP="004A7BE8"/>
    <w:p w14:paraId="1B9EDE93" w14:textId="77777777" w:rsidR="004A7BE8" w:rsidRPr="00DA6A7E" w:rsidRDefault="004A7BE8" w:rsidP="004A7BE8">
      <w:pPr>
        <w:ind w:firstLine="0"/>
        <w:jc w:val="left"/>
      </w:pPr>
      <w:r>
        <w:rPr>
          <w:noProof/>
          <w:lang w:val="nb-NO" w:eastAsia="nb-NO"/>
        </w:rPr>
        <w:drawing>
          <wp:inline distT="0" distB="0" distL="0" distR="0" wp14:anchorId="15FECBC4" wp14:editId="6ADBD340">
            <wp:extent cx="5756910" cy="3840480"/>
            <wp:effectExtent l="0" t="0" r="0" b="7620"/>
            <wp:docPr id="2" name="Picture 2" descr="density_outcome_pre_interv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nsity_outcome_pre_interventi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6910" cy="3840480"/>
                    </a:xfrm>
                    <a:prstGeom prst="rect">
                      <a:avLst/>
                    </a:prstGeom>
                    <a:noFill/>
                    <a:ln>
                      <a:noFill/>
                    </a:ln>
                  </pic:spPr>
                </pic:pic>
              </a:graphicData>
            </a:graphic>
          </wp:inline>
        </w:drawing>
      </w:r>
    </w:p>
    <w:p w14:paraId="38CD5F61" w14:textId="77777777" w:rsidR="004A7BE8" w:rsidRPr="00C52709" w:rsidRDefault="004A7BE8" w:rsidP="004A7BE8">
      <w:pPr>
        <w:spacing w:line="240" w:lineRule="auto"/>
        <w:ind w:firstLine="0"/>
        <w:jc w:val="left"/>
      </w:pPr>
      <w:r>
        <w:rPr>
          <w:b/>
        </w:rPr>
        <w:t>Appendix Figure D1</w:t>
      </w:r>
      <w:r w:rsidRPr="00C52709">
        <w:rPr>
          <w:b/>
        </w:rPr>
        <w:t>:</w:t>
      </w:r>
      <w:r w:rsidRPr="00C52709">
        <w:t xml:space="preserve"> Descriptive differences at the school cohort between schools that implement OBPP and control schools in pre-intervention cohorts (born 1986-1988).  </w:t>
      </w:r>
    </w:p>
    <w:p w14:paraId="39D0EBFF" w14:textId="77777777" w:rsidR="004A7BE8" w:rsidRDefault="004A7BE8" w:rsidP="004A7BE8"/>
    <w:p w14:paraId="1EFA74B9" w14:textId="43E03C4B" w:rsidR="004A7BE8" w:rsidRDefault="004A7BE8" w:rsidP="004A7BE8">
      <w:r>
        <w:t xml:space="preserve">Nevertheless, because of the importance of the common trend assumption, we combine the DiD model with a matching algorithm to find control schools that are similar to the OBPP schools with regard to geographical proximity and pre-intervention level of the outcome variable as a final robustness check. More specifically, for each of the OBPP schools, we calculate the absolute difference in pre-intervention levels of the outcome between the OBPP schools and the pre-intervention levels in the corresponding birth cohorts in all control schools. We then match each of the OBPP schools with the control school within the school municipality </w:t>
      </w:r>
      <w:r>
        <w:lastRenderedPageBreak/>
        <w:t xml:space="preserve">with the lowest absolute difference in the pre-intervention level in the outcome variable, with the same control school potentially being a match for more than one OBPP school (matching with replacement). To avoid poor matches, however, we restrict possible matches to a maximum absolute difference of ½ standard deviation of the overall student-weighted school average of the outcome variable. If there </w:t>
      </w:r>
      <w:r w:rsidR="00B36434">
        <w:t xml:space="preserve">are </w:t>
      </w:r>
      <w:r>
        <w:t xml:space="preserve">no suitable control </w:t>
      </w:r>
      <w:r w:rsidR="00B36434">
        <w:t xml:space="preserve">schools </w:t>
      </w:r>
      <w:r>
        <w:t>within the school municipality, we look at matches in two of the neighboring municipalities.</w:t>
      </w:r>
      <w:r>
        <w:rPr>
          <w:rStyle w:val="FootnoteReference"/>
        </w:rPr>
        <w:footnoteReference w:id="3"/>
      </w:r>
      <w:r>
        <w:t xml:space="preserve"> We exclude about 15-20 percent of the OBPP schools because of no suitable matches within municipalities nor neighboring municipalities (Appendix Table D2). The results using a matched </w:t>
      </w:r>
      <w:proofErr w:type="gramStart"/>
      <w:r>
        <w:t>DiD</w:t>
      </w:r>
      <w:proofErr w:type="gramEnd"/>
      <w:r>
        <w:t xml:space="preserve"> model </w:t>
      </w:r>
      <w:r w:rsidR="00B36434">
        <w:t xml:space="preserve">are </w:t>
      </w:r>
      <w:r>
        <w:t xml:space="preserve">similar to our main results (Appendix Figure D2). </w:t>
      </w:r>
    </w:p>
    <w:p w14:paraId="095CA3F1" w14:textId="77777777" w:rsidR="004A7BE8" w:rsidRDefault="004A7BE8" w:rsidP="004A7BE8">
      <w:pPr>
        <w:spacing w:line="240" w:lineRule="auto"/>
        <w:ind w:firstLine="0"/>
        <w:jc w:val="left"/>
      </w:pPr>
    </w:p>
    <w:p w14:paraId="420A1A02" w14:textId="77777777" w:rsidR="004A7BE8" w:rsidRDefault="004A7BE8" w:rsidP="004A7BE8">
      <w:pPr>
        <w:spacing w:line="240" w:lineRule="auto"/>
        <w:ind w:firstLine="0"/>
        <w:jc w:val="left"/>
      </w:pPr>
    </w:p>
    <w:p w14:paraId="1894A72E" w14:textId="77777777" w:rsidR="004A7BE8" w:rsidRPr="00C03287" w:rsidRDefault="004A7BE8" w:rsidP="004A7BE8">
      <w:pPr>
        <w:spacing w:line="240" w:lineRule="auto"/>
        <w:ind w:firstLine="0"/>
        <w:jc w:val="left"/>
      </w:pPr>
      <w:r>
        <w:rPr>
          <w:b/>
        </w:rPr>
        <w:t>Appendix Table D2:</w:t>
      </w:r>
      <w:r>
        <w:t xml:space="preserve"> Number of schools matched on pre-intervention levels within municipality and neighboring municipality. </w:t>
      </w:r>
    </w:p>
    <w:tbl>
      <w:tblPr>
        <w:tblW w:w="0" w:type="auto"/>
        <w:tblLook w:val="0000" w:firstRow="0" w:lastRow="0" w:firstColumn="0" w:lastColumn="0" w:noHBand="0" w:noVBand="0"/>
      </w:tblPr>
      <w:tblGrid>
        <w:gridCol w:w="2860"/>
        <w:gridCol w:w="1722"/>
        <w:gridCol w:w="2288"/>
        <w:gridCol w:w="222"/>
      </w:tblGrid>
      <w:tr w:rsidR="004A7BE8" w:rsidRPr="00C03287" w14:paraId="686D85F1" w14:textId="77777777" w:rsidTr="004E1506">
        <w:trPr>
          <w:trHeight w:val="455"/>
        </w:trPr>
        <w:tc>
          <w:tcPr>
            <w:tcW w:w="0" w:type="auto"/>
            <w:tcBorders>
              <w:top w:val="single" w:sz="4" w:space="0" w:color="auto"/>
              <w:left w:val="nil"/>
              <w:right w:val="nil"/>
            </w:tcBorders>
          </w:tcPr>
          <w:p w14:paraId="19DE4B22" w14:textId="77777777" w:rsidR="004A7BE8" w:rsidRPr="00C03287" w:rsidRDefault="004A7BE8" w:rsidP="008A3C4C">
            <w:pPr>
              <w:autoSpaceDE w:val="0"/>
              <w:autoSpaceDN w:val="0"/>
              <w:adjustRightInd w:val="0"/>
              <w:spacing w:line="240" w:lineRule="auto"/>
              <w:ind w:firstLine="0"/>
              <w:jc w:val="left"/>
              <w:rPr>
                <w:rFonts w:eastAsiaTheme="minorEastAsia"/>
                <w:sz w:val="20"/>
                <w:szCs w:val="20"/>
              </w:rPr>
            </w:pPr>
          </w:p>
        </w:tc>
        <w:tc>
          <w:tcPr>
            <w:tcW w:w="0" w:type="auto"/>
            <w:gridSpan w:val="2"/>
            <w:tcBorders>
              <w:top w:val="single" w:sz="4" w:space="0" w:color="auto"/>
              <w:left w:val="nil"/>
              <w:bottom w:val="single" w:sz="4" w:space="0" w:color="auto"/>
              <w:right w:val="nil"/>
            </w:tcBorders>
          </w:tcPr>
          <w:p w14:paraId="7FF50C66" w14:textId="77777777" w:rsidR="004A7BE8" w:rsidRDefault="004A7BE8" w:rsidP="008A3C4C">
            <w:pPr>
              <w:autoSpaceDE w:val="0"/>
              <w:autoSpaceDN w:val="0"/>
              <w:adjustRightInd w:val="0"/>
              <w:spacing w:line="240" w:lineRule="auto"/>
              <w:ind w:firstLine="0"/>
              <w:jc w:val="center"/>
              <w:rPr>
                <w:rFonts w:eastAsiaTheme="minorEastAsia"/>
                <w:sz w:val="20"/>
                <w:szCs w:val="20"/>
              </w:rPr>
            </w:pPr>
            <w:r>
              <w:rPr>
                <w:rFonts w:eastAsiaTheme="minorEastAsia"/>
                <w:sz w:val="20"/>
                <w:szCs w:val="20"/>
              </w:rPr>
              <w:t xml:space="preserve">Number of </w:t>
            </w:r>
          </w:p>
          <w:p w14:paraId="76E995F8" w14:textId="77777777" w:rsidR="004A7BE8" w:rsidRPr="00C03287" w:rsidRDefault="004A7BE8" w:rsidP="008A3C4C">
            <w:pPr>
              <w:autoSpaceDE w:val="0"/>
              <w:autoSpaceDN w:val="0"/>
              <w:adjustRightInd w:val="0"/>
              <w:spacing w:line="240" w:lineRule="auto"/>
              <w:ind w:firstLine="0"/>
              <w:jc w:val="center"/>
              <w:rPr>
                <w:rFonts w:eastAsiaTheme="minorEastAsia"/>
                <w:sz w:val="20"/>
                <w:szCs w:val="20"/>
              </w:rPr>
            </w:pPr>
            <w:r>
              <w:rPr>
                <w:rFonts w:eastAsiaTheme="minorEastAsia"/>
                <w:sz w:val="20"/>
                <w:szCs w:val="20"/>
              </w:rPr>
              <w:t xml:space="preserve">schools matched </w:t>
            </w:r>
          </w:p>
        </w:tc>
        <w:tc>
          <w:tcPr>
            <w:tcW w:w="0" w:type="auto"/>
            <w:tcBorders>
              <w:top w:val="single" w:sz="4" w:space="0" w:color="auto"/>
              <w:left w:val="nil"/>
              <w:right w:val="nil"/>
            </w:tcBorders>
          </w:tcPr>
          <w:p w14:paraId="7A2B411A" w14:textId="77777777" w:rsidR="004A7BE8" w:rsidRDefault="004A7BE8" w:rsidP="008A3C4C">
            <w:pPr>
              <w:autoSpaceDE w:val="0"/>
              <w:autoSpaceDN w:val="0"/>
              <w:adjustRightInd w:val="0"/>
              <w:spacing w:line="240" w:lineRule="auto"/>
              <w:ind w:firstLine="0"/>
              <w:jc w:val="center"/>
              <w:rPr>
                <w:rFonts w:eastAsiaTheme="minorEastAsia"/>
                <w:sz w:val="20"/>
                <w:szCs w:val="20"/>
              </w:rPr>
            </w:pPr>
          </w:p>
        </w:tc>
      </w:tr>
      <w:tr w:rsidR="004A7BE8" w:rsidRPr="00C03287" w14:paraId="61B827EF" w14:textId="77777777" w:rsidTr="004E1506">
        <w:trPr>
          <w:trHeight w:val="455"/>
        </w:trPr>
        <w:tc>
          <w:tcPr>
            <w:tcW w:w="0" w:type="auto"/>
            <w:tcBorders>
              <w:left w:val="nil"/>
              <w:bottom w:val="single" w:sz="4" w:space="0" w:color="auto"/>
              <w:right w:val="nil"/>
            </w:tcBorders>
          </w:tcPr>
          <w:p w14:paraId="4CB8665C" w14:textId="77777777" w:rsidR="004A7BE8" w:rsidRPr="00C03287" w:rsidRDefault="004A7BE8" w:rsidP="008A3C4C">
            <w:pPr>
              <w:autoSpaceDE w:val="0"/>
              <w:autoSpaceDN w:val="0"/>
              <w:adjustRightInd w:val="0"/>
              <w:spacing w:line="240" w:lineRule="auto"/>
              <w:ind w:firstLine="0"/>
              <w:jc w:val="left"/>
              <w:rPr>
                <w:rFonts w:eastAsiaTheme="minorEastAsia"/>
                <w:sz w:val="20"/>
                <w:szCs w:val="20"/>
              </w:rPr>
            </w:pPr>
          </w:p>
        </w:tc>
        <w:tc>
          <w:tcPr>
            <w:tcW w:w="0" w:type="auto"/>
            <w:tcBorders>
              <w:top w:val="single" w:sz="4" w:space="0" w:color="auto"/>
              <w:left w:val="nil"/>
              <w:bottom w:val="single" w:sz="4" w:space="0" w:color="auto"/>
              <w:right w:val="nil"/>
            </w:tcBorders>
          </w:tcPr>
          <w:p w14:paraId="593BC245" w14:textId="77777777" w:rsidR="004A7BE8" w:rsidRDefault="004A7BE8" w:rsidP="008A3C4C">
            <w:pPr>
              <w:autoSpaceDE w:val="0"/>
              <w:autoSpaceDN w:val="0"/>
              <w:adjustRightInd w:val="0"/>
              <w:spacing w:line="240" w:lineRule="auto"/>
              <w:ind w:firstLine="0"/>
              <w:jc w:val="center"/>
              <w:rPr>
                <w:rFonts w:eastAsiaTheme="minorEastAsia"/>
                <w:sz w:val="20"/>
                <w:szCs w:val="20"/>
              </w:rPr>
            </w:pPr>
            <w:r>
              <w:rPr>
                <w:rFonts w:eastAsiaTheme="minorEastAsia"/>
                <w:sz w:val="20"/>
                <w:szCs w:val="20"/>
              </w:rPr>
              <w:t>Same municipality</w:t>
            </w:r>
          </w:p>
        </w:tc>
        <w:tc>
          <w:tcPr>
            <w:tcW w:w="0" w:type="auto"/>
            <w:tcBorders>
              <w:top w:val="single" w:sz="4" w:space="0" w:color="auto"/>
              <w:left w:val="nil"/>
              <w:bottom w:val="single" w:sz="4" w:space="0" w:color="auto"/>
              <w:right w:val="nil"/>
            </w:tcBorders>
          </w:tcPr>
          <w:p w14:paraId="6498ABA7" w14:textId="77777777" w:rsidR="004A7BE8" w:rsidRDefault="004A7BE8" w:rsidP="008A3C4C">
            <w:pPr>
              <w:autoSpaceDE w:val="0"/>
              <w:autoSpaceDN w:val="0"/>
              <w:adjustRightInd w:val="0"/>
              <w:spacing w:line="240" w:lineRule="auto"/>
              <w:ind w:firstLine="0"/>
              <w:jc w:val="center"/>
              <w:rPr>
                <w:rFonts w:eastAsiaTheme="minorEastAsia"/>
                <w:sz w:val="20"/>
                <w:szCs w:val="20"/>
              </w:rPr>
            </w:pPr>
            <w:r>
              <w:rPr>
                <w:rFonts w:eastAsiaTheme="minorEastAsia"/>
                <w:sz w:val="20"/>
                <w:szCs w:val="20"/>
              </w:rPr>
              <w:t>Neighboring municipality</w:t>
            </w:r>
          </w:p>
        </w:tc>
        <w:tc>
          <w:tcPr>
            <w:tcW w:w="0" w:type="auto"/>
            <w:tcBorders>
              <w:left w:val="nil"/>
              <w:bottom w:val="single" w:sz="4" w:space="0" w:color="auto"/>
              <w:right w:val="nil"/>
            </w:tcBorders>
          </w:tcPr>
          <w:p w14:paraId="4FFE16A9" w14:textId="77777777" w:rsidR="004A7BE8" w:rsidRDefault="004A7BE8" w:rsidP="008A3C4C">
            <w:pPr>
              <w:autoSpaceDE w:val="0"/>
              <w:autoSpaceDN w:val="0"/>
              <w:adjustRightInd w:val="0"/>
              <w:spacing w:line="240" w:lineRule="auto"/>
              <w:ind w:firstLine="0"/>
              <w:jc w:val="center"/>
              <w:rPr>
                <w:rFonts w:eastAsiaTheme="minorEastAsia"/>
                <w:sz w:val="20"/>
                <w:szCs w:val="20"/>
              </w:rPr>
            </w:pPr>
          </w:p>
        </w:tc>
      </w:tr>
      <w:tr w:rsidR="004A7BE8" w:rsidRPr="00C03287" w14:paraId="3017010F" w14:textId="77777777" w:rsidTr="004E1506">
        <w:trPr>
          <w:trHeight w:val="215"/>
        </w:trPr>
        <w:tc>
          <w:tcPr>
            <w:tcW w:w="0" w:type="auto"/>
            <w:tcBorders>
              <w:top w:val="single" w:sz="4" w:space="0" w:color="auto"/>
              <w:left w:val="nil"/>
              <w:right w:val="nil"/>
            </w:tcBorders>
          </w:tcPr>
          <w:p w14:paraId="70E0F428" w14:textId="77777777" w:rsidR="004A7BE8" w:rsidRPr="00C03287" w:rsidRDefault="004A7BE8" w:rsidP="008A3C4C">
            <w:pPr>
              <w:autoSpaceDE w:val="0"/>
              <w:autoSpaceDN w:val="0"/>
              <w:adjustRightInd w:val="0"/>
              <w:spacing w:line="240" w:lineRule="auto"/>
              <w:ind w:firstLine="0"/>
              <w:jc w:val="left"/>
              <w:rPr>
                <w:rFonts w:eastAsiaTheme="minorEastAsia"/>
                <w:sz w:val="20"/>
                <w:szCs w:val="20"/>
              </w:rPr>
            </w:pPr>
          </w:p>
        </w:tc>
        <w:tc>
          <w:tcPr>
            <w:tcW w:w="0" w:type="auto"/>
            <w:tcBorders>
              <w:top w:val="single" w:sz="4" w:space="0" w:color="auto"/>
              <w:left w:val="nil"/>
              <w:right w:val="nil"/>
            </w:tcBorders>
          </w:tcPr>
          <w:p w14:paraId="010397CC" w14:textId="77777777" w:rsidR="004A7BE8" w:rsidRPr="00C03287" w:rsidRDefault="004A7BE8" w:rsidP="008A3C4C">
            <w:pPr>
              <w:autoSpaceDE w:val="0"/>
              <w:autoSpaceDN w:val="0"/>
              <w:adjustRightInd w:val="0"/>
              <w:spacing w:line="240" w:lineRule="auto"/>
              <w:ind w:firstLine="0"/>
              <w:jc w:val="center"/>
              <w:rPr>
                <w:rFonts w:eastAsiaTheme="minorEastAsia"/>
                <w:sz w:val="20"/>
                <w:szCs w:val="20"/>
              </w:rPr>
            </w:pPr>
          </w:p>
        </w:tc>
        <w:tc>
          <w:tcPr>
            <w:tcW w:w="0" w:type="auto"/>
            <w:tcBorders>
              <w:top w:val="single" w:sz="4" w:space="0" w:color="auto"/>
              <w:left w:val="nil"/>
              <w:right w:val="nil"/>
            </w:tcBorders>
          </w:tcPr>
          <w:p w14:paraId="01E32AEE" w14:textId="77777777" w:rsidR="004A7BE8" w:rsidRPr="00C03287" w:rsidRDefault="004A7BE8" w:rsidP="008A3C4C">
            <w:pPr>
              <w:autoSpaceDE w:val="0"/>
              <w:autoSpaceDN w:val="0"/>
              <w:adjustRightInd w:val="0"/>
              <w:spacing w:line="240" w:lineRule="auto"/>
              <w:ind w:firstLine="0"/>
              <w:jc w:val="center"/>
              <w:rPr>
                <w:rFonts w:eastAsiaTheme="minorEastAsia"/>
                <w:sz w:val="20"/>
                <w:szCs w:val="20"/>
              </w:rPr>
            </w:pPr>
          </w:p>
        </w:tc>
        <w:tc>
          <w:tcPr>
            <w:tcW w:w="0" w:type="auto"/>
            <w:tcBorders>
              <w:top w:val="single" w:sz="4" w:space="0" w:color="auto"/>
              <w:left w:val="nil"/>
              <w:right w:val="nil"/>
            </w:tcBorders>
          </w:tcPr>
          <w:p w14:paraId="02F29A53" w14:textId="77777777" w:rsidR="004A7BE8" w:rsidRPr="00C03287" w:rsidRDefault="004A7BE8" w:rsidP="008A3C4C">
            <w:pPr>
              <w:autoSpaceDE w:val="0"/>
              <w:autoSpaceDN w:val="0"/>
              <w:adjustRightInd w:val="0"/>
              <w:spacing w:line="240" w:lineRule="auto"/>
              <w:ind w:firstLine="0"/>
              <w:jc w:val="center"/>
              <w:rPr>
                <w:rFonts w:eastAsiaTheme="minorEastAsia"/>
                <w:sz w:val="20"/>
                <w:szCs w:val="20"/>
              </w:rPr>
            </w:pPr>
          </w:p>
        </w:tc>
      </w:tr>
      <w:tr w:rsidR="004A7BE8" w:rsidRPr="00C03287" w14:paraId="55332DBE" w14:textId="77777777" w:rsidTr="004E1506">
        <w:trPr>
          <w:trHeight w:val="226"/>
        </w:trPr>
        <w:tc>
          <w:tcPr>
            <w:tcW w:w="0" w:type="auto"/>
            <w:tcBorders>
              <w:left w:val="nil"/>
              <w:bottom w:val="nil"/>
              <w:right w:val="nil"/>
            </w:tcBorders>
          </w:tcPr>
          <w:p w14:paraId="7D906FAA" w14:textId="77777777" w:rsidR="004A7BE8" w:rsidRPr="00C03287" w:rsidRDefault="004A7BE8" w:rsidP="008A3C4C">
            <w:pPr>
              <w:autoSpaceDE w:val="0"/>
              <w:autoSpaceDN w:val="0"/>
              <w:adjustRightInd w:val="0"/>
              <w:spacing w:line="240" w:lineRule="auto"/>
              <w:ind w:firstLine="0"/>
              <w:jc w:val="left"/>
              <w:rPr>
                <w:rFonts w:eastAsiaTheme="minorEastAsia"/>
                <w:sz w:val="20"/>
                <w:szCs w:val="20"/>
              </w:rPr>
            </w:pPr>
            <w:r>
              <w:rPr>
                <w:rFonts w:eastAsiaTheme="minorEastAsia"/>
                <w:sz w:val="20"/>
                <w:szCs w:val="20"/>
              </w:rPr>
              <w:t>Charged (by 20)</w:t>
            </w:r>
          </w:p>
        </w:tc>
        <w:tc>
          <w:tcPr>
            <w:tcW w:w="0" w:type="auto"/>
            <w:tcBorders>
              <w:left w:val="nil"/>
              <w:bottom w:val="nil"/>
              <w:right w:val="nil"/>
            </w:tcBorders>
          </w:tcPr>
          <w:p w14:paraId="2918BDFA" w14:textId="77777777" w:rsidR="004A7BE8" w:rsidRPr="00C03287" w:rsidRDefault="004A7BE8" w:rsidP="008A3C4C">
            <w:pPr>
              <w:autoSpaceDE w:val="0"/>
              <w:autoSpaceDN w:val="0"/>
              <w:adjustRightInd w:val="0"/>
              <w:spacing w:line="240" w:lineRule="auto"/>
              <w:ind w:firstLine="0"/>
              <w:jc w:val="center"/>
              <w:rPr>
                <w:rFonts w:eastAsiaTheme="minorEastAsia"/>
                <w:sz w:val="20"/>
                <w:szCs w:val="20"/>
              </w:rPr>
            </w:pPr>
            <w:r w:rsidRPr="00C03287">
              <w:rPr>
                <w:rFonts w:eastAsiaTheme="minorEastAsia"/>
                <w:sz w:val="20"/>
                <w:szCs w:val="20"/>
              </w:rPr>
              <w:t>98</w:t>
            </w:r>
          </w:p>
        </w:tc>
        <w:tc>
          <w:tcPr>
            <w:tcW w:w="0" w:type="auto"/>
            <w:tcBorders>
              <w:left w:val="nil"/>
              <w:bottom w:val="nil"/>
              <w:right w:val="nil"/>
            </w:tcBorders>
          </w:tcPr>
          <w:p w14:paraId="353CE4FB" w14:textId="77777777" w:rsidR="004A7BE8" w:rsidRPr="00C03287" w:rsidRDefault="004A7BE8" w:rsidP="008A3C4C">
            <w:pPr>
              <w:autoSpaceDE w:val="0"/>
              <w:autoSpaceDN w:val="0"/>
              <w:adjustRightInd w:val="0"/>
              <w:spacing w:line="240" w:lineRule="auto"/>
              <w:ind w:firstLine="0"/>
              <w:jc w:val="center"/>
              <w:rPr>
                <w:rFonts w:eastAsiaTheme="minorEastAsia"/>
                <w:sz w:val="20"/>
                <w:szCs w:val="20"/>
              </w:rPr>
            </w:pPr>
            <w:r w:rsidRPr="00C03287">
              <w:rPr>
                <w:rFonts w:eastAsiaTheme="minorEastAsia"/>
                <w:sz w:val="20"/>
                <w:szCs w:val="20"/>
              </w:rPr>
              <w:t>63</w:t>
            </w:r>
          </w:p>
        </w:tc>
        <w:tc>
          <w:tcPr>
            <w:tcW w:w="0" w:type="auto"/>
            <w:tcBorders>
              <w:left w:val="nil"/>
              <w:bottom w:val="nil"/>
              <w:right w:val="nil"/>
            </w:tcBorders>
          </w:tcPr>
          <w:p w14:paraId="7C293DC2" w14:textId="77777777" w:rsidR="004A7BE8" w:rsidRPr="00C03287" w:rsidRDefault="004A7BE8" w:rsidP="008A3C4C">
            <w:pPr>
              <w:autoSpaceDE w:val="0"/>
              <w:autoSpaceDN w:val="0"/>
              <w:adjustRightInd w:val="0"/>
              <w:spacing w:line="240" w:lineRule="auto"/>
              <w:ind w:firstLine="0"/>
              <w:jc w:val="center"/>
              <w:rPr>
                <w:rFonts w:eastAsiaTheme="minorEastAsia"/>
                <w:sz w:val="20"/>
                <w:szCs w:val="20"/>
              </w:rPr>
            </w:pPr>
          </w:p>
        </w:tc>
      </w:tr>
      <w:tr w:rsidR="004A7BE8" w:rsidRPr="00C03287" w14:paraId="083637DE" w14:textId="77777777" w:rsidTr="004E1506">
        <w:trPr>
          <w:trHeight w:val="20"/>
        </w:trPr>
        <w:tc>
          <w:tcPr>
            <w:tcW w:w="0" w:type="auto"/>
            <w:tcBorders>
              <w:top w:val="nil"/>
              <w:left w:val="nil"/>
              <w:right w:val="nil"/>
            </w:tcBorders>
          </w:tcPr>
          <w:p w14:paraId="276EAC04" w14:textId="77777777" w:rsidR="004A7BE8" w:rsidRPr="00C03287" w:rsidRDefault="004A7BE8" w:rsidP="008A3C4C">
            <w:pPr>
              <w:autoSpaceDE w:val="0"/>
              <w:autoSpaceDN w:val="0"/>
              <w:adjustRightInd w:val="0"/>
              <w:spacing w:line="240" w:lineRule="auto"/>
              <w:ind w:firstLine="0"/>
              <w:jc w:val="left"/>
              <w:rPr>
                <w:rFonts w:eastAsiaTheme="minorEastAsia"/>
                <w:sz w:val="20"/>
                <w:szCs w:val="20"/>
              </w:rPr>
            </w:pPr>
            <w:r>
              <w:rPr>
                <w:rFonts w:eastAsiaTheme="minorEastAsia"/>
                <w:sz w:val="20"/>
                <w:szCs w:val="20"/>
              </w:rPr>
              <w:t>Completed up. sec. educ. (by 21)</w:t>
            </w:r>
          </w:p>
        </w:tc>
        <w:tc>
          <w:tcPr>
            <w:tcW w:w="0" w:type="auto"/>
            <w:tcBorders>
              <w:top w:val="nil"/>
              <w:left w:val="nil"/>
              <w:right w:val="nil"/>
            </w:tcBorders>
          </w:tcPr>
          <w:p w14:paraId="5BC9CEB2" w14:textId="77777777" w:rsidR="004A7BE8" w:rsidRPr="00C03287" w:rsidRDefault="004A7BE8" w:rsidP="008A3C4C">
            <w:pPr>
              <w:autoSpaceDE w:val="0"/>
              <w:autoSpaceDN w:val="0"/>
              <w:adjustRightInd w:val="0"/>
              <w:spacing w:line="240" w:lineRule="auto"/>
              <w:ind w:firstLine="0"/>
              <w:jc w:val="center"/>
              <w:rPr>
                <w:rFonts w:eastAsiaTheme="minorEastAsia"/>
                <w:sz w:val="20"/>
                <w:szCs w:val="20"/>
              </w:rPr>
            </w:pPr>
            <w:r w:rsidRPr="00C03287">
              <w:rPr>
                <w:rFonts w:eastAsiaTheme="minorEastAsia"/>
                <w:sz w:val="20"/>
                <w:szCs w:val="20"/>
              </w:rPr>
              <w:t>102</w:t>
            </w:r>
          </w:p>
        </w:tc>
        <w:tc>
          <w:tcPr>
            <w:tcW w:w="0" w:type="auto"/>
            <w:tcBorders>
              <w:top w:val="nil"/>
              <w:left w:val="nil"/>
              <w:right w:val="nil"/>
            </w:tcBorders>
          </w:tcPr>
          <w:p w14:paraId="680B7A2C" w14:textId="77777777" w:rsidR="004A7BE8" w:rsidRPr="00C03287" w:rsidRDefault="004A7BE8" w:rsidP="008A3C4C">
            <w:pPr>
              <w:autoSpaceDE w:val="0"/>
              <w:autoSpaceDN w:val="0"/>
              <w:adjustRightInd w:val="0"/>
              <w:spacing w:line="240" w:lineRule="auto"/>
              <w:ind w:firstLine="0"/>
              <w:jc w:val="center"/>
              <w:rPr>
                <w:rFonts w:eastAsiaTheme="minorEastAsia"/>
                <w:sz w:val="20"/>
                <w:szCs w:val="20"/>
              </w:rPr>
            </w:pPr>
            <w:r w:rsidRPr="00C03287">
              <w:rPr>
                <w:rFonts w:eastAsiaTheme="minorEastAsia"/>
                <w:sz w:val="20"/>
                <w:szCs w:val="20"/>
              </w:rPr>
              <w:t>75</w:t>
            </w:r>
          </w:p>
        </w:tc>
        <w:tc>
          <w:tcPr>
            <w:tcW w:w="0" w:type="auto"/>
            <w:tcBorders>
              <w:top w:val="nil"/>
              <w:left w:val="nil"/>
              <w:right w:val="nil"/>
            </w:tcBorders>
          </w:tcPr>
          <w:p w14:paraId="1B5ADF53" w14:textId="77777777" w:rsidR="004A7BE8" w:rsidRPr="00C03287" w:rsidRDefault="004A7BE8" w:rsidP="008A3C4C">
            <w:pPr>
              <w:autoSpaceDE w:val="0"/>
              <w:autoSpaceDN w:val="0"/>
              <w:adjustRightInd w:val="0"/>
              <w:spacing w:line="240" w:lineRule="auto"/>
              <w:ind w:firstLine="0"/>
              <w:jc w:val="center"/>
              <w:rPr>
                <w:rFonts w:eastAsiaTheme="minorEastAsia"/>
                <w:sz w:val="20"/>
                <w:szCs w:val="20"/>
              </w:rPr>
            </w:pPr>
          </w:p>
        </w:tc>
      </w:tr>
      <w:tr w:rsidR="004A7BE8" w:rsidRPr="00C03287" w14:paraId="6A2A1089" w14:textId="77777777" w:rsidTr="004E1506">
        <w:trPr>
          <w:trHeight w:val="226"/>
        </w:trPr>
        <w:tc>
          <w:tcPr>
            <w:tcW w:w="0" w:type="auto"/>
            <w:tcBorders>
              <w:top w:val="nil"/>
              <w:left w:val="nil"/>
              <w:bottom w:val="single" w:sz="4" w:space="0" w:color="auto"/>
              <w:right w:val="nil"/>
            </w:tcBorders>
          </w:tcPr>
          <w:p w14:paraId="2309E26B" w14:textId="77777777" w:rsidR="004A7BE8" w:rsidRPr="00C03287" w:rsidRDefault="004A7BE8" w:rsidP="008A3C4C">
            <w:pPr>
              <w:autoSpaceDE w:val="0"/>
              <w:autoSpaceDN w:val="0"/>
              <w:adjustRightInd w:val="0"/>
              <w:spacing w:line="240" w:lineRule="auto"/>
              <w:ind w:firstLine="0"/>
              <w:jc w:val="left"/>
              <w:rPr>
                <w:rFonts w:eastAsiaTheme="minorEastAsia"/>
                <w:sz w:val="20"/>
                <w:szCs w:val="20"/>
              </w:rPr>
            </w:pPr>
            <w:r>
              <w:rPr>
                <w:rFonts w:eastAsiaTheme="minorEastAsia"/>
                <w:sz w:val="20"/>
                <w:szCs w:val="20"/>
              </w:rPr>
              <w:t>Examination gr</w:t>
            </w:r>
            <w:r w:rsidRPr="00C03287">
              <w:rPr>
                <w:rFonts w:eastAsiaTheme="minorEastAsia"/>
                <w:sz w:val="20"/>
                <w:szCs w:val="20"/>
              </w:rPr>
              <w:t>ades</w:t>
            </w:r>
          </w:p>
        </w:tc>
        <w:tc>
          <w:tcPr>
            <w:tcW w:w="0" w:type="auto"/>
            <w:tcBorders>
              <w:top w:val="nil"/>
              <w:left w:val="nil"/>
              <w:bottom w:val="single" w:sz="4" w:space="0" w:color="auto"/>
              <w:right w:val="nil"/>
            </w:tcBorders>
          </w:tcPr>
          <w:p w14:paraId="4D3FE123" w14:textId="77777777" w:rsidR="004A7BE8" w:rsidRPr="00C03287" w:rsidRDefault="004A7BE8" w:rsidP="008A3C4C">
            <w:pPr>
              <w:autoSpaceDE w:val="0"/>
              <w:autoSpaceDN w:val="0"/>
              <w:adjustRightInd w:val="0"/>
              <w:spacing w:line="240" w:lineRule="auto"/>
              <w:ind w:firstLine="0"/>
              <w:jc w:val="center"/>
              <w:rPr>
                <w:rFonts w:eastAsiaTheme="minorEastAsia"/>
                <w:sz w:val="20"/>
                <w:szCs w:val="20"/>
              </w:rPr>
            </w:pPr>
            <w:r w:rsidRPr="00C03287">
              <w:rPr>
                <w:rFonts w:eastAsiaTheme="minorEastAsia"/>
                <w:sz w:val="20"/>
                <w:szCs w:val="20"/>
              </w:rPr>
              <w:t>102</w:t>
            </w:r>
          </w:p>
        </w:tc>
        <w:tc>
          <w:tcPr>
            <w:tcW w:w="0" w:type="auto"/>
            <w:tcBorders>
              <w:top w:val="nil"/>
              <w:left w:val="nil"/>
              <w:bottom w:val="single" w:sz="4" w:space="0" w:color="auto"/>
              <w:right w:val="nil"/>
            </w:tcBorders>
          </w:tcPr>
          <w:p w14:paraId="26ACD362" w14:textId="77777777" w:rsidR="004A7BE8" w:rsidRPr="00C03287" w:rsidRDefault="004A7BE8" w:rsidP="008A3C4C">
            <w:pPr>
              <w:autoSpaceDE w:val="0"/>
              <w:autoSpaceDN w:val="0"/>
              <w:adjustRightInd w:val="0"/>
              <w:spacing w:line="240" w:lineRule="auto"/>
              <w:ind w:firstLine="0"/>
              <w:jc w:val="center"/>
              <w:rPr>
                <w:rFonts w:eastAsiaTheme="minorEastAsia"/>
                <w:sz w:val="20"/>
                <w:szCs w:val="20"/>
              </w:rPr>
            </w:pPr>
            <w:r w:rsidRPr="00C03287">
              <w:rPr>
                <w:rFonts w:eastAsiaTheme="minorEastAsia"/>
                <w:sz w:val="20"/>
                <w:szCs w:val="20"/>
              </w:rPr>
              <w:t>68</w:t>
            </w:r>
          </w:p>
        </w:tc>
        <w:tc>
          <w:tcPr>
            <w:tcW w:w="0" w:type="auto"/>
            <w:tcBorders>
              <w:top w:val="nil"/>
              <w:left w:val="nil"/>
              <w:bottom w:val="single" w:sz="4" w:space="0" w:color="auto"/>
              <w:right w:val="nil"/>
            </w:tcBorders>
          </w:tcPr>
          <w:p w14:paraId="4F361E02" w14:textId="77777777" w:rsidR="004A7BE8" w:rsidRPr="00C03287" w:rsidRDefault="004A7BE8" w:rsidP="008A3C4C">
            <w:pPr>
              <w:autoSpaceDE w:val="0"/>
              <w:autoSpaceDN w:val="0"/>
              <w:adjustRightInd w:val="0"/>
              <w:spacing w:line="240" w:lineRule="auto"/>
              <w:ind w:firstLine="0"/>
              <w:jc w:val="center"/>
              <w:rPr>
                <w:rFonts w:eastAsiaTheme="minorEastAsia"/>
                <w:sz w:val="20"/>
                <w:szCs w:val="20"/>
              </w:rPr>
            </w:pPr>
          </w:p>
        </w:tc>
      </w:tr>
    </w:tbl>
    <w:p w14:paraId="45E263ED" w14:textId="0D3D9011" w:rsidR="00566349" w:rsidRDefault="00566349">
      <w:pPr>
        <w:widowControl/>
        <w:spacing w:after="160" w:line="259" w:lineRule="auto"/>
        <w:ind w:firstLine="0"/>
        <w:jc w:val="left"/>
      </w:pPr>
      <w:r>
        <w:br w:type="page"/>
      </w:r>
    </w:p>
    <w:p w14:paraId="0DCCA443" w14:textId="77777777" w:rsidR="004A7BE8" w:rsidRDefault="004A7BE8" w:rsidP="004A7BE8">
      <w:pPr>
        <w:ind w:firstLine="0"/>
      </w:pPr>
    </w:p>
    <w:p w14:paraId="19205D55" w14:textId="77777777" w:rsidR="004A7BE8" w:rsidRDefault="004A7BE8" w:rsidP="004A7BE8">
      <w:pPr>
        <w:widowControl/>
        <w:spacing w:line="240" w:lineRule="auto"/>
        <w:ind w:firstLine="0"/>
        <w:jc w:val="left"/>
      </w:pPr>
      <w:r>
        <w:rPr>
          <w:noProof/>
          <w:lang w:val="nb-NO" w:eastAsia="nb-NO"/>
        </w:rPr>
        <w:drawing>
          <wp:inline distT="0" distB="0" distL="0" distR="0" wp14:anchorId="6986199C" wp14:editId="58917832">
            <wp:extent cx="5753100" cy="2533650"/>
            <wp:effectExtent l="0" t="0" r="0" b="0"/>
            <wp:docPr id="4" name="Picture 4" descr="md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di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14:paraId="09A93E61" w14:textId="77777777" w:rsidR="004A7BE8" w:rsidRPr="00C52709" w:rsidRDefault="004A7BE8" w:rsidP="004A7BE8">
      <w:pPr>
        <w:spacing w:line="240" w:lineRule="auto"/>
        <w:ind w:firstLine="0"/>
        <w:jc w:val="left"/>
      </w:pPr>
      <w:r>
        <w:rPr>
          <w:b/>
        </w:rPr>
        <w:t xml:space="preserve">Appendix </w:t>
      </w:r>
      <w:r w:rsidRPr="00C52709">
        <w:rPr>
          <w:b/>
        </w:rPr>
        <w:t xml:space="preserve">Figure </w:t>
      </w:r>
      <w:r>
        <w:rPr>
          <w:b/>
        </w:rPr>
        <w:t>D2</w:t>
      </w:r>
      <w:r w:rsidRPr="00C52709">
        <w:rPr>
          <w:b/>
        </w:rPr>
        <w:t xml:space="preserve">: </w:t>
      </w:r>
      <w:r w:rsidRPr="00C52709">
        <w:t xml:space="preserve">Effect estimates (after) and pre-program heterogeneity </w:t>
      </w:r>
      <w:r>
        <w:t xml:space="preserve">in a matched-DiD model </w:t>
      </w:r>
      <w:r w:rsidRPr="00C52709">
        <w:t xml:space="preserve">with 95% CI. </w:t>
      </w:r>
    </w:p>
    <w:p w14:paraId="3CCAC111" w14:textId="77777777" w:rsidR="004A7BE8" w:rsidRPr="00C52709" w:rsidRDefault="004A7BE8" w:rsidP="004A7BE8">
      <w:pPr>
        <w:spacing w:line="240" w:lineRule="auto"/>
        <w:ind w:firstLine="0"/>
        <w:jc w:val="left"/>
      </w:pPr>
    </w:p>
    <w:p w14:paraId="495D7AFF" w14:textId="77777777" w:rsidR="004A7BE8" w:rsidRPr="00DA6A7E" w:rsidRDefault="004A7BE8" w:rsidP="004A7BE8">
      <w:pPr>
        <w:spacing w:line="240" w:lineRule="auto"/>
        <w:ind w:firstLine="0"/>
        <w:jc w:val="left"/>
        <w:rPr>
          <w:sz w:val="20"/>
          <w:szCs w:val="20"/>
        </w:rPr>
      </w:pPr>
      <w:r w:rsidRPr="00DA6A7E">
        <w:rPr>
          <w:sz w:val="20"/>
          <w:szCs w:val="20"/>
        </w:rPr>
        <w:t xml:space="preserve">Note: Outcome metrics: Standardized for examination grades. Observed share for </w:t>
      </w:r>
      <w:r>
        <w:rPr>
          <w:sz w:val="20"/>
          <w:szCs w:val="20"/>
        </w:rPr>
        <w:t>criminal charges</w:t>
      </w:r>
      <w:r w:rsidRPr="00DA6A7E" w:rsidDel="008119DB">
        <w:rPr>
          <w:sz w:val="20"/>
          <w:szCs w:val="20"/>
        </w:rPr>
        <w:t xml:space="preserve"> </w:t>
      </w:r>
      <w:r w:rsidRPr="00DA6A7E">
        <w:rPr>
          <w:sz w:val="20"/>
          <w:szCs w:val="20"/>
        </w:rPr>
        <w:t xml:space="preserve">and completion of upper secondary education. </w:t>
      </w:r>
    </w:p>
    <w:p w14:paraId="22446FF7" w14:textId="77777777" w:rsidR="004A7BE8" w:rsidRDefault="004A7BE8" w:rsidP="004A7BE8">
      <w:pPr>
        <w:widowControl/>
        <w:spacing w:line="240" w:lineRule="auto"/>
        <w:ind w:firstLine="0"/>
        <w:jc w:val="left"/>
      </w:pPr>
    </w:p>
    <w:p w14:paraId="36881CB7" w14:textId="77777777" w:rsidR="004A7BE8" w:rsidRDefault="004A7BE8" w:rsidP="004A7BE8">
      <w:pPr>
        <w:widowControl/>
        <w:spacing w:line="240" w:lineRule="auto"/>
        <w:ind w:firstLine="0"/>
        <w:jc w:val="left"/>
      </w:pPr>
    </w:p>
    <w:p w14:paraId="1EC264FC" w14:textId="77777777" w:rsidR="004A7BE8" w:rsidRPr="007A130F" w:rsidRDefault="004A7BE8" w:rsidP="004A7BE8">
      <w:pPr>
        <w:widowControl/>
        <w:spacing w:line="240" w:lineRule="auto"/>
        <w:ind w:firstLine="0"/>
        <w:jc w:val="left"/>
      </w:pPr>
    </w:p>
    <w:p w14:paraId="6B98DE46" w14:textId="77777777" w:rsidR="00CF2A3E" w:rsidRDefault="00CF2A3E"/>
    <w:p w14:paraId="63E380BE" w14:textId="1964C39F" w:rsidR="009C3AA0" w:rsidRDefault="009C3AA0">
      <w:pPr>
        <w:widowControl/>
        <w:spacing w:after="160" w:line="259" w:lineRule="auto"/>
        <w:ind w:firstLine="0"/>
        <w:jc w:val="left"/>
      </w:pPr>
      <w:r>
        <w:br w:type="page"/>
      </w:r>
    </w:p>
    <w:p w14:paraId="49B16B5A" w14:textId="2CF82F4A" w:rsidR="00CF2A3E" w:rsidRDefault="009C3AA0" w:rsidP="009C3AA0">
      <w:pPr>
        <w:pStyle w:val="Heading1"/>
      </w:pPr>
      <w:r>
        <w:lastRenderedPageBreak/>
        <w:t>Online Appendix References</w:t>
      </w:r>
    </w:p>
    <w:p w14:paraId="1FBAA90E" w14:textId="77777777" w:rsidR="00403075" w:rsidRPr="00403075" w:rsidRDefault="00CF2A3E" w:rsidP="00403075">
      <w:pPr>
        <w:pStyle w:val="EndNoteBibliography"/>
        <w:ind w:left="720" w:hanging="720"/>
      </w:pPr>
      <w:r>
        <w:fldChar w:fldCharType="begin"/>
      </w:r>
      <w:r>
        <w:instrText xml:space="preserve"> ADDIN EN.REFLIST </w:instrText>
      </w:r>
      <w:r>
        <w:fldChar w:fldCharType="separate"/>
      </w:r>
      <w:r w:rsidR="00403075" w:rsidRPr="00403075">
        <w:t xml:space="preserve">Angrist, J. D., &amp; Pischke, J.-S. (2009). </w:t>
      </w:r>
      <w:r w:rsidR="00403075" w:rsidRPr="00403075">
        <w:rPr>
          <w:i/>
        </w:rPr>
        <w:t>Mostly harmless econometrics: an empiricist's companion</w:t>
      </w:r>
      <w:r w:rsidR="00403075" w:rsidRPr="00403075">
        <w:t>. Princeton: Princeton University Press.</w:t>
      </w:r>
    </w:p>
    <w:p w14:paraId="41BACCAF" w14:textId="77777777" w:rsidR="00403075" w:rsidRPr="00403075" w:rsidRDefault="00403075" w:rsidP="00403075">
      <w:pPr>
        <w:pStyle w:val="EndNoteBibliography"/>
        <w:ind w:left="720" w:hanging="720"/>
      </w:pPr>
      <w:r w:rsidRPr="00403075">
        <w:t xml:space="preserve">Cameron, A. C., &amp; Miller, D. L. (2015). A practitioner’s guide to cluster-robust inference. </w:t>
      </w:r>
      <w:r w:rsidRPr="00403075">
        <w:rPr>
          <w:i/>
        </w:rPr>
        <w:t>Journal of Human Resources, 50</w:t>
      </w:r>
      <w:r w:rsidRPr="00403075">
        <w:t>(2), 317-372.</w:t>
      </w:r>
    </w:p>
    <w:p w14:paraId="7AF9E31C" w14:textId="77777777" w:rsidR="00403075" w:rsidRPr="00403075" w:rsidRDefault="00403075" w:rsidP="00403075">
      <w:pPr>
        <w:pStyle w:val="EndNoteBibliography"/>
        <w:ind w:left="720" w:hanging="720"/>
      </w:pPr>
      <w:r w:rsidRPr="00403075">
        <w:t xml:space="preserve">Daw, J. R., &amp; Hatfield, L. A. (2018a). Matching and Regression to the Mean in Difference-in-Differences Analysis. </w:t>
      </w:r>
      <w:r w:rsidRPr="00403075">
        <w:rPr>
          <w:i/>
        </w:rPr>
        <w:t>Health Services Research, 53</w:t>
      </w:r>
      <w:r w:rsidRPr="00403075">
        <w:t>(6), 4138-4156.</w:t>
      </w:r>
    </w:p>
    <w:p w14:paraId="2E56D268" w14:textId="77777777" w:rsidR="00403075" w:rsidRPr="00403075" w:rsidRDefault="00403075" w:rsidP="00403075">
      <w:pPr>
        <w:pStyle w:val="EndNoteBibliography"/>
        <w:ind w:left="720" w:hanging="720"/>
      </w:pPr>
      <w:r w:rsidRPr="00403075">
        <w:t xml:space="preserve">Daw, J. R., &amp; Hatfield, L. A. (2018b). Matching in Difference-in-Differences: between a Rock and a Hard Place. </w:t>
      </w:r>
      <w:r w:rsidRPr="00403075">
        <w:rPr>
          <w:i/>
        </w:rPr>
        <w:t>Health Services Research, 53</w:t>
      </w:r>
      <w:r w:rsidRPr="00403075">
        <w:t>(6), 4111-4117.</w:t>
      </w:r>
    </w:p>
    <w:p w14:paraId="538CF870" w14:textId="77777777" w:rsidR="00403075" w:rsidRPr="00403075" w:rsidRDefault="00403075" w:rsidP="00403075">
      <w:pPr>
        <w:pStyle w:val="EndNoteBibliography"/>
        <w:ind w:left="720" w:hanging="720"/>
      </w:pPr>
      <w:r w:rsidRPr="00403075">
        <w:t xml:space="preserve">Lewbel, A. (2007). Estimation of average treatment effects with misclassification. </w:t>
      </w:r>
      <w:r w:rsidRPr="00403075">
        <w:rPr>
          <w:i/>
        </w:rPr>
        <w:t>Econometrica, 75</w:t>
      </w:r>
      <w:r w:rsidRPr="00403075">
        <w:t>(2), 537-551.</w:t>
      </w:r>
    </w:p>
    <w:p w14:paraId="41A9A4E6" w14:textId="77777777" w:rsidR="00403075" w:rsidRPr="00403075" w:rsidRDefault="00403075" w:rsidP="00403075">
      <w:pPr>
        <w:pStyle w:val="EndNoteBibliography"/>
        <w:ind w:left="720" w:hanging="720"/>
      </w:pPr>
      <w:r w:rsidRPr="00403075">
        <w:t xml:space="preserve">Mood, C. (2010). Logistic Regression: Why We Cannot Do What We Think We Can Do, and What We Can Do About It. </w:t>
      </w:r>
      <w:r w:rsidRPr="00403075">
        <w:rPr>
          <w:i/>
        </w:rPr>
        <w:t>European Sociological Review, 26</w:t>
      </w:r>
      <w:r w:rsidRPr="00403075">
        <w:t>(1), 67-82.</w:t>
      </w:r>
    </w:p>
    <w:p w14:paraId="2B0534F1" w14:textId="77777777" w:rsidR="00403075" w:rsidRPr="00403075" w:rsidRDefault="00403075" w:rsidP="00403075">
      <w:pPr>
        <w:pStyle w:val="EndNoteBibliography"/>
        <w:ind w:left="720" w:hanging="720"/>
      </w:pPr>
      <w:r w:rsidRPr="00403075">
        <w:t xml:space="preserve">Ryan, A. M. (2018). Well-Balanced or too Matchy–Matchy? The Controversy over Matching in Difference-in-Differences. </w:t>
      </w:r>
      <w:r w:rsidRPr="00403075">
        <w:rPr>
          <w:i/>
        </w:rPr>
        <w:t>Health Services Research, 53</w:t>
      </w:r>
      <w:r w:rsidRPr="00403075">
        <w:t>(6), 4106-4110.</w:t>
      </w:r>
    </w:p>
    <w:p w14:paraId="531D1105" w14:textId="77777777" w:rsidR="00403075" w:rsidRPr="00403075" w:rsidRDefault="00403075" w:rsidP="00403075">
      <w:pPr>
        <w:pStyle w:val="EndNoteBibliography"/>
        <w:ind w:left="720" w:hanging="720"/>
      </w:pPr>
      <w:r w:rsidRPr="00403075">
        <w:t xml:space="preserve">Ryan, A. M., Burgess Jr., J. F., &amp; Dimick, J. B. (2015). Why We Should Not Be Indifferent to Specification Choices for Difference-in-Differences. </w:t>
      </w:r>
      <w:r w:rsidRPr="00403075">
        <w:rPr>
          <w:i/>
        </w:rPr>
        <w:t>Health Services Research, 50</w:t>
      </w:r>
      <w:r w:rsidRPr="00403075">
        <w:t>(4), 1211-1235.</w:t>
      </w:r>
    </w:p>
    <w:p w14:paraId="22A8DC7C" w14:textId="27466853" w:rsidR="00AE5BF8" w:rsidRDefault="00CF2A3E">
      <w:r>
        <w:fldChar w:fldCharType="end"/>
      </w:r>
    </w:p>
    <w:sectPr w:rsidR="00AE5BF8" w:rsidSect="007A7F2F">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D92F0" w14:textId="77777777" w:rsidR="00B10232" w:rsidRDefault="00B10232" w:rsidP="004A7BE8">
      <w:pPr>
        <w:spacing w:line="240" w:lineRule="auto"/>
      </w:pPr>
      <w:r>
        <w:separator/>
      </w:r>
    </w:p>
  </w:endnote>
  <w:endnote w:type="continuationSeparator" w:id="0">
    <w:p w14:paraId="1975E97C" w14:textId="77777777" w:rsidR="00B10232" w:rsidRDefault="00B10232" w:rsidP="004A7B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129296"/>
      <w:docPartObj>
        <w:docPartGallery w:val="Page Numbers (Bottom of Page)"/>
        <w:docPartUnique/>
      </w:docPartObj>
    </w:sdtPr>
    <w:sdtEndPr/>
    <w:sdtContent>
      <w:p w14:paraId="19FBAEB1" w14:textId="05620DBF" w:rsidR="009C3AA0" w:rsidRDefault="009C3AA0">
        <w:pPr>
          <w:pStyle w:val="Footer"/>
          <w:jc w:val="right"/>
        </w:pPr>
        <w:r>
          <w:fldChar w:fldCharType="begin"/>
        </w:r>
        <w:r>
          <w:instrText>PAGE   \* MERGEFORMAT</w:instrText>
        </w:r>
        <w:r>
          <w:fldChar w:fldCharType="separate"/>
        </w:r>
        <w:r w:rsidR="00056B82" w:rsidRPr="00056B82">
          <w:rPr>
            <w:noProof/>
            <w:lang w:val="nb-NO"/>
          </w:rPr>
          <w:t>2</w:t>
        </w:r>
        <w:r>
          <w:fldChar w:fldCharType="end"/>
        </w:r>
      </w:p>
    </w:sdtContent>
  </w:sdt>
  <w:p w14:paraId="1E246938" w14:textId="77777777" w:rsidR="009C3AA0" w:rsidRDefault="009C3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8AC86" w14:textId="77777777" w:rsidR="00B10232" w:rsidRDefault="00B10232" w:rsidP="00901718">
      <w:pPr>
        <w:spacing w:line="240" w:lineRule="auto"/>
        <w:ind w:firstLine="0"/>
      </w:pPr>
      <w:r>
        <w:separator/>
      </w:r>
    </w:p>
  </w:footnote>
  <w:footnote w:type="continuationSeparator" w:id="0">
    <w:p w14:paraId="535DD456" w14:textId="77777777" w:rsidR="00B10232" w:rsidRDefault="00B10232" w:rsidP="004A7BE8">
      <w:pPr>
        <w:spacing w:line="240" w:lineRule="auto"/>
      </w:pPr>
      <w:r>
        <w:continuationSeparator/>
      </w:r>
    </w:p>
  </w:footnote>
  <w:footnote w:id="1">
    <w:p w14:paraId="151F4206" w14:textId="691357B9" w:rsidR="00951D5B" w:rsidRPr="00951D5B" w:rsidRDefault="00951D5B">
      <w:pPr>
        <w:pStyle w:val="FootnoteText"/>
      </w:pPr>
      <w:r>
        <w:rPr>
          <w:rStyle w:val="FootnoteReference"/>
        </w:rPr>
        <w:footnoteRef/>
      </w:r>
      <w:r>
        <w:t xml:space="preserve"> </w:t>
      </w:r>
      <w:r w:rsidR="0093174D">
        <w:t xml:space="preserve">Note that we do not need to assign students correctly to schools, but rather, to the correct OBPP treatment status. This means that we need to assign students to a school with the correct year of OBPP implementation. </w:t>
      </w:r>
    </w:p>
  </w:footnote>
  <w:footnote w:id="2">
    <w:p w14:paraId="361A79B4" w14:textId="77777777" w:rsidR="004A7BE8" w:rsidRPr="008B7308" w:rsidRDefault="004A7BE8" w:rsidP="004A7BE8">
      <w:pPr>
        <w:pStyle w:val="FootnoteText"/>
      </w:pPr>
      <w:r>
        <w:rPr>
          <w:rStyle w:val="FootnoteReference"/>
        </w:rPr>
        <w:footnoteRef/>
      </w:r>
      <w:r>
        <w:t xml:space="preserve"> We have used Stata 16.0 to run all analyses.</w:t>
      </w:r>
    </w:p>
  </w:footnote>
  <w:footnote w:id="3">
    <w:p w14:paraId="30BBD15F" w14:textId="77777777" w:rsidR="004A7BE8" w:rsidRPr="00CF7006" w:rsidRDefault="004A7BE8" w:rsidP="004A7BE8">
      <w:pPr>
        <w:pStyle w:val="FootnoteText"/>
      </w:pPr>
      <w:r w:rsidRPr="00CF7006">
        <w:rPr>
          <w:rStyle w:val="FootnoteReference"/>
        </w:rPr>
        <w:footnoteRef/>
      </w:r>
      <w:r w:rsidRPr="00CF7006">
        <w:t xml:space="preserve"> </w:t>
      </w:r>
      <w:r>
        <w:t xml:space="preserve">Neighboring municipalities is identified based on the official municipality number, where neighboring municipalities often have successive numbers.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b-NO"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MyMLSwNDEGQiUdpeDU4uLM/DyQAuNaAHCAUtcsAAAA"/>
    <w:docVar w:name="EN.Layout" w:val="&lt;ENLayout&gt;&lt;Style&gt;APA 6th Prevention 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90ps2agaxfw8essaxvaes9x0wpwafdp0zt&quot;&gt;Bibliotek&lt;record-ids&gt;&lt;item&gt;73&lt;/item&gt;&lt;item&gt;945&lt;/item&gt;&lt;item&gt;990&lt;/item&gt;&lt;item&gt;1072&lt;/item&gt;&lt;item&gt;1073&lt;/item&gt;&lt;item&gt;1074&lt;/item&gt;&lt;item&gt;1075&lt;/item&gt;&lt;item&gt;1096&lt;/item&gt;&lt;/record-ids&gt;&lt;/item&gt;&lt;/Libraries&gt;"/>
  </w:docVars>
  <w:rsids>
    <w:rsidRoot w:val="004A7BE8"/>
    <w:rsid w:val="000521F9"/>
    <w:rsid w:val="00056B82"/>
    <w:rsid w:val="0018270A"/>
    <w:rsid w:val="0025186C"/>
    <w:rsid w:val="00254027"/>
    <w:rsid w:val="0029676B"/>
    <w:rsid w:val="002E67FE"/>
    <w:rsid w:val="0039300F"/>
    <w:rsid w:val="003E3760"/>
    <w:rsid w:val="00403075"/>
    <w:rsid w:val="004A7BE8"/>
    <w:rsid w:val="004E0CBB"/>
    <w:rsid w:val="004E1506"/>
    <w:rsid w:val="00506C60"/>
    <w:rsid w:val="00566349"/>
    <w:rsid w:val="00783468"/>
    <w:rsid w:val="007F5597"/>
    <w:rsid w:val="008743A4"/>
    <w:rsid w:val="00886B17"/>
    <w:rsid w:val="008873B0"/>
    <w:rsid w:val="008A1B2A"/>
    <w:rsid w:val="008A57E2"/>
    <w:rsid w:val="008D648C"/>
    <w:rsid w:val="00901718"/>
    <w:rsid w:val="009259CD"/>
    <w:rsid w:val="0093174D"/>
    <w:rsid w:val="00951D5B"/>
    <w:rsid w:val="009C3AA0"/>
    <w:rsid w:val="00A85F6D"/>
    <w:rsid w:val="00B10232"/>
    <w:rsid w:val="00B36434"/>
    <w:rsid w:val="00B36470"/>
    <w:rsid w:val="00B47E00"/>
    <w:rsid w:val="00B55F82"/>
    <w:rsid w:val="00BE118F"/>
    <w:rsid w:val="00BF4394"/>
    <w:rsid w:val="00C66290"/>
    <w:rsid w:val="00CF2A3E"/>
    <w:rsid w:val="00E2535B"/>
    <w:rsid w:val="00ED4B16"/>
    <w:rsid w:val="00ED53E0"/>
    <w:rsid w:val="00F519E3"/>
    <w:rsid w:val="00F5586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52383"/>
  <w15:chartTrackingRefBased/>
  <w15:docId w15:val="{E6DC3372-9B4B-4951-BB36-C1AE45AF5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BE8"/>
    <w:pPr>
      <w:widowControl w:val="0"/>
      <w:spacing w:after="0" w:line="480" w:lineRule="auto"/>
      <w:ind w:firstLine="709"/>
      <w:jc w:val="both"/>
    </w:pPr>
    <w:rPr>
      <w:rFonts w:ascii="Times New Roman" w:eastAsia="Calibri" w:hAnsi="Times New Roman" w:cs="Times New Roman"/>
      <w:sz w:val="24"/>
      <w:lang w:val="en-US"/>
    </w:rPr>
  </w:style>
  <w:style w:type="paragraph" w:styleId="Heading1">
    <w:name w:val="heading 1"/>
    <w:basedOn w:val="Normal"/>
    <w:next w:val="Normal"/>
    <w:link w:val="Heading1Char"/>
    <w:uiPriority w:val="9"/>
    <w:qFormat/>
    <w:rsid w:val="004A7BE8"/>
    <w:pPr>
      <w:keepNext/>
      <w:keepLines/>
      <w:autoSpaceDE w:val="0"/>
      <w:autoSpaceDN w:val="0"/>
      <w:ind w:firstLine="0"/>
      <w:outlineLvl w:val="0"/>
    </w:pPr>
    <w:rPr>
      <w:rFonts w:eastAsia="Times New Roman"/>
      <w:b/>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BE8"/>
    <w:rPr>
      <w:rFonts w:ascii="Times New Roman" w:eastAsia="Times New Roman" w:hAnsi="Times New Roman" w:cs="Times New Roman"/>
      <w:b/>
      <w:sz w:val="26"/>
      <w:szCs w:val="32"/>
      <w:lang w:val="en-US"/>
    </w:rPr>
  </w:style>
  <w:style w:type="paragraph" w:styleId="FootnoteText">
    <w:name w:val="footnote text"/>
    <w:basedOn w:val="Normal"/>
    <w:link w:val="FootnoteTextChar"/>
    <w:uiPriority w:val="99"/>
    <w:unhideWhenUsed/>
    <w:rsid w:val="004A7BE8"/>
    <w:pPr>
      <w:autoSpaceDE w:val="0"/>
      <w:autoSpaceDN w:val="0"/>
      <w:spacing w:line="240" w:lineRule="auto"/>
      <w:ind w:firstLine="0"/>
    </w:pPr>
    <w:rPr>
      <w:rFonts w:eastAsia="Times New Roman" w:cs="Times"/>
      <w:sz w:val="20"/>
      <w:szCs w:val="20"/>
    </w:rPr>
  </w:style>
  <w:style w:type="character" w:customStyle="1" w:styleId="FootnoteTextChar">
    <w:name w:val="Footnote Text Char"/>
    <w:basedOn w:val="DefaultParagraphFont"/>
    <w:link w:val="FootnoteText"/>
    <w:uiPriority w:val="99"/>
    <w:rsid w:val="004A7BE8"/>
    <w:rPr>
      <w:rFonts w:ascii="Times New Roman" w:eastAsia="Times New Roman" w:hAnsi="Times New Roman" w:cs="Times"/>
      <w:sz w:val="20"/>
      <w:szCs w:val="20"/>
      <w:lang w:val="en-US"/>
    </w:rPr>
  </w:style>
  <w:style w:type="character" w:styleId="FootnoteReference">
    <w:name w:val="footnote reference"/>
    <w:uiPriority w:val="99"/>
    <w:unhideWhenUsed/>
    <w:rsid w:val="004A7BE8"/>
    <w:rPr>
      <w:vertAlign w:val="superscript"/>
    </w:rPr>
  </w:style>
  <w:style w:type="character" w:styleId="CommentReference">
    <w:name w:val="annotation reference"/>
    <w:uiPriority w:val="99"/>
    <w:semiHidden/>
    <w:unhideWhenUsed/>
    <w:rsid w:val="004A7BE8"/>
    <w:rPr>
      <w:sz w:val="16"/>
      <w:szCs w:val="16"/>
    </w:rPr>
  </w:style>
  <w:style w:type="paragraph" w:styleId="CommentText">
    <w:name w:val="annotation text"/>
    <w:basedOn w:val="Normal"/>
    <w:link w:val="CommentTextChar"/>
    <w:uiPriority w:val="99"/>
    <w:unhideWhenUsed/>
    <w:rsid w:val="004A7BE8"/>
    <w:pPr>
      <w:spacing w:line="240" w:lineRule="auto"/>
    </w:pPr>
    <w:rPr>
      <w:sz w:val="20"/>
      <w:szCs w:val="20"/>
    </w:rPr>
  </w:style>
  <w:style w:type="character" w:customStyle="1" w:styleId="CommentTextChar">
    <w:name w:val="Comment Text Char"/>
    <w:basedOn w:val="DefaultParagraphFont"/>
    <w:link w:val="CommentText"/>
    <w:uiPriority w:val="99"/>
    <w:rsid w:val="004A7BE8"/>
    <w:rPr>
      <w:rFonts w:ascii="Times New Roman" w:eastAsia="Calibri" w:hAnsi="Times New Roman" w:cs="Times New Roman"/>
      <w:sz w:val="20"/>
      <w:szCs w:val="20"/>
      <w:lang w:val="en-US"/>
    </w:rPr>
  </w:style>
  <w:style w:type="paragraph" w:styleId="BalloonText">
    <w:name w:val="Balloon Text"/>
    <w:basedOn w:val="Normal"/>
    <w:link w:val="BalloonTextChar"/>
    <w:uiPriority w:val="99"/>
    <w:semiHidden/>
    <w:unhideWhenUsed/>
    <w:rsid w:val="004A7BE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BE8"/>
    <w:rPr>
      <w:rFonts w:ascii="Segoe UI" w:eastAsia="Calibri" w:hAnsi="Segoe UI" w:cs="Segoe UI"/>
      <w:sz w:val="18"/>
      <w:szCs w:val="18"/>
      <w:lang w:val="en-US"/>
    </w:rPr>
  </w:style>
  <w:style w:type="paragraph" w:customStyle="1" w:styleId="EndNoteBibliographyTitle">
    <w:name w:val="EndNote Bibliography Title"/>
    <w:basedOn w:val="Normal"/>
    <w:link w:val="EndNoteBibliographyTitleChar"/>
    <w:rsid w:val="00CF2A3E"/>
    <w:pPr>
      <w:jc w:val="center"/>
    </w:pPr>
    <w:rPr>
      <w:noProof/>
    </w:rPr>
  </w:style>
  <w:style w:type="character" w:customStyle="1" w:styleId="EndNoteBibliographyTitleChar">
    <w:name w:val="EndNote Bibliography Title Char"/>
    <w:basedOn w:val="DefaultParagraphFont"/>
    <w:link w:val="EndNoteBibliographyTitle"/>
    <w:rsid w:val="00CF2A3E"/>
    <w:rPr>
      <w:rFonts w:ascii="Times New Roman" w:eastAsia="Calibri" w:hAnsi="Times New Roman" w:cs="Times New Roman"/>
      <w:noProof/>
      <w:sz w:val="24"/>
      <w:lang w:val="en-US"/>
    </w:rPr>
  </w:style>
  <w:style w:type="paragraph" w:customStyle="1" w:styleId="EndNoteBibliography">
    <w:name w:val="EndNote Bibliography"/>
    <w:basedOn w:val="Normal"/>
    <w:link w:val="EndNoteBibliographyChar"/>
    <w:rsid w:val="00CF2A3E"/>
    <w:pPr>
      <w:spacing w:line="240" w:lineRule="auto"/>
    </w:pPr>
    <w:rPr>
      <w:noProof/>
    </w:rPr>
  </w:style>
  <w:style w:type="character" w:customStyle="1" w:styleId="EndNoteBibliographyChar">
    <w:name w:val="EndNote Bibliography Char"/>
    <w:basedOn w:val="DefaultParagraphFont"/>
    <w:link w:val="EndNoteBibliography"/>
    <w:rsid w:val="00CF2A3E"/>
    <w:rPr>
      <w:rFonts w:ascii="Times New Roman" w:eastAsia="Calibri" w:hAnsi="Times New Roman" w:cs="Times New Roman"/>
      <w:noProof/>
      <w:sz w:val="24"/>
      <w:lang w:val="en-US"/>
    </w:rPr>
  </w:style>
  <w:style w:type="paragraph" w:styleId="Header">
    <w:name w:val="header"/>
    <w:basedOn w:val="Normal"/>
    <w:link w:val="HeaderChar"/>
    <w:uiPriority w:val="99"/>
    <w:unhideWhenUsed/>
    <w:rsid w:val="009C3AA0"/>
    <w:pPr>
      <w:tabs>
        <w:tab w:val="center" w:pos="4513"/>
        <w:tab w:val="right" w:pos="9026"/>
      </w:tabs>
      <w:spacing w:line="240" w:lineRule="auto"/>
    </w:pPr>
  </w:style>
  <w:style w:type="character" w:customStyle="1" w:styleId="HeaderChar">
    <w:name w:val="Header Char"/>
    <w:basedOn w:val="DefaultParagraphFont"/>
    <w:link w:val="Header"/>
    <w:uiPriority w:val="99"/>
    <w:rsid w:val="009C3AA0"/>
    <w:rPr>
      <w:rFonts w:ascii="Times New Roman" w:eastAsia="Calibri" w:hAnsi="Times New Roman" w:cs="Times New Roman"/>
      <w:sz w:val="24"/>
      <w:lang w:val="en-US"/>
    </w:rPr>
  </w:style>
  <w:style w:type="paragraph" w:styleId="Footer">
    <w:name w:val="footer"/>
    <w:basedOn w:val="Normal"/>
    <w:link w:val="FooterChar"/>
    <w:uiPriority w:val="99"/>
    <w:unhideWhenUsed/>
    <w:rsid w:val="009C3AA0"/>
    <w:pPr>
      <w:tabs>
        <w:tab w:val="center" w:pos="4513"/>
        <w:tab w:val="right" w:pos="9026"/>
      </w:tabs>
      <w:spacing w:line="240" w:lineRule="auto"/>
    </w:pPr>
  </w:style>
  <w:style w:type="character" w:customStyle="1" w:styleId="FooterChar">
    <w:name w:val="Footer Char"/>
    <w:basedOn w:val="DefaultParagraphFont"/>
    <w:link w:val="Footer"/>
    <w:uiPriority w:val="99"/>
    <w:rsid w:val="009C3AA0"/>
    <w:rPr>
      <w:rFonts w:ascii="Times New Roman" w:eastAsia="Calibri" w:hAnsi="Times New Roman" w:cs="Times New Roman"/>
      <w:sz w:val="24"/>
      <w:lang w:val="en-US"/>
    </w:rPr>
  </w:style>
  <w:style w:type="character" w:styleId="Hyperlink">
    <w:name w:val="Hyperlink"/>
    <w:basedOn w:val="DefaultParagraphFont"/>
    <w:uiPriority w:val="99"/>
    <w:unhideWhenUsed/>
    <w:rsid w:val="00403075"/>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506C60"/>
    <w:rPr>
      <w:b/>
      <w:bCs/>
    </w:rPr>
  </w:style>
  <w:style w:type="character" w:customStyle="1" w:styleId="CommentSubjectChar">
    <w:name w:val="Comment Subject Char"/>
    <w:basedOn w:val="CommentTextChar"/>
    <w:link w:val="CommentSubject"/>
    <w:uiPriority w:val="99"/>
    <w:semiHidden/>
    <w:rsid w:val="00506C60"/>
    <w:rPr>
      <w:rFonts w:ascii="Times New Roman" w:eastAsia="Calibri" w:hAnsi="Times New Roman" w:cs="Times New Roman"/>
      <w:b/>
      <w:bCs/>
      <w:sz w:val="20"/>
      <w:szCs w:val="20"/>
      <w:lang w:val="en-US"/>
    </w:rPr>
  </w:style>
  <w:style w:type="paragraph" w:styleId="Revision">
    <w:name w:val="Revision"/>
    <w:hidden/>
    <w:uiPriority w:val="99"/>
    <w:semiHidden/>
    <w:rsid w:val="00901718"/>
    <w:pPr>
      <w:spacing w:after="0" w:line="240" w:lineRule="auto"/>
    </w:pPr>
    <w:rPr>
      <w:rFonts w:ascii="Times New Roman" w:eastAsia="Calibri" w:hAnsi="Times New Roman"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D3579-8CBD-4329-888A-FB336B42D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28</Pages>
  <Words>5255</Words>
  <Characters>27855</Characters>
  <Application>Microsoft Office Word</Application>
  <DocSecurity>0</DocSecurity>
  <Lines>232</Lines>
  <Paragraphs>66</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33044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Nicolai Topstad Borgen</dc:creator>
  <cp:keywords/>
  <dc:description/>
  <cp:lastModifiedBy>Nicolai Topstad Borgen</cp:lastModifiedBy>
  <cp:revision>33</cp:revision>
  <dcterms:created xsi:type="dcterms:W3CDTF">2020-03-17T10:45:00Z</dcterms:created>
  <dcterms:modified xsi:type="dcterms:W3CDTF">2021-02-26T14:57:00Z</dcterms:modified>
</cp:coreProperties>
</file>