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1131" w14:textId="77777777" w:rsidR="00C66B70" w:rsidRDefault="000F441A" w:rsidP="00C66B70">
      <w:pPr>
        <w:keepNext/>
        <w:spacing w:after="200" w:line="240" w:lineRule="auto"/>
        <w:rPr>
          <w:rFonts w:ascii="Lato" w:hAnsi="Lato"/>
          <w:b/>
          <w:iCs/>
          <w:sz w:val="20"/>
          <w:szCs w:val="18"/>
        </w:rPr>
      </w:pPr>
      <w:bookmarkStart w:id="0" w:name="_Toc72404611"/>
      <w:r>
        <w:rPr>
          <w:rFonts w:ascii="Lato" w:hAnsi="Lato"/>
          <w:b/>
          <w:iCs/>
          <w:sz w:val="20"/>
          <w:szCs w:val="18"/>
        </w:rPr>
        <w:t>Online Resource 3</w:t>
      </w:r>
      <w:r w:rsidRPr="000F441A">
        <w:rPr>
          <w:rFonts w:ascii="Lato" w:hAnsi="Lato"/>
          <w:b/>
          <w:iCs/>
          <w:sz w:val="20"/>
          <w:szCs w:val="18"/>
        </w:rPr>
        <w:t>. Coding Scheme</w:t>
      </w:r>
      <w:bookmarkEnd w:id="0"/>
    </w:p>
    <w:p w14:paraId="078978AF" w14:textId="77777777" w:rsidR="00C66B70" w:rsidRDefault="00C66B70" w:rsidP="00C66B70">
      <w:pPr>
        <w:keepNext/>
        <w:spacing w:after="0" w:line="240" w:lineRule="auto"/>
        <w:rPr>
          <w:rFonts w:ascii="Lato" w:hAnsi="Lato"/>
          <w:b/>
          <w:sz w:val="20"/>
          <w:szCs w:val="20"/>
        </w:rPr>
        <w:sectPr w:rsidR="00C66B7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E07632" w14:textId="40AB5284" w:rsidR="000F441A" w:rsidRPr="000F441A" w:rsidRDefault="000F441A" w:rsidP="00C66B70">
      <w:pPr>
        <w:keepNext/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Study Design</w:t>
      </w:r>
    </w:p>
    <w:p w14:paraId="2B23407F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Foundational descriptive</w:t>
      </w:r>
    </w:p>
    <w:p w14:paraId="026E03EF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Exploratory descriptive</w:t>
      </w:r>
    </w:p>
    <w:p w14:paraId="5199995A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Design and development</w:t>
      </w:r>
    </w:p>
    <w:p w14:paraId="0C9CEE0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Efficacy</w:t>
      </w:r>
    </w:p>
    <w:p w14:paraId="7B63AB2C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Effectiveness</w:t>
      </w:r>
    </w:p>
    <w:p w14:paraId="39AABF21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Scale-Up</w:t>
      </w:r>
    </w:p>
    <w:p w14:paraId="66733079" w14:textId="77777777" w:rsidR="000F441A" w:rsidRPr="000F441A" w:rsidRDefault="000F441A" w:rsidP="000F441A">
      <w:pPr>
        <w:spacing w:after="0" w:line="240" w:lineRule="auto"/>
        <w:ind w:left="720"/>
        <w:rPr>
          <w:rFonts w:ascii="Lato" w:hAnsi="Lato"/>
          <w:sz w:val="20"/>
          <w:szCs w:val="20"/>
        </w:rPr>
      </w:pPr>
    </w:p>
    <w:p w14:paraId="6C1789D7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Co-regulation Domains</w:t>
      </w:r>
    </w:p>
    <w:p w14:paraId="5E0FEEEC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Caring, Consistent, &amp; Responsive Relationships</w:t>
      </w:r>
    </w:p>
    <w:p w14:paraId="244DAA47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Co-Creation of Supportive Environments</w:t>
      </w:r>
    </w:p>
    <w:p w14:paraId="528A37C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Intentional and Developmentally-Informed Day-to-Day Interactions</w:t>
      </w:r>
    </w:p>
    <w:p w14:paraId="1B8A291B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bCs/>
          <w:sz w:val="20"/>
          <w:szCs w:val="20"/>
        </w:rPr>
      </w:pPr>
    </w:p>
    <w:p w14:paraId="1E57AE8D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bCs/>
          <w:sz w:val="20"/>
          <w:szCs w:val="20"/>
        </w:rPr>
      </w:pPr>
      <w:r w:rsidRPr="000F441A">
        <w:rPr>
          <w:rFonts w:ascii="Lato" w:hAnsi="Lato"/>
          <w:b/>
          <w:bCs/>
          <w:sz w:val="20"/>
          <w:szCs w:val="20"/>
        </w:rPr>
        <w:t>Other Co-regulation Related Constructs</w:t>
      </w:r>
    </w:p>
    <w:p w14:paraId="24D0247A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Peer co-regulation</w:t>
      </w:r>
    </w:p>
    <w:p w14:paraId="60141A36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iCs/>
          <w:sz w:val="20"/>
          <w:szCs w:val="20"/>
        </w:rPr>
        <w:t xml:space="preserve">Co-regulator self-regulation or capacity to provide co-regulation </w:t>
      </w:r>
    </w:p>
    <w:p w14:paraId="7E3E64CD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3AAE0ED9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Approaches</w:t>
      </w:r>
    </w:p>
    <w:p w14:paraId="427C76C5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Intentional adult relationship</w:t>
      </w:r>
    </w:p>
    <w:p w14:paraId="3BE53889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Near-age peer support</w:t>
      </w:r>
    </w:p>
    <w:p w14:paraId="63B6B8DB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Support from individual with lived experience</w:t>
      </w:r>
    </w:p>
    <w:p w14:paraId="73DEA8A2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Youth skills support (coaching)</w:t>
      </w:r>
    </w:p>
    <w:p w14:paraId="3FF8517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Environmental systems or supports</w:t>
      </w:r>
    </w:p>
    <w:p w14:paraId="345999B2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Behavioral management</w:t>
      </w:r>
    </w:p>
    <w:p w14:paraId="6C6A113C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Cultivating positive self-narrative</w:t>
      </w:r>
    </w:p>
    <w:p w14:paraId="3C242741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Parent/caregiver training</w:t>
      </w:r>
    </w:p>
    <w:p w14:paraId="5202B736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None</w:t>
      </w:r>
    </w:p>
    <w:p w14:paraId="4D3B8136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7ED8D259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Youth Skills and Competencies</w:t>
      </w:r>
    </w:p>
    <w:p w14:paraId="5F0AA97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College success</w:t>
      </w:r>
    </w:p>
    <w:p w14:paraId="37138A3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Employment and career planning</w:t>
      </w:r>
    </w:p>
    <w:p w14:paraId="03A9B62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Healthy relationships</w:t>
      </w:r>
    </w:p>
    <w:p w14:paraId="20BE8230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Identity development</w:t>
      </w:r>
    </w:p>
    <w:p w14:paraId="47953AD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Increased social capital</w:t>
      </w:r>
    </w:p>
    <w:p w14:paraId="42FFF871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Independent living skills</w:t>
      </w:r>
    </w:p>
    <w:p w14:paraId="70EADDD1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Decreased sexual risk behavior</w:t>
      </w:r>
    </w:p>
    <w:p w14:paraId="7D4C81C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Decreased substance use</w:t>
      </w:r>
    </w:p>
    <w:p w14:paraId="7B1C7E72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Self-regulation</w:t>
      </w:r>
    </w:p>
    <w:p w14:paraId="62A0D755" w14:textId="366CC7EC" w:rsidR="00C66B70" w:rsidRDefault="00C66B70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063E7996" w14:textId="25CB2298" w:rsidR="00C66B70" w:rsidRDefault="00C66B70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7CFAF669" w14:textId="42CC0824" w:rsidR="00C66B70" w:rsidRDefault="00C66B70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2861196F" w14:textId="30196E53" w:rsidR="00C66B70" w:rsidRDefault="00C66B70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5AAA2611" w14:textId="77777777" w:rsidR="00C66B70" w:rsidRDefault="00C66B70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1D98708C" w14:textId="02C88B9E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Youth Self-regulation Skills</w:t>
      </w:r>
    </w:p>
    <w:p w14:paraId="7C227AE1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Decision making</w:t>
      </w:r>
    </w:p>
    <w:p w14:paraId="51D109A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Emotion regulation</w:t>
      </w:r>
    </w:p>
    <w:p w14:paraId="5B6BB4D0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Future orientation</w:t>
      </w:r>
    </w:p>
    <w:p w14:paraId="4E048067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Identity-based motivation</w:t>
      </w:r>
    </w:p>
    <w:p w14:paraId="1DBEDE6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Persistence</w:t>
      </w:r>
    </w:p>
    <w:p w14:paraId="3E66562E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Perspective-taking</w:t>
      </w:r>
    </w:p>
    <w:p w14:paraId="7704F0DC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Planning</w:t>
      </w:r>
    </w:p>
    <w:p w14:paraId="1399131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Problem solving</w:t>
      </w:r>
    </w:p>
    <w:p w14:paraId="727D69C9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Self-reflection</w:t>
      </w:r>
    </w:p>
    <w:p w14:paraId="50503277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Stress management</w:t>
      </w:r>
    </w:p>
    <w:p w14:paraId="2FACCF2E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Self-determination</w:t>
      </w:r>
    </w:p>
    <w:p w14:paraId="1394EA49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Behavior regulation</w:t>
      </w:r>
    </w:p>
    <w:p w14:paraId="52ECAC70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Resilience</w:t>
      </w:r>
    </w:p>
    <w:p w14:paraId="5CA02E2F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0818B7B0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Co-regulator Roles</w:t>
      </w:r>
      <w:r w:rsidRPr="000F441A">
        <w:rPr>
          <w:rFonts w:ascii="Lato" w:hAnsi="Lato"/>
          <w:sz w:val="20"/>
          <w:szCs w:val="20"/>
          <w:vertAlign w:val="superscript"/>
        </w:rPr>
        <w:footnoteReference w:id="1"/>
      </w:r>
    </w:p>
    <w:p w14:paraId="374BA305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Parent</w:t>
      </w:r>
    </w:p>
    <w:p w14:paraId="6BB9C69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Child welfare service provider</w:t>
      </w:r>
    </w:p>
    <w:p w14:paraId="51056008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Employer</w:t>
      </w:r>
    </w:p>
    <w:p w14:paraId="5641FB6E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Extracurricular advisor (e.g.., coach)</w:t>
      </w:r>
    </w:p>
    <w:p w14:paraId="3C5793B6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Formal peer</w:t>
      </w:r>
    </w:p>
    <w:p w14:paraId="06CA846A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Foster parent</w:t>
      </w:r>
    </w:p>
    <w:p w14:paraId="22467B1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Informal peer</w:t>
      </w:r>
    </w:p>
    <w:p w14:paraId="04EC53F5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Kinship caregiver</w:t>
      </w:r>
    </w:p>
    <w:p w14:paraId="795D9F7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Mental health service provider</w:t>
      </w:r>
    </w:p>
    <w:p w14:paraId="17BC752D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Mentor</w:t>
      </w:r>
    </w:p>
    <w:p w14:paraId="33E7EF1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Other family members</w:t>
      </w:r>
    </w:p>
    <w:p w14:paraId="63CBA0CA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Other important adults</w:t>
      </w:r>
    </w:p>
    <w:p w14:paraId="15E44D0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Other service provider</w:t>
      </w:r>
    </w:p>
    <w:p w14:paraId="726B2795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Residential staff/caregiver</w:t>
      </w:r>
    </w:p>
    <w:p w14:paraId="13DA6183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Sibling</w:t>
      </w:r>
    </w:p>
    <w:p w14:paraId="3BDBA519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Teacher</w:t>
      </w:r>
    </w:p>
    <w:p w14:paraId="745986FF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</w:p>
    <w:p w14:paraId="299CD974" w14:textId="77777777" w:rsidR="000F441A" w:rsidRPr="000F441A" w:rsidRDefault="000F441A" w:rsidP="000F441A">
      <w:pPr>
        <w:spacing w:after="0" w:line="240" w:lineRule="auto"/>
        <w:rPr>
          <w:rFonts w:ascii="Lato" w:hAnsi="Lato"/>
          <w:b/>
          <w:sz w:val="20"/>
          <w:szCs w:val="20"/>
        </w:rPr>
      </w:pPr>
      <w:r w:rsidRPr="000F441A">
        <w:rPr>
          <w:rFonts w:ascii="Lato" w:hAnsi="Lato"/>
          <w:b/>
          <w:sz w:val="20"/>
          <w:szCs w:val="20"/>
        </w:rPr>
        <w:t>Focus on Special Populations</w:t>
      </w:r>
    </w:p>
    <w:p w14:paraId="014EF184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LGBTQ Youth</w:t>
      </w:r>
    </w:p>
    <w:p w14:paraId="4C93F52C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>Youth with disabilities</w:t>
      </w:r>
    </w:p>
    <w:p w14:paraId="633176DE" w14:textId="77777777" w:rsidR="000F441A" w:rsidRPr="000F441A" w:rsidRDefault="000F441A" w:rsidP="000F441A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  <w:szCs w:val="20"/>
        </w:rPr>
      </w:pPr>
      <w:r w:rsidRPr="000F441A">
        <w:rPr>
          <w:rFonts w:ascii="Lato" w:hAnsi="Lato"/>
          <w:sz w:val="20"/>
          <w:szCs w:val="20"/>
        </w:rPr>
        <w:t xml:space="preserve">Youth who are parenting </w:t>
      </w:r>
    </w:p>
    <w:p w14:paraId="486C9DDA" w14:textId="136D12C6" w:rsidR="000F441A" w:rsidRPr="00C66B70" w:rsidRDefault="000F441A" w:rsidP="00C66B70">
      <w:pPr>
        <w:numPr>
          <w:ilvl w:val="0"/>
          <w:numId w:val="1"/>
        </w:numPr>
        <w:spacing w:after="0" w:line="240" w:lineRule="auto"/>
        <w:rPr>
          <w:rFonts w:ascii="Lato" w:hAnsi="Lato"/>
          <w:sz w:val="20"/>
        </w:rPr>
      </w:pPr>
      <w:r w:rsidRPr="00C66B70">
        <w:rPr>
          <w:rFonts w:ascii="Lato" w:hAnsi="Lato"/>
          <w:sz w:val="20"/>
          <w:szCs w:val="20"/>
        </w:rPr>
        <w:t>Youth of color</w:t>
      </w:r>
    </w:p>
    <w:sectPr w:rsidR="000F441A" w:rsidRPr="00C66B70" w:rsidSect="00C66B7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02049" w14:textId="77777777" w:rsidR="000F441A" w:rsidRDefault="000F441A" w:rsidP="000F441A">
      <w:pPr>
        <w:spacing w:after="0" w:line="240" w:lineRule="auto"/>
      </w:pPr>
      <w:r>
        <w:separator/>
      </w:r>
    </w:p>
  </w:endnote>
  <w:endnote w:type="continuationSeparator" w:id="0">
    <w:p w14:paraId="21146DCC" w14:textId="77777777" w:rsidR="000F441A" w:rsidRDefault="000F441A" w:rsidP="000F4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93F48" w14:textId="77777777" w:rsidR="000F441A" w:rsidRDefault="000F441A" w:rsidP="000F441A">
      <w:pPr>
        <w:spacing w:after="0" w:line="240" w:lineRule="auto"/>
      </w:pPr>
      <w:r>
        <w:separator/>
      </w:r>
    </w:p>
  </w:footnote>
  <w:footnote w:type="continuationSeparator" w:id="0">
    <w:p w14:paraId="79D1099A" w14:textId="77777777" w:rsidR="000F441A" w:rsidRDefault="000F441A" w:rsidP="000F441A">
      <w:pPr>
        <w:spacing w:after="0" w:line="240" w:lineRule="auto"/>
      </w:pPr>
      <w:r>
        <w:continuationSeparator/>
      </w:r>
    </w:p>
  </w:footnote>
  <w:footnote w:id="1">
    <w:p w14:paraId="09F085F2" w14:textId="1A8746FF" w:rsidR="000F441A" w:rsidRPr="003D56FA" w:rsidRDefault="000F441A" w:rsidP="000F441A">
      <w:pPr>
        <w:pStyle w:val="FootnoteText"/>
        <w:rPr>
          <w:sz w:val="18"/>
          <w:szCs w:val="18"/>
        </w:rPr>
      </w:pPr>
      <w:r w:rsidRPr="0065368C"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P</w:t>
      </w:r>
      <w:r w:rsidRPr="003D56FA">
        <w:rPr>
          <w:sz w:val="18"/>
          <w:szCs w:val="18"/>
        </w:rPr>
        <w:t>arent refers to youth’s birth parents or family of origin, whereas foster parent refers to non-related caregivers in family foster care settings.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22169"/>
    <w:multiLevelType w:val="hybridMultilevel"/>
    <w:tmpl w:val="4E766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1A"/>
    <w:rsid w:val="000F441A"/>
    <w:rsid w:val="001B67AA"/>
    <w:rsid w:val="006376E1"/>
    <w:rsid w:val="00826D55"/>
    <w:rsid w:val="00C66B70"/>
    <w:rsid w:val="00D8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D63C"/>
  <w15:chartTrackingRefBased/>
  <w15:docId w15:val="{E0CFD959-22F1-4E3F-B95B-1C93ECEF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F441A"/>
    <w:pPr>
      <w:spacing w:after="0" w:line="240" w:lineRule="auto"/>
    </w:pPr>
    <w:rPr>
      <w:rFonts w:ascii="Lato" w:hAnsi="La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441A"/>
    <w:rPr>
      <w:rFonts w:ascii="Lato" w:hAnsi="La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44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1391</Characters>
  <Application>Microsoft Office Word</Application>
  <DocSecurity>4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Desiree W.</dc:creator>
  <cp:keywords/>
  <dc:description/>
  <cp:lastModifiedBy>Hannah Rackers</cp:lastModifiedBy>
  <cp:revision>2</cp:revision>
  <dcterms:created xsi:type="dcterms:W3CDTF">2021-11-24T15:28:00Z</dcterms:created>
  <dcterms:modified xsi:type="dcterms:W3CDTF">2021-11-24T15:28:00Z</dcterms:modified>
</cp:coreProperties>
</file>