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62D56" w14:textId="5E0C9343" w:rsidR="005C6ADB" w:rsidRPr="005C6ADB" w:rsidRDefault="00921AF7" w:rsidP="005C6ADB">
      <w:pP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Online Resource 1</w:t>
      </w:r>
      <w:r w:rsidR="005C6ADB">
        <w:rPr>
          <w:rFonts w:ascii="Garamond" w:hAnsi="Garamond"/>
          <w:b/>
          <w:bCs/>
          <w:sz w:val="22"/>
          <w:szCs w:val="22"/>
        </w:rPr>
        <w:t>: List of categorized interventions developed from initial interviews</w:t>
      </w:r>
    </w:p>
    <w:p w14:paraId="3C9D1B6C" w14:textId="77777777" w:rsidR="005C6ADB" w:rsidRDefault="005C6ADB" w:rsidP="005C6ADB">
      <w:pPr>
        <w:rPr>
          <w:rFonts w:ascii="Garamond" w:hAnsi="Garamond"/>
          <w:b/>
          <w:bCs/>
          <w:sz w:val="22"/>
          <w:szCs w:val="22"/>
        </w:rPr>
      </w:pPr>
    </w:p>
    <w:p w14:paraId="5B215B8E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bookmarkStart w:id="0" w:name="_Hlk122339523"/>
      <w:r w:rsidRPr="005C6ADB">
        <w:rPr>
          <w:rFonts w:ascii="Garamond" w:hAnsi="Garamond" w:cstheme="minorHAnsi"/>
          <w:sz w:val="22"/>
          <w:szCs w:val="22"/>
          <w:u w:val="single"/>
        </w:rPr>
        <w:t xml:space="preserve">Allowing providers greater control over their work processes </w:t>
      </w:r>
    </w:p>
    <w:p w14:paraId="29C22F74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Team</w:t>
      </w:r>
      <w:r w:rsidRPr="005C6ADB">
        <w:rPr>
          <w:rFonts w:ascii="Garamond" w:hAnsi="Garamond" w:cstheme="minorHAnsi"/>
          <w:spacing w:val="-9"/>
          <w:sz w:val="22"/>
          <w:szCs w:val="22"/>
        </w:rPr>
        <w:t xml:space="preserve"> </w:t>
      </w:r>
      <w:r w:rsidRPr="005C6ADB">
        <w:rPr>
          <w:rFonts w:ascii="Garamond" w:hAnsi="Garamond" w:cstheme="minorHAnsi"/>
          <w:sz w:val="22"/>
          <w:szCs w:val="22"/>
        </w:rPr>
        <w:t>approach</w:t>
      </w:r>
      <w:r w:rsidRPr="005C6ADB">
        <w:rPr>
          <w:rFonts w:ascii="Garamond" w:hAnsi="Garamond" w:cstheme="minorHAnsi"/>
          <w:spacing w:val="-10"/>
          <w:sz w:val="22"/>
          <w:szCs w:val="22"/>
        </w:rPr>
        <w:t xml:space="preserve"> </w:t>
      </w:r>
      <w:r w:rsidRPr="005C6ADB">
        <w:rPr>
          <w:rFonts w:ascii="Garamond" w:hAnsi="Garamond" w:cstheme="minorHAnsi"/>
          <w:sz w:val="22"/>
          <w:szCs w:val="22"/>
        </w:rPr>
        <w:t>to</w:t>
      </w:r>
      <w:r w:rsidRPr="005C6ADB">
        <w:rPr>
          <w:rFonts w:ascii="Garamond" w:hAnsi="Garamond" w:cstheme="minorHAnsi"/>
          <w:spacing w:val="-8"/>
          <w:sz w:val="22"/>
          <w:szCs w:val="22"/>
        </w:rPr>
        <w:t xml:space="preserve"> </w:t>
      </w:r>
      <w:r w:rsidRPr="005C6ADB">
        <w:rPr>
          <w:rFonts w:ascii="Garamond" w:hAnsi="Garamond" w:cstheme="minorHAnsi"/>
          <w:sz w:val="22"/>
          <w:szCs w:val="22"/>
        </w:rPr>
        <w:t>care</w:t>
      </w:r>
    </w:p>
    <w:p w14:paraId="19A338F4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Floating duties (i.e., on-call for same-day or crisis visits, intake)</w:t>
      </w:r>
      <w:r w:rsidRPr="005C6ADB">
        <w:rPr>
          <w:rFonts w:ascii="Garamond" w:hAnsi="Garamond" w:cstheme="minorHAnsi"/>
          <w:spacing w:val="-11"/>
          <w:sz w:val="22"/>
          <w:szCs w:val="22"/>
        </w:rPr>
        <w:t xml:space="preserve"> </w:t>
      </w:r>
    </w:p>
    <w:p w14:paraId="25CCAAE1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Allow providers to decide how much time per visit (30, 45, 60</w:t>
      </w:r>
      <w:r w:rsidRPr="005C6ADB">
        <w:rPr>
          <w:rFonts w:ascii="Garamond" w:hAnsi="Garamond" w:cstheme="minorHAnsi"/>
          <w:spacing w:val="-5"/>
          <w:sz w:val="22"/>
          <w:szCs w:val="22"/>
        </w:rPr>
        <w:t xml:space="preserve"> or 90 </w:t>
      </w:r>
      <w:r w:rsidRPr="005C6ADB">
        <w:rPr>
          <w:rFonts w:ascii="Garamond" w:hAnsi="Garamond" w:cstheme="minorHAnsi"/>
          <w:sz w:val="22"/>
          <w:szCs w:val="22"/>
        </w:rPr>
        <w:t>minutes)</w:t>
      </w:r>
    </w:p>
    <w:p w14:paraId="37C44318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Scheduling based on “therapy dosing” (i.e., frequency of visits)</w:t>
      </w:r>
    </w:p>
    <w:p w14:paraId="7F4EC2E3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Streamline scheduling (replace grid system)</w:t>
      </w:r>
    </w:p>
    <w:p w14:paraId="0B977022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Stop scheduling no shows</w:t>
      </w:r>
    </w:p>
    <w:p w14:paraId="4BB590F5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Balance severity/caseload across panels </w:t>
      </w:r>
    </w:p>
    <w:p w14:paraId="0F86E139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>Flexibility regarding telework</w:t>
      </w:r>
    </w:p>
    <w:p w14:paraId="447AEF7E" w14:textId="77777777" w:rsidR="005C6ADB" w:rsidRPr="005C6ADB" w:rsidRDefault="005C6ADB" w:rsidP="005C6ADB">
      <w:pPr>
        <w:pStyle w:val="ListParagraph"/>
        <w:widowControl w:val="0"/>
        <w:numPr>
          <w:ilvl w:val="1"/>
          <w:numId w:val="1"/>
        </w:numPr>
        <w:autoSpaceDE w:val="0"/>
        <w:autoSpaceDN w:val="0"/>
        <w:ind w:left="1080"/>
        <w:contextualSpacing w:val="0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Use dragon software to document</w:t>
      </w:r>
    </w:p>
    <w:p w14:paraId="3B429FEC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r w:rsidRPr="005C6ADB">
        <w:rPr>
          <w:rFonts w:ascii="Garamond" w:hAnsi="Garamond" w:cstheme="minorHAnsi"/>
          <w:sz w:val="22"/>
          <w:szCs w:val="22"/>
          <w:u w:val="single"/>
        </w:rPr>
        <w:t>Professional development opportunities</w:t>
      </w:r>
    </w:p>
    <w:p w14:paraId="05FDF0D6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>Clinical skills building</w:t>
      </w:r>
    </w:p>
    <w:p w14:paraId="7A0CFBE2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>Mentorship (both giving and receiving)</w:t>
      </w:r>
    </w:p>
    <w:p w14:paraId="5F280B81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Teaching </w:t>
      </w:r>
    </w:p>
    <w:p w14:paraId="1E4E3E30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Research </w:t>
      </w:r>
    </w:p>
    <w:p w14:paraId="3AB4879D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Leadership development</w:t>
      </w:r>
    </w:p>
    <w:p w14:paraId="3AC35326" w14:textId="77777777" w:rsidR="005C6ADB" w:rsidRPr="005C6ADB" w:rsidRDefault="005C6ADB" w:rsidP="005C6ADB">
      <w:pPr>
        <w:pStyle w:val="ListParagraph"/>
        <w:widowControl w:val="0"/>
        <w:numPr>
          <w:ilvl w:val="0"/>
          <w:numId w:val="4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Personal wellness services (e.g., massage, support services)</w:t>
      </w:r>
    </w:p>
    <w:p w14:paraId="7259ACB9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r w:rsidRPr="005C6ADB">
        <w:rPr>
          <w:rFonts w:ascii="Garamond" w:hAnsi="Garamond" w:cstheme="minorHAnsi"/>
          <w:sz w:val="22"/>
          <w:szCs w:val="22"/>
          <w:u w:val="single"/>
        </w:rPr>
        <w:t>Re-examining work tasks</w:t>
      </w:r>
    </w:p>
    <w:p w14:paraId="75441FD4" w14:textId="77777777" w:rsidR="005C6ADB" w:rsidRPr="005C6ADB" w:rsidRDefault="005C6ADB" w:rsidP="005C6ADB">
      <w:pPr>
        <w:pStyle w:val="ListParagraph"/>
        <w:widowControl w:val="0"/>
        <w:numPr>
          <w:ilvl w:val="0"/>
          <w:numId w:val="5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Include time for administrative tasks (also training) into workday schedule </w:t>
      </w:r>
    </w:p>
    <w:p w14:paraId="5185F423" w14:textId="77777777" w:rsidR="005C6ADB" w:rsidRPr="005C6ADB" w:rsidRDefault="005C6ADB" w:rsidP="005C6ADB">
      <w:pPr>
        <w:pStyle w:val="ListParagraph"/>
        <w:widowControl w:val="0"/>
        <w:numPr>
          <w:ilvl w:val="0"/>
          <w:numId w:val="5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Have PCMHI manage the more “common” MH issues/disruptive behavior </w:t>
      </w:r>
    </w:p>
    <w:p w14:paraId="1AF3C0C1" w14:textId="77777777" w:rsidR="005C6ADB" w:rsidRPr="005C6ADB" w:rsidRDefault="005C6ADB" w:rsidP="005C6ADB">
      <w:pPr>
        <w:pStyle w:val="ListParagraph"/>
        <w:widowControl w:val="0"/>
        <w:numPr>
          <w:ilvl w:val="0"/>
          <w:numId w:val="5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Streamline documentation/notes to reduce redundancy (i.e., suicide risk assessment, mental health modules, extras for treatment plans) </w:t>
      </w:r>
    </w:p>
    <w:p w14:paraId="14365E05" w14:textId="77777777" w:rsidR="005C6ADB" w:rsidRPr="005C6ADB" w:rsidRDefault="005C6ADB" w:rsidP="005C6ADB">
      <w:pPr>
        <w:pStyle w:val="ListParagraph"/>
        <w:widowControl w:val="0"/>
        <w:numPr>
          <w:ilvl w:val="0"/>
          <w:numId w:val="5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Defer to provider judgement in terms of what documentation is necessary</w:t>
      </w:r>
    </w:p>
    <w:p w14:paraId="04C1983F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r w:rsidRPr="005C6ADB">
        <w:rPr>
          <w:rFonts w:ascii="Garamond" w:hAnsi="Garamond" w:cstheme="minorHAnsi"/>
          <w:sz w:val="22"/>
          <w:szCs w:val="22"/>
          <w:u w:val="single"/>
        </w:rPr>
        <w:t xml:space="preserve">Provider-leader communication </w:t>
      </w:r>
    </w:p>
    <w:p w14:paraId="11FA65BB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Leadership walk-arounds </w:t>
      </w:r>
    </w:p>
    <w:p w14:paraId="4E1D7D4A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Meet-and-greets</w:t>
      </w:r>
    </w:p>
    <w:p w14:paraId="5C5C6F3A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One-on-one meetings with leadership </w:t>
      </w:r>
    </w:p>
    <w:p w14:paraId="6123DAC3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proofErr w:type="gramStart"/>
      <w:r w:rsidRPr="005C6ADB">
        <w:rPr>
          <w:rFonts w:ascii="Garamond" w:hAnsi="Garamond" w:cstheme="minorHAnsi"/>
          <w:sz w:val="22"/>
          <w:szCs w:val="22"/>
        </w:rPr>
        <w:t>Leaders</w:t>
      </w:r>
      <w:proofErr w:type="gramEnd"/>
      <w:r w:rsidRPr="005C6ADB">
        <w:rPr>
          <w:rFonts w:ascii="Garamond" w:hAnsi="Garamond" w:cstheme="minorHAnsi"/>
          <w:sz w:val="22"/>
          <w:szCs w:val="22"/>
        </w:rPr>
        <w:t xml:space="preserve"> shadow or round with mental health providers to learn what they do on a day-to-day basis</w:t>
      </w:r>
    </w:p>
    <w:p w14:paraId="378C4AC0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Social gatherings </w:t>
      </w:r>
    </w:p>
    <w:p w14:paraId="1C1C6E69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Transparency about facility problems and why requests are denied</w:t>
      </w:r>
    </w:p>
    <w:p w14:paraId="09C470A3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Recognize and support providers </w:t>
      </w:r>
    </w:p>
    <w:p w14:paraId="5021E36C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Address leadership burnout </w:t>
      </w:r>
    </w:p>
    <w:p w14:paraId="3F1E87A4" w14:textId="77777777" w:rsidR="005C6ADB" w:rsidRPr="005C6ADB" w:rsidRDefault="005C6ADB" w:rsidP="005C6ADB">
      <w:pPr>
        <w:pStyle w:val="ListParagraph"/>
        <w:widowControl w:val="0"/>
        <w:numPr>
          <w:ilvl w:val="0"/>
          <w:numId w:val="6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Practical training for leaders/managers </w:t>
      </w:r>
    </w:p>
    <w:p w14:paraId="11467D84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r w:rsidRPr="005C6ADB">
        <w:rPr>
          <w:rFonts w:ascii="Garamond" w:hAnsi="Garamond" w:cstheme="minorHAnsi"/>
          <w:sz w:val="22"/>
          <w:szCs w:val="22"/>
          <w:u w:val="single"/>
        </w:rPr>
        <w:t>Resolving staffing barriers</w:t>
      </w:r>
    </w:p>
    <w:p w14:paraId="5849E9BF" w14:textId="77777777" w:rsidR="005C6ADB" w:rsidRPr="005C6ADB" w:rsidRDefault="005C6ADB" w:rsidP="005C6ADB">
      <w:pPr>
        <w:pStyle w:val="ListParagraph"/>
        <w:widowControl w:val="0"/>
        <w:numPr>
          <w:ilvl w:val="0"/>
          <w:numId w:val="7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Expand telehealth technology  </w:t>
      </w:r>
    </w:p>
    <w:p w14:paraId="26993874" w14:textId="77777777" w:rsidR="005C6ADB" w:rsidRPr="005C6ADB" w:rsidRDefault="005C6ADB" w:rsidP="005C6ADB">
      <w:pPr>
        <w:pStyle w:val="ListParagraph"/>
        <w:widowControl w:val="0"/>
        <w:numPr>
          <w:ilvl w:val="0"/>
          <w:numId w:val="7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Human Resources could be helpful with time to hire </w:t>
      </w:r>
    </w:p>
    <w:p w14:paraId="5F177B7A" w14:textId="77777777" w:rsidR="005C6ADB" w:rsidRPr="005C6ADB" w:rsidRDefault="005C6ADB" w:rsidP="005C6ADB">
      <w:pPr>
        <w:pStyle w:val="ListParagraph"/>
        <w:widowControl w:val="0"/>
        <w:numPr>
          <w:ilvl w:val="0"/>
          <w:numId w:val="7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>Address wage gaps between Mental Health roles</w:t>
      </w:r>
    </w:p>
    <w:p w14:paraId="22E8E026" w14:textId="77777777" w:rsidR="005C6ADB" w:rsidRPr="005C6ADB" w:rsidRDefault="005C6ADB" w:rsidP="005C6ADB">
      <w:pPr>
        <w:pStyle w:val="ListParagraph"/>
        <w:widowControl w:val="0"/>
        <w:numPr>
          <w:ilvl w:val="0"/>
          <w:numId w:val="7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 xml:space="preserve">MSAs are undervalued (make them program managers and pay accordingly). </w:t>
      </w:r>
    </w:p>
    <w:p w14:paraId="5AEBC9B3" w14:textId="77777777" w:rsidR="005C6ADB" w:rsidRPr="005C6ADB" w:rsidRDefault="005C6ADB" w:rsidP="005C6ADB">
      <w:pPr>
        <w:pStyle w:val="ListParagraph"/>
        <w:widowControl w:val="0"/>
        <w:numPr>
          <w:ilvl w:val="0"/>
          <w:numId w:val="7"/>
        </w:numPr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Have MSAs in same service line</w:t>
      </w:r>
    </w:p>
    <w:p w14:paraId="22A5C533" w14:textId="77777777" w:rsidR="005C6ADB" w:rsidRPr="005C6ADB" w:rsidRDefault="005C6ADB" w:rsidP="005C6ADB">
      <w:pPr>
        <w:pStyle w:val="ListParagraph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ind w:left="360"/>
        <w:contextualSpacing w:val="0"/>
        <w:rPr>
          <w:rFonts w:ascii="Garamond" w:hAnsi="Garamond" w:cstheme="minorHAnsi"/>
          <w:sz w:val="22"/>
          <w:szCs w:val="22"/>
          <w:u w:val="single"/>
        </w:rPr>
      </w:pPr>
      <w:r w:rsidRPr="005C6ADB">
        <w:rPr>
          <w:rFonts w:ascii="Garamond" w:hAnsi="Garamond" w:cstheme="minorHAnsi"/>
          <w:sz w:val="22"/>
          <w:szCs w:val="22"/>
          <w:u w:val="single"/>
        </w:rPr>
        <w:t xml:space="preserve">Performance measurement </w:t>
      </w:r>
    </w:p>
    <w:p w14:paraId="4C8B01F4" w14:textId="77777777" w:rsidR="005C6ADB" w:rsidRP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Fix how staffing is measured (does not account for daily call-ins, staff on FMLA)</w:t>
      </w:r>
    </w:p>
    <w:p w14:paraId="0BD6D1F9" w14:textId="77777777" w:rsidR="005C6ADB" w:rsidRP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Research versus clinical measures</w:t>
      </w:r>
    </w:p>
    <w:p w14:paraId="4B41F940" w14:textId="77777777" w:rsidR="005C6ADB" w:rsidRP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>Eliminate performance measures that are out of providers’ control (i.e., no shows)</w:t>
      </w:r>
    </w:p>
    <w:p w14:paraId="3D03E424" w14:textId="77777777" w:rsidR="005C6ADB" w:rsidRP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Reconsider productivity measures (e.g., measures on patient care and outcomes rather than the </w:t>
      </w:r>
      <w:proofErr w:type="gramStart"/>
      <w:r w:rsidRPr="005C6ADB">
        <w:rPr>
          <w:rFonts w:ascii="Garamond" w:hAnsi="Garamond" w:cstheme="minorHAnsi"/>
          <w:b/>
          <w:bCs/>
          <w:sz w:val="22"/>
          <w:szCs w:val="22"/>
        </w:rPr>
        <w:t>amount</w:t>
      </w:r>
      <w:proofErr w:type="gramEnd"/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 of patients seen; account for all clinical contact including phone calls, care coordination)</w:t>
      </w:r>
    </w:p>
    <w:p w14:paraId="59541563" w14:textId="77777777" w:rsidR="005C6ADB" w:rsidRP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sz w:val="22"/>
          <w:szCs w:val="22"/>
        </w:rPr>
      </w:pPr>
      <w:r w:rsidRPr="005C6ADB">
        <w:rPr>
          <w:rFonts w:ascii="Garamond" w:hAnsi="Garamond" w:cstheme="minorHAnsi"/>
          <w:sz w:val="22"/>
          <w:szCs w:val="22"/>
        </w:rPr>
        <w:t>Train providers on how they are measured (e.g., code visits and tasks so they get credit)</w:t>
      </w:r>
    </w:p>
    <w:p w14:paraId="09C56EC7" w14:textId="52D42619" w:rsidR="005C6ADB" w:rsidRDefault="005C6ADB" w:rsidP="005C6ADB">
      <w:pPr>
        <w:pStyle w:val="ListParagraph"/>
        <w:widowControl w:val="0"/>
        <w:numPr>
          <w:ilvl w:val="0"/>
          <w:numId w:val="3"/>
        </w:numPr>
        <w:tabs>
          <w:tab w:val="left" w:pos="1080"/>
        </w:tabs>
        <w:autoSpaceDE w:val="0"/>
        <w:autoSpaceDN w:val="0"/>
        <w:ind w:left="1080" w:hanging="360"/>
        <w:contextualSpacing w:val="0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5C6ADB">
        <w:rPr>
          <w:rFonts w:ascii="Garamond" w:hAnsi="Garamond" w:cstheme="minorHAnsi"/>
          <w:b/>
          <w:bCs/>
          <w:sz w:val="22"/>
          <w:szCs w:val="22"/>
        </w:rPr>
        <w:t xml:space="preserve">Use measures as learning opportunity rather than punitive </w:t>
      </w:r>
      <w:bookmarkEnd w:id="0"/>
    </w:p>
    <w:p w14:paraId="2FC661C1" w14:textId="324B862B" w:rsidR="009F2086" w:rsidRDefault="009F2086" w:rsidP="009F2086">
      <w:pPr>
        <w:widowControl w:val="0"/>
        <w:tabs>
          <w:tab w:val="left" w:pos="1080"/>
        </w:tabs>
        <w:autoSpaceDE w:val="0"/>
        <w:autoSpaceDN w:val="0"/>
        <w:jc w:val="both"/>
        <w:rPr>
          <w:rFonts w:ascii="Garamond" w:hAnsi="Garamond" w:cstheme="minorHAnsi"/>
          <w:b/>
          <w:bCs/>
          <w:sz w:val="22"/>
          <w:szCs w:val="22"/>
        </w:rPr>
      </w:pPr>
    </w:p>
    <w:p w14:paraId="0313485E" w14:textId="27027680" w:rsidR="009F2086" w:rsidRPr="005C6ADB" w:rsidRDefault="009F2086" w:rsidP="009F2086">
      <w:pPr>
        <w:rPr>
          <w:rFonts w:ascii="Garamond" w:hAnsi="Garamond"/>
          <w:i/>
          <w:iCs/>
          <w:sz w:val="22"/>
          <w:szCs w:val="22"/>
        </w:rPr>
      </w:pPr>
      <w:r w:rsidRPr="005C6ADB">
        <w:rPr>
          <w:rFonts w:ascii="Garamond" w:hAnsi="Garamond"/>
          <w:i/>
          <w:iCs/>
          <w:sz w:val="22"/>
          <w:szCs w:val="22"/>
        </w:rPr>
        <w:t>*</w:t>
      </w:r>
      <w:r w:rsidRPr="009F2086">
        <w:rPr>
          <w:rFonts w:ascii="Garamond" w:hAnsi="Garamond"/>
          <w:sz w:val="22"/>
          <w:szCs w:val="22"/>
        </w:rPr>
        <w:t>Bolded font indicates interventions selected for the panel</w:t>
      </w:r>
    </w:p>
    <w:p w14:paraId="1666DC04" w14:textId="77777777" w:rsidR="009F2086" w:rsidRPr="009F2086" w:rsidRDefault="009F2086" w:rsidP="009F2086">
      <w:pPr>
        <w:widowControl w:val="0"/>
        <w:tabs>
          <w:tab w:val="left" w:pos="1080"/>
        </w:tabs>
        <w:autoSpaceDE w:val="0"/>
        <w:autoSpaceDN w:val="0"/>
        <w:jc w:val="both"/>
        <w:rPr>
          <w:rFonts w:ascii="Garamond" w:hAnsi="Garamond" w:cstheme="minorHAnsi"/>
          <w:b/>
          <w:bCs/>
          <w:sz w:val="22"/>
          <w:szCs w:val="22"/>
        </w:rPr>
      </w:pPr>
    </w:p>
    <w:p w14:paraId="70A47781" w14:textId="77777777" w:rsidR="00FE23A1" w:rsidRPr="005C6ADB" w:rsidRDefault="00FE23A1">
      <w:pPr>
        <w:rPr>
          <w:rFonts w:ascii="Garamond" w:hAnsi="Garamond"/>
          <w:sz w:val="22"/>
          <w:szCs w:val="22"/>
        </w:rPr>
      </w:pPr>
    </w:p>
    <w:sectPr w:rsidR="00FE23A1" w:rsidRPr="005C6ADB" w:rsidSect="00D65350">
      <w:pgSz w:w="12240" w:h="15840"/>
      <w:pgMar w:top="720" w:right="720" w:bottom="720" w:left="720" w:header="720" w:footer="1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40B2"/>
    <w:multiLevelType w:val="hybridMultilevel"/>
    <w:tmpl w:val="E140F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D6569"/>
    <w:multiLevelType w:val="hybridMultilevel"/>
    <w:tmpl w:val="4E884AA0"/>
    <w:lvl w:ilvl="0" w:tplc="FFFFFFF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DE937C0"/>
    <w:multiLevelType w:val="hybridMultilevel"/>
    <w:tmpl w:val="4E884AA0"/>
    <w:lvl w:ilvl="0" w:tplc="FFFFFFF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2223197"/>
    <w:multiLevelType w:val="hybridMultilevel"/>
    <w:tmpl w:val="9B9AEDA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97C41"/>
    <w:multiLevelType w:val="hybridMultilevel"/>
    <w:tmpl w:val="4E884AA0"/>
    <w:lvl w:ilvl="0" w:tplc="FFFFFFF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1201CC4"/>
    <w:multiLevelType w:val="hybridMultilevel"/>
    <w:tmpl w:val="86F85EFE"/>
    <w:lvl w:ilvl="0" w:tplc="FFFFFFF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4633FF0"/>
    <w:multiLevelType w:val="hybridMultilevel"/>
    <w:tmpl w:val="4E884AA0"/>
    <w:lvl w:ilvl="0" w:tplc="FFFFFFF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83269919">
    <w:abstractNumId w:val="3"/>
  </w:num>
  <w:num w:numId="2" w16cid:durableId="388966913">
    <w:abstractNumId w:val="0"/>
  </w:num>
  <w:num w:numId="3" w16cid:durableId="410085501">
    <w:abstractNumId w:val="5"/>
  </w:num>
  <w:num w:numId="4" w16cid:durableId="1059943034">
    <w:abstractNumId w:val="4"/>
  </w:num>
  <w:num w:numId="5" w16cid:durableId="256864734">
    <w:abstractNumId w:val="1"/>
  </w:num>
  <w:num w:numId="6" w16cid:durableId="784348038">
    <w:abstractNumId w:val="2"/>
  </w:num>
  <w:num w:numId="7" w16cid:durableId="16205254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DB"/>
    <w:rsid w:val="00112DFE"/>
    <w:rsid w:val="003F52AF"/>
    <w:rsid w:val="005C6ADB"/>
    <w:rsid w:val="00837BCD"/>
    <w:rsid w:val="00921AF7"/>
    <w:rsid w:val="009F2086"/>
    <w:rsid w:val="00BF6AA8"/>
    <w:rsid w:val="00D87120"/>
    <w:rsid w:val="00F062DF"/>
    <w:rsid w:val="00FE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F77E"/>
  <w15:chartTrackingRefBased/>
  <w15:docId w15:val="{DBF3802C-FABD-4169-BBFC-CEE7EC67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DB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ADB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5C6ADB"/>
    <w:pPr>
      <w:spacing w:after="200"/>
    </w:pPr>
    <w:rPr>
      <w:rFonts w:ascii="Arial" w:eastAsia="Calibri" w:hAnsi="Arial" w:cs="Arial"/>
      <w:noProof/>
      <w:sz w:val="22"/>
      <w:szCs w:val="22"/>
      <w:lang w:eastAsia="en-US"/>
    </w:rPr>
  </w:style>
  <w:style w:type="character" w:customStyle="1" w:styleId="EndNoteBibliographyChar">
    <w:name w:val="EndNote Bibliography Char"/>
    <w:link w:val="EndNoteBibliography"/>
    <w:rsid w:val="005C6ADB"/>
    <w:rPr>
      <w:rFonts w:ascii="Arial" w:eastAsia="Calibri" w:hAnsi="Arial" w:cs="Arial"/>
      <w:noProof/>
    </w:rPr>
  </w:style>
  <w:style w:type="paragraph" w:styleId="BodyTextIndent3">
    <w:name w:val="Body Text Indent 3"/>
    <w:basedOn w:val="Normal"/>
    <w:link w:val="BodyTextIndent3Char"/>
    <w:uiPriority w:val="99"/>
    <w:unhideWhenUsed/>
    <w:rsid w:val="00112DFE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  <w:ind w:left="360"/>
    </w:pPr>
    <w:rPr>
      <w:rFonts w:ascii="Calibri" w:eastAsia="Calibri" w:hAnsi="Calibri" w:cs="Calibri"/>
      <w:color w:val="000000"/>
      <w:sz w:val="16"/>
      <w:szCs w:val="16"/>
      <w:u w:color="000000"/>
      <w:bdr w:val="nil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12DFE"/>
    <w:rPr>
      <w:rFonts w:ascii="Calibri" w:eastAsia="Calibri" w:hAnsi="Calibri" w:cs="Calibri"/>
      <w:color w:val="000000"/>
      <w:sz w:val="16"/>
      <w:szCs w:val="16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Burgess, Jennifer</dc:creator>
  <cp:keywords/>
  <dc:description/>
  <cp:lastModifiedBy>Burgess, Jennifer</cp:lastModifiedBy>
  <cp:revision>6</cp:revision>
  <dcterms:created xsi:type="dcterms:W3CDTF">2023-09-12T16:33:00Z</dcterms:created>
  <dcterms:modified xsi:type="dcterms:W3CDTF">2025-04-29T16:06:00Z</dcterms:modified>
</cp:coreProperties>
</file>