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495BE" w14:textId="667A1F54" w:rsidR="00EE3456" w:rsidRPr="00EE3456" w:rsidRDefault="00EE3456" w:rsidP="00EE3456">
      <w:pPr>
        <w:jc w:val="both"/>
        <w:rPr>
          <w:rFonts w:ascii="Times New Roman" w:hAnsi="Times New Roman" w:cs="Times New Roman"/>
          <w:b/>
          <w:bCs/>
          <w:lang w:val="en-GB"/>
        </w:rPr>
      </w:pPr>
      <w:r w:rsidRPr="00EE3456">
        <w:rPr>
          <w:rFonts w:ascii="Times New Roman" w:hAnsi="Times New Roman" w:cs="Times New Roman"/>
          <w:b/>
          <w:bCs/>
          <w:lang w:val="en-GB"/>
        </w:rPr>
        <w:t xml:space="preserve">Supplementary </w:t>
      </w:r>
      <w:r w:rsidRPr="00EE3456">
        <w:rPr>
          <w:rFonts w:ascii="Times New Roman" w:hAnsi="Times New Roman" w:cs="Times New Roman"/>
          <w:b/>
          <w:bCs/>
          <w:lang w:val="en-GB"/>
        </w:rPr>
        <w:t>File</w:t>
      </w:r>
      <w:r w:rsidRPr="00EE3456">
        <w:rPr>
          <w:rFonts w:ascii="Times New Roman" w:hAnsi="Times New Roman" w:cs="Times New Roman"/>
          <w:b/>
          <w:bCs/>
          <w:lang w:val="en-GB"/>
        </w:rPr>
        <w:t xml:space="preserve"> S1. Additional details on clustering and causal attribution network analysis</w:t>
      </w:r>
    </w:p>
    <w:p w14:paraId="74B167F2" w14:textId="77777777" w:rsidR="00EE3456" w:rsidRPr="00EE3456" w:rsidRDefault="00EE3456" w:rsidP="00EE3456">
      <w:pPr>
        <w:jc w:val="both"/>
        <w:rPr>
          <w:rFonts w:ascii="Times New Roman" w:hAnsi="Times New Roman" w:cs="Times New Roman"/>
          <w:lang w:val="en-GB"/>
        </w:rPr>
      </w:pPr>
      <w:r w:rsidRPr="00EE3456">
        <w:rPr>
          <w:rFonts w:ascii="Times New Roman" w:hAnsi="Times New Roman" w:cs="Times New Roman"/>
          <w:lang w:val="en-GB"/>
        </w:rPr>
        <w:t xml:space="preserve">Before applying unsupervised clustering, the </w:t>
      </w:r>
      <w:proofErr w:type="spellStart"/>
      <w:r w:rsidRPr="00EE3456">
        <w:rPr>
          <w:rFonts w:ascii="Times New Roman" w:hAnsi="Times New Roman" w:cs="Times New Roman"/>
          <w:lang w:val="en-GB"/>
        </w:rPr>
        <w:t>clusterability</w:t>
      </w:r>
      <w:proofErr w:type="spellEnd"/>
      <w:r w:rsidRPr="00EE3456">
        <w:rPr>
          <w:rFonts w:ascii="Times New Roman" w:hAnsi="Times New Roman" w:cs="Times New Roman"/>
          <w:lang w:val="en-GB"/>
        </w:rPr>
        <w:t xml:space="preserve"> of the dataset was evaluated using the Hopkins statistic, implemented through the </w:t>
      </w:r>
      <w:proofErr w:type="spellStart"/>
      <w:r w:rsidRPr="00EE3456">
        <w:rPr>
          <w:rFonts w:ascii="Times New Roman" w:hAnsi="Times New Roman" w:cs="Times New Roman"/>
          <w:lang w:val="en-GB"/>
        </w:rPr>
        <w:t>hopkins</w:t>
      </w:r>
      <w:proofErr w:type="spellEnd"/>
      <w:r w:rsidRPr="00EE3456">
        <w:rPr>
          <w:rFonts w:ascii="Times New Roman" w:hAnsi="Times New Roman" w:cs="Times New Roman"/>
          <w:lang w:val="en-GB"/>
        </w:rPr>
        <w:t xml:space="preserve"> R package. After listwise deletion of missing data, the Hopkins test yielded a value of H = 0.28, indicating a non-random distribution of observations and supporting the presence of latent structure amenable to clustering. This preliminary result provided the rationale for applying unsupervised clustering techniques to identify potential participant profiles that could not be captured through linear </w:t>
      </w:r>
      <w:proofErr w:type="spellStart"/>
      <w:r w:rsidRPr="00EE3456">
        <w:rPr>
          <w:rFonts w:ascii="Times New Roman" w:hAnsi="Times New Roman" w:cs="Times New Roman"/>
          <w:lang w:val="en-GB"/>
        </w:rPr>
        <w:t>modeling</w:t>
      </w:r>
      <w:proofErr w:type="spellEnd"/>
      <w:r w:rsidRPr="00EE3456">
        <w:rPr>
          <w:rFonts w:ascii="Times New Roman" w:hAnsi="Times New Roman" w:cs="Times New Roman"/>
          <w:lang w:val="en-GB"/>
        </w:rPr>
        <w:t xml:space="preserve"> alone.</w:t>
      </w:r>
    </w:p>
    <w:p w14:paraId="54EDAB85" w14:textId="77777777" w:rsidR="00EE3456" w:rsidRPr="00EE3456" w:rsidRDefault="00EE3456" w:rsidP="00EE3456">
      <w:pPr>
        <w:jc w:val="both"/>
        <w:rPr>
          <w:rFonts w:ascii="Times New Roman" w:hAnsi="Times New Roman" w:cs="Times New Roman"/>
          <w:lang w:val="en-GB"/>
        </w:rPr>
      </w:pPr>
      <w:r w:rsidRPr="00EE3456">
        <w:rPr>
          <w:rFonts w:ascii="Times New Roman" w:hAnsi="Times New Roman" w:cs="Times New Roman"/>
          <w:lang w:val="en-GB"/>
        </w:rPr>
        <w:t>Prior to clustering, SC-CII and BIPQ scale scores were standardized to place all variables on a comparable metric. A k-means clustering algorithm was then applied to identify homogeneous subgroups of participants based on these standardized scores. The optimal number of clusters was determined using multiple complementary criteria. The elbow method was used to examine the inflection point of the total within-cluster sum of squares. The silhouette coefficient was used to assess the compactness and separation of the cluster solution, whereas the Davies–Bouldin index was used to quantify intra-cluster similarity relative to inter-cluster separation, with lower values indicating better-defined clusters. In addition, explained sum of squares and residual sum of squares were calculated across increasing values of k to evaluate the balance between model fit and parsimony. Convergence across these statistical criteria, together with the clinical interpretability of the resulting profiles, guided the final cluster solution.</w:t>
      </w:r>
    </w:p>
    <w:p w14:paraId="3CD9E9DA" w14:textId="77777777" w:rsidR="00EE3456" w:rsidRPr="00EE3456" w:rsidRDefault="00EE3456" w:rsidP="00EE3456">
      <w:pPr>
        <w:jc w:val="both"/>
        <w:rPr>
          <w:rFonts w:ascii="Times New Roman" w:hAnsi="Times New Roman" w:cs="Times New Roman"/>
          <w:lang w:val="en-GB"/>
        </w:rPr>
      </w:pPr>
      <w:r w:rsidRPr="00EE3456">
        <w:rPr>
          <w:rFonts w:ascii="Times New Roman" w:hAnsi="Times New Roman" w:cs="Times New Roman"/>
          <w:lang w:val="en-GB"/>
        </w:rPr>
        <w:t>Principal component analysis was subsequently performed to visualize the final cluster solution in two dimensions. Individual participants were projected into the PCA plane, and cluster membership was superimposed using color-coded ellipses representing 95% confidence intervals, allowing graphical inspection of subgroup separability.</w:t>
      </w:r>
    </w:p>
    <w:p w14:paraId="0EED368D" w14:textId="77777777" w:rsidR="00EE3456" w:rsidRPr="00EE3456" w:rsidRDefault="00EE3456" w:rsidP="00EE3456">
      <w:pPr>
        <w:jc w:val="both"/>
        <w:rPr>
          <w:rFonts w:ascii="Times New Roman" w:hAnsi="Times New Roman" w:cs="Times New Roman"/>
          <w:lang w:val="en-GB"/>
        </w:rPr>
      </w:pPr>
      <w:r w:rsidRPr="00EE3456">
        <w:rPr>
          <w:rFonts w:ascii="Times New Roman" w:hAnsi="Times New Roman" w:cs="Times New Roman"/>
          <w:lang w:val="en-GB"/>
        </w:rPr>
        <w:t>Between-cluster comparisons were performed using Kruskal–Wallis tests for continuous or ordinal variables and chi-square tests for categorical variables. When applicable, post-hoc pairwise comparisons were adjusted for multiple testing using the Bonferroni correction. Based on the specific patterns of SC-CII and BIPQ scores observed in each cluster, descriptive semantic labels were assigned to enhance interpretability and clinical relevance.</w:t>
      </w:r>
    </w:p>
    <w:p w14:paraId="3D527758" w14:textId="77777777" w:rsidR="00EE3456" w:rsidRPr="00EE3456" w:rsidRDefault="00EE3456" w:rsidP="00EE3456">
      <w:pPr>
        <w:jc w:val="both"/>
        <w:rPr>
          <w:rFonts w:ascii="Times New Roman" w:hAnsi="Times New Roman" w:cs="Times New Roman"/>
          <w:lang w:val="en-GB"/>
        </w:rPr>
      </w:pPr>
      <w:r w:rsidRPr="00EE3456">
        <w:rPr>
          <w:rFonts w:ascii="Times New Roman" w:hAnsi="Times New Roman" w:cs="Times New Roman"/>
          <w:lang w:val="en-GB"/>
        </w:rPr>
        <w:t xml:space="preserve">To explore participants’ beliefs regarding the causes of their chronic illness, responses to item 9 of the BIPQ were </w:t>
      </w:r>
      <w:proofErr w:type="spellStart"/>
      <w:r w:rsidRPr="00EE3456">
        <w:rPr>
          <w:rFonts w:ascii="Times New Roman" w:hAnsi="Times New Roman" w:cs="Times New Roman"/>
          <w:lang w:val="en-GB"/>
        </w:rPr>
        <w:t>analyzed</w:t>
      </w:r>
      <w:proofErr w:type="spellEnd"/>
      <w:r w:rsidRPr="00EE3456">
        <w:rPr>
          <w:rFonts w:ascii="Times New Roman" w:hAnsi="Times New Roman" w:cs="Times New Roman"/>
          <w:lang w:val="en-GB"/>
        </w:rPr>
        <w:t>. Open-ended causal responses were categorized and recoded into binary variables indicating the presence or absence of each perceived cause. Frequencies were calculated within each cluster, and group differences were assessed using chi-square tests.</w:t>
      </w:r>
    </w:p>
    <w:p w14:paraId="4DCD78E8" w14:textId="30796EE5" w:rsidR="004C409D" w:rsidRPr="00EE3456" w:rsidRDefault="00EE3456" w:rsidP="00EE3456">
      <w:pPr>
        <w:jc w:val="both"/>
        <w:rPr>
          <w:rFonts w:ascii="Times New Roman" w:hAnsi="Times New Roman" w:cs="Times New Roman"/>
          <w:lang w:val="en-GB"/>
        </w:rPr>
      </w:pPr>
      <w:r w:rsidRPr="00EE3456">
        <w:rPr>
          <w:rFonts w:ascii="Times New Roman" w:hAnsi="Times New Roman" w:cs="Times New Roman"/>
          <w:lang w:val="en-GB"/>
        </w:rPr>
        <w:t xml:space="preserve">A co-occurrence matrix was then constructed, in which edges represented the co-endorsement of causal attributions by individual participants. Undirected weighted network graphs were generated separately for each cluster. Centrality metrics, including degree, betweenness, closeness, and eigenvector centrality, were computed to evaluate the salience of each causal factor within the cluster-specific cognitive networks. To explore cross-cluster differences in causal attribution patterns, the distribution of reported causes was </w:t>
      </w:r>
      <w:proofErr w:type="spellStart"/>
      <w:r w:rsidRPr="00EE3456">
        <w:rPr>
          <w:rFonts w:ascii="Times New Roman" w:hAnsi="Times New Roman" w:cs="Times New Roman"/>
          <w:lang w:val="en-GB"/>
        </w:rPr>
        <w:t>analyzed</w:t>
      </w:r>
      <w:proofErr w:type="spellEnd"/>
      <w:r w:rsidRPr="00EE3456">
        <w:rPr>
          <w:rFonts w:ascii="Times New Roman" w:hAnsi="Times New Roman" w:cs="Times New Roman"/>
          <w:lang w:val="en-GB"/>
        </w:rPr>
        <w:t xml:space="preserve"> using Fisher’s exact test with Monte Carlo simulation based on 10,000 replicates. All centrality measures were normalized to ensure comparability across clusters. The five most central factors, ranked by degree, were extracted for each cluster and summarized in tabular form. Network analyses and visualizations were performed using the </w:t>
      </w:r>
      <w:proofErr w:type="spellStart"/>
      <w:r w:rsidRPr="00EE3456">
        <w:rPr>
          <w:rFonts w:ascii="Times New Roman" w:hAnsi="Times New Roman" w:cs="Times New Roman"/>
          <w:lang w:val="en-GB"/>
        </w:rPr>
        <w:t>igraph</w:t>
      </w:r>
      <w:proofErr w:type="spellEnd"/>
      <w:r w:rsidRPr="00EE3456">
        <w:rPr>
          <w:rFonts w:ascii="Times New Roman" w:hAnsi="Times New Roman" w:cs="Times New Roman"/>
          <w:lang w:val="en-GB"/>
        </w:rPr>
        <w:t xml:space="preserve"> and </w:t>
      </w:r>
      <w:proofErr w:type="spellStart"/>
      <w:r w:rsidRPr="00EE3456">
        <w:rPr>
          <w:rFonts w:ascii="Times New Roman" w:hAnsi="Times New Roman" w:cs="Times New Roman"/>
          <w:lang w:val="en-GB"/>
        </w:rPr>
        <w:t>ggraph</w:t>
      </w:r>
      <w:proofErr w:type="spellEnd"/>
      <w:r w:rsidRPr="00EE3456">
        <w:rPr>
          <w:rFonts w:ascii="Times New Roman" w:hAnsi="Times New Roman" w:cs="Times New Roman"/>
          <w:lang w:val="en-GB"/>
        </w:rPr>
        <w:t xml:space="preserve"> R packages.</w:t>
      </w:r>
    </w:p>
    <w:sectPr w:rsidR="004C409D" w:rsidRPr="00EE345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456"/>
    <w:rsid w:val="004C409D"/>
    <w:rsid w:val="00B04048"/>
    <w:rsid w:val="00BC2A0A"/>
    <w:rsid w:val="00EE34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118E0"/>
  <w15:chartTrackingRefBased/>
  <w15:docId w15:val="{1B5B1E59-3EE3-4398-B309-267335FB6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E34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EE34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E345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E345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E345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E345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E345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E345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E345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E345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E345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E345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E345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E345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E345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E345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E345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E3456"/>
    <w:rPr>
      <w:rFonts w:eastAsiaTheme="majorEastAsia" w:cstheme="majorBidi"/>
      <w:color w:val="272727" w:themeColor="text1" w:themeTint="D8"/>
    </w:rPr>
  </w:style>
  <w:style w:type="paragraph" w:styleId="Titolo">
    <w:name w:val="Title"/>
    <w:basedOn w:val="Normale"/>
    <w:next w:val="Normale"/>
    <w:link w:val="TitoloCarattere"/>
    <w:uiPriority w:val="10"/>
    <w:qFormat/>
    <w:rsid w:val="00EE34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E345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E345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E345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E345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E3456"/>
    <w:rPr>
      <w:i/>
      <w:iCs/>
      <w:color w:val="404040" w:themeColor="text1" w:themeTint="BF"/>
    </w:rPr>
  </w:style>
  <w:style w:type="paragraph" w:styleId="Paragrafoelenco">
    <w:name w:val="List Paragraph"/>
    <w:basedOn w:val="Normale"/>
    <w:uiPriority w:val="34"/>
    <w:qFormat/>
    <w:rsid w:val="00EE3456"/>
    <w:pPr>
      <w:ind w:left="720"/>
      <w:contextualSpacing/>
    </w:pPr>
  </w:style>
  <w:style w:type="character" w:styleId="Enfasiintensa">
    <w:name w:val="Intense Emphasis"/>
    <w:basedOn w:val="Carpredefinitoparagrafo"/>
    <w:uiPriority w:val="21"/>
    <w:qFormat/>
    <w:rsid w:val="00EE3456"/>
    <w:rPr>
      <w:i/>
      <w:iCs/>
      <w:color w:val="0F4761" w:themeColor="accent1" w:themeShade="BF"/>
    </w:rPr>
  </w:style>
  <w:style w:type="paragraph" w:styleId="Citazioneintensa">
    <w:name w:val="Intense Quote"/>
    <w:basedOn w:val="Normale"/>
    <w:next w:val="Normale"/>
    <w:link w:val="CitazioneintensaCarattere"/>
    <w:uiPriority w:val="30"/>
    <w:qFormat/>
    <w:rsid w:val="00EE34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E3456"/>
    <w:rPr>
      <w:i/>
      <w:iCs/>
      <w:color w:val="0F4761" w:themeColor="accent1" w:themeShade="BF"/>
    </w:rPr>
  </w:style>
  <w:style w:type="character" w:styleId="Riferimentointenso">
    <w:name w:val="Intense Reference"/>
    <w:basedOn w:val="Carpredefinitoparagrafo"/>
    <w:uiPriority w:val="32"/>
    <w:qFormat/>
    <w:rsid w:val="00EE345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560</Words>
  <Characters>3198</Characters>
  <Application>Microsoft Office Word</Application>
  <DocSecurity>0</DocSecurity>
  <Lines>26</Lines>
  <Paragraphs>7</Paragraphs>
  <ScaleCrop>false</ScaleCrop>
  <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Bozzetti Mattia</dc:creator>
  <cp:keywords/>
  <dc:description/>
  <cp:lastModifiedBy>Bozzetti Mattia</cp:lastModifiedBy>
  <cp:revision>1</cp:revision>
  <dcterms:created xsi:type="dcterms:W3CDTF">2026-05-05T13:25:00Z</dcterms:created>
  <dcterms:modified xsi:type="dcterms:W3CDTF">2026-05-05T13:27:00Z</dcterms:modified>
</cp:coreProperties>
</file>