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46AE48A" w14:textId="280E939C" w:rsidR="00B34C8F" w:rsidRPr="004D3031" w:rsidRDefault="005C05A4" w:rsidP="007643F3">
      <w:pPr>
        <w:jc w:val="center"/>
        <w:rPr>
          <w:b/>
          <w:bCs/>
          <w:sz w:val="48"/>
          <w:szCs w:val="48"/>
          <w:lang w:val="en-US"/>
        </w:rPr>
      </w:pPr>
      <w:bookmarkStart w:id="0" w:name="_Hlk122355142"/>
      <w:bookmarkStart w:id="1" w:name="_Hlk122355113"/>
      <w:r w:rsidRPr="004D3031">
        <w:rPr>
          <w:b/>
          <w:bCs/>
          <w:sz w:val="48"/>
          <w:szCs w:val="48"/>
          <w:lang w:val="en-US"/>
        </w:rPr>
        <w:t>Supplementary Material</w:t>
      </w:r>
      <w:r w:rsidR="00CF73EE" w:rsidRPr="004D3031">
        <w:rPr>
          <w:b/>
          <w:bCs/>
          <w:sz w:val="48"/>
          <w:szCs w:val="48"/>
          <w:lang w:val="en-US"/>
        </w:rPr>
        <w:t xml:space="preserve"> </w:t>
      </w:r>
      <w:r w:rsidR="001C493B" w:rsidRPr="004D3031">
        <w:rPr>
          <w:b/>
          <w:bCs/>
          <w:sz w:val="48"/>
          <w:szCs w:val="48"/>
          <w:lang w:val="en-US"/>
        </w:rPr>
        <w:t>A</w:t>
      </w:r>
      <w:r w:rsidR="00CF73EE" w:rsidRPr="004D3031">
        <w:rPr>
          <w:b/>
          <w:bCs/>
          <w:sz w:val="48"/>
          <w:szCs w:val="48"/>
          <w:lang w:val="en-US"/>
        </w:rPr>
        <w:t xml:space="preserve">: </w:t>
      </w:r>
      <w:bookmarkStart w:id="2" w:name="_Hlk122354033"/>
      <w:r w:rsidR="00CF73EE" w:rsidRPr="004D3031">
        <w:rPr>
          <w:b/>
          <w:bCs/>
          <w:sz w:val="48"/>
          <w:szCs w:val="48"/>
          <w:lang w:val="en-US"/>
        </w:rPr>
        <w:t xml:space="preserve">Evaluation of </w:t>
      </w:r>
      <w:r w:rsidR="006F1241" w:rsidRPr="004D3031">
        <w:rPr>
          <w:b/>
          <w:bCs/>
          <w:sz w:val="48"/>
          <w:szCs w:val="48"/>
          <w:lang w:val="en-US"/>
        </w:rPr>
        <w:t xml:space="preserve">the </w:t>
      </w:r>
      <w:r w:rsidR="00CF73EE" w:rsidRPr="004D3031">
        <w:rPr>
          <w:b/>
          <w:bCs/>
          <w:sz w:val="48"/>
          <w:szCs w:val="48"/>
          <w:lang w:val="en-US"/>
        </w:rPr>
        <w:t>Exclusion Criteria</w:t>
      </w:r>
      <w:bookmarkEnd w:id="0"/>
      <w:bookmarkEnd w:id="2"/>
      <w:r w:rsidR="006F1241" w:rsidRPr="004D3031">
        <w:rPr>
          <w:b/>
          <w:bCs/>
          <w:sz w:val="48"/>
          <w:szCs w:val="48"/>
          <w:lang w:val="en-US"/>
        </w:rPr>
        <w:t xml:space="preserve"> on </w:t>
      </w:r>
      <w:r w:rsidR="0036561A" w:rsidRPr="004D3031">
        <w:rPr>
          <w:b/>
          <w:bCs/>
          <w:sz w:val="48"/>
          <w:szCs w:val="48"/>
          <w:lang w:val="en-US"/>
        </w:rPr>
        <w:t>synthetic control method and “too few observations”</w:t>
      </w:r>
    </w:p>
    <w:p w14:paraId="3679A4C4" w14:textId="5BCC43E9" w:rsidR="00057681" w:rsidRPr="004D3031" w:rsidRDefault="001038A6" w:rsidP="00F139EC">
      <w:pPr>
        <w:jc w:val="center"/>
        <w:rPr>
          <w:lang w:val="en-US"/>
        </w:rPr>
      </w:pPr>
      <w:r w:rsidRPr="004D3031">
        <w:rPr>
          <w:lang w:val="en-US"/>
        </w:rPr>
        <w:t>Supplementary Material for “</w:t>
      </w:r>
      <w:r w:rsidR="00875AAC" w:rsidRPr="004D3031">
        <w:rPr>
          <w:lang w:val="en-US"/>
        </w:rPr>
        <w:t>Were COVID-19 Lockdowns worth it? A Meta-Analysis</w:t>
      </w:r>
      <w:r w:rsidR="0029033D" w:rsidRPr="004D3031">
        <w:rPr>
          <w:lang w:val="en-US"/>
        </w:rPr>
        <w:t>”</w:t>
      </w:r>
    </w:p>
    <w:p w14:paraId="17ED2F00" w14:textId="77777777" w:rsidR="00D265BE" w:rsidRPr="004D3031" w:rsidRDefault="00D265BE" w:rsidP="00D265BE">
      <w:pPr>
        <w:jc w:val="center"/>
        <w:rPr>
          <w:lang w:val="en-US"/>
        </w:rPr>
      </w:pPr>
      <w:bookmarkStart w:id="3" w:name="_Toc124683293"/>
      <w:bookmarkStart w:id="4" w:name="_Toc125059369"/>
      <w:bookmarkStart w:id="5" w:name="_Toc126069765"/>
      <w:bookmarkEnd w:id="1"/>
      <w:r w:rsidRPr="00F82731">
        <w:rPr>
          <w:lang w:val="en-US"/>
        </w:rPr>
        <w:t>Jonas Herby</w:t>
      </w:r>
      <w:r>
        <w:rPr>
          <w:rStyle w:val="FootnoteReference"/>
          <w:lang w:val="en-US"/>
        </w:rPr>
        <w:footnoteReference w:customMarkFollows="1" w:id="2"/>
        <w:t>†</w:t>
      </w:r>
      <w:r w:rsidRPr="00F82731">
        <w:rPr>
          <w:lang w:val="en-US"/>
        </w:rPr>
        <w:t>, Lars Jonung, and Steve H. Hanke</w:t>
      </w:r>
    </w:p>
    <w:p w14:paraId="0130D0BF" w14:textId="6984B74A" w:rsidR="00D265BE" w:rsidRPr="004D3031" w:rsidRDefault="00D265BE" w:rsidP="00D265BE">
      <w:pPr>
        <w:jc w:val="center"/>
        <w:rPr>
          <w:lang w:val="en-US"/>
        </w:rPr>
      </w:pPr>
      <w:r>
        <w:rPr>
          <w:lang w:val="en-US"/>
        </w:rPr>
        <w:t>October 10</w:t>
      </w:r>
      <w:r w:rsidRPr="004D3031">
        <w:rPr>
          <w:lang w:val="en-US"/>
        </w:rPr>
        <w:t>, 2024</w:t>
      </w:r>
    </w:p>
    <w:p w14:paraId="6FEE5A41" w14:textId="77777777" w:rsidR="0065098B" w:rsidRPr="004D3031" w:rsidRDefault="0065098B" w:rsidP="00FF782A">
      <w:pPr>
        <w:pStyle w:val="Heading2"/>
      </w:pPr>
      <w:r w:rsidRPr="004D3031">
        <w:t>Background</w:t>
      </w:r>
      <w:bookmarkEnd w:id="3"/>
      <w:bookmarkEnd w:id="4"/>
      <w:bookmarkEnd w:id="5"/>
    </w:p>
    <w:p w14:paraId="26096BB2" w14:textId="413AD421" w:rsidR="0065098B" w:rsidRPr="004D3031" w:rsidRDefault="0065098B" w:rsidP="0065098B">
      <w:pPr>
        <w:rPr>
          <w:lang w:val="en-US"/>
        </w:rPr>
      </w:pPr>
      <w:r w:rsidRPr="004D3031">
        <w:rPr>
          <w:lang w:val="en-US"/>
        </w:rPr>
        <w:t xml:space="preserve">In our protocol </w:t>
      </w:r>
      <w:r w:rsidR="00E50C80" w:rsidRPr="00BE2E7B">
        <w:rPr>
          <w:rFonts w:cs="Calibri"/>
          <w:lang w:val="en-US"/>
        </w:rPr>
        <w:t>(</w:t>
      </w:r>
      <w:r w:rsidRPr="004D3031">
        <w:rPr>
          <w:lang w:val="en-US"/>
        </w:rPr>
        <w:fldChar w:fldCharType="begin"/>
      </w:r>
      <w:r w:rsidR="00BE2E7B">
        <w:rPr>
          <w:lang w:val="en-US"/>
        </w:rPr>
        <w:instrText xml:space="preserve"> ADDIN ZOTERO_ITEM CSL_CITATION {"citationID":"hNtVP5Lu","properties":{"formattedCitation":"Herby et al. (2021)","plainCitation":"Herby et al. (2021)","noteIndex":0},"citationItems":[{"id":4015,"uris":["http://zotero.org/groups/2170464/items/GCCSTVWJ","http://zotero.org/groups/2170464/items/5ECXNDSF"],"itemData":{"id":4015,"type":"article-journal","container-title":"SSRN Electronic Journal","DOI":"https://dx.doi.org/10.2139/ssrn.3872977","journalAbbreviation":"SSRN Journal","language":"en","source":"DOI.org (Crossref)","title":"Protocol for 'What Does the First XX Studies Tell Us about the Effects of Lockdowns on Mortality? A Systematic Review and Meta-Analysis of COVID-19 Lockdowns'","title-short":"Protocol for 'What Does the First XX Studies Tell Us about the Effects of Lockdowns on Mortality?","URL":"https://papers.ssrn.com/sol3/papers.cfm?abstract_id=3872977","author":[{"family":"Herby","given":"Jonas"},{"family":"Jonung","given":"Lars"},{"family":"Hanke","given":"Steve H."}],"accessed":{"date-parts":[["2021",9,8]]},"issued":{"date-parts":[["2021"]]}}}],"schema":"https://github.com/citation-style-language/schema/raw/master/csl-citation.json"} </w:instrText>
      </w:r>
      <w:r w:rsidRPr="004D3031">
        <w:rPr>
          <w:lang w:val="en-US"/>
        </w:rPr>
        <w:fldChar w:fldCharType="separate"/>
      </w:r>
      <w:r w:rsidR="00BE2E7B" w:rsidRPr="00BE2E7B">
        <w:rPr>
          <w:rFonts w:cs="Calibri"/>
          <w:lang w:val="en-US"/>
        </w:rPr>
        <w:t>Herby et al. 2021)</w:t>
      </w:r>
      <w:r w:rsidRPr="004D3031">
        <w:rPr>
          <w:lang w:val="en-US"/>
        </w:rPr>
        <w:fldChar w:fldCharType="end"/>
      </w:r>
      <w:r w:rsidRPr="004D3031">
        <w:rPr>
          <w:lang w:val="en-US"/>
        </w:rPr>
        <w:t xml:space="preserve"> we exclude </w:t>
      </w:r>
      <w:bookmarkStart w:id="6" w:name="_Hlk122205546"/>
      <w:r w:rsidRPr="004D3031">
        <w:rPr>
          <w:lang w:val="en-US"/>
        </w:rPr>
        <w:t xml:space="preserve">synthetic control </w:t>
      </w:r>
      <w:bookmarkEnd w:id="6"/>
      <w:r w:rsidRPr="004D3031">
        <w:rPr>
          <w:lang w:val="en-US"/>
        </w:rPr>
        <w:t xml:space="preserve">studies because of inherent empirical problems as </w:t>
      </w:r>
      <w:bookmarkStart w:id="7" w:name="_Hlk122204987"/>
      <w:r w:rsidRPr="004D3031">
        <w:rPr>
          <w:lang w:val="en-US"/>
        </w:rPr>
        <w:t xml:space="preserve">discussed by </w:t>
      </w:r>
      <w:r w:rsidRPr="004D3031">
        <w:rPr>
          <w:lang w:val="en-US"/>
        </w:rPr>
        <w:fldChar w:fldCharType="begin"/>
      </w:r>
      <w:r w:rsidR="00BE2E7B">
        <w:rPr>
          <w:lang w:val="en-US"/>
        </w:rPr>
        <w:instrText xml:space="preserve"> ADDIN ZOTERO_ITEM CSL_CITATION {"citationID":"2cNMpCXS","properties":{"formattedCitation":"Bj\\uc0\\u248{}rnskov (2021)","plainCitation":"Bjørnskov (2021)","noteIndex":0},"citationItems":[{"id":1110,"uris":["http://zotero.org/users/4473730/items/9SHZLCQD"],"itemData":{"id":1110,"type":"post-weblog","abstract":"Som opmærksomme læsere ved, er vi her på stedet kommet til konklusionen, at de voldsomme nedlukninger i den vestlige verden siden marts sidste år ikke har reddet liv. Lockdowns virkede ikke, men sk…","container-title":"Punditokraterne","title":"Born et al. om epidemien i Sverige – hvad er der galt og hvordan ser det ud nu?","URL":"http://punditokraterne.dk/2021/06/14/born-et-al-om-epidemien-i-sverige-hvad-er-der-galt-og-hvordan-ser-det-ud-nu/","author":[{"family":"Bjørnskov","given":"Christian"}],"accessed":{"date-parts":[["2021",8,23]]},"issued":{"date-parts":[["2021",6,14]]}}}],"schema":"https://github.com/citation-style-language/schema/raw/master/csl-citation.json"} </w:instrText>
      </w:r>
      <w:r w:rsidRPr="004D3031">
        <w:rPr>
          <w:lang w:val="en-US"/>
        </w:rPr>
        <w:fldChar w:fldCharType="separate"/>
      </w:r>
      <w:r w:rsidR="00BE2E7B" w:rsidRPr="00BE2E7B">
        <w:rPr>
          <w:rFonts w:cs="Calibri"/>
          <w:lang w:val="en-US"/>
        </w:rPr>
        <w:t>Bjørnskov (2021)</w:t>
      </w:r>
      <w:r w:rsidRPr="004D3031">
        <w:rPr>
          <w:lang w:val="en-US"/>
        </w:rPr>
        <w:fldChar w:fldCharType="end"/>
      </w:r>
      <w:bookmarkEnd w:id="7"/>
      <w:r w:rsidRPr="004D3031">
        <w:rPr>
          <w:lang w:val="en-US"/>
        </w:rPr>
        <w:t xml:space="preserve">. We also exclude studies with very few observations, e.g. </w:t>
      </w:r>
      <w:r w:rsidRPr="004D3031">
        <w:rPr>
          <w:lang w:val="en-US"/>
        </w:rPr>
        <w:fldChar w:fldCharType="begin"/>
      </w:r>
      <w:r w:rsidR="00BE2E7B">
        <w:rPr>
          <w:lang w:val="en-US"/>
        </w:rPr>
        <w:instrText xml:space="preserve"> ADDIN ZOTERO_ITEM CSL_CITATION {"citationID":"fuYOCzTe","properties":{"formattedCitation":"Conyon et al. (2020)","plainCitation":"Conyon et al. (2020)","noteIndex":0},"citationItems":[{"id":3903,"uris":["http://zotero.org/groups/2170464/items/WIW659V3"],"itemData":{"id":3903,"type":"article-journal","abstract":"We estimate the impact of non-pharmacological interventions (NPIs) on COVID19 deaths in Scandinavia. We exploit policy variation between Denmark and Norway on the one hand and Sweden on the other. The former deployed relatively more stringent lockdowns, the latter did not. Our difference-in-differences models show that stricter lockdown policies are associated with fewer COVID-19 deaths.","container-title":"SSRN Electronic Journal","DOI":"10.2139/ssrn.3616969","ISSN":"1556-5068","journalAbbreviation":"SSRN Journal","language":"en","source":"DOI.org (Crossref)","title":"Lockdowns and COVID-19 Deaths in Scandinavia","URL":"https://www.ssrn.com/abstract=3616969","author":[{"family":"Conyon","given":"Martin J."},{"family":"He","given":"Lerong"},{"family":"Thomsen","given":"Steen"}],"accessed":{"date-parts":[["2021",8,17]]},"issued":{"date-parts":[["2020",6,1]]}}}],"schema":"https://github.com/citation-style-language/schema/raw/master/csl-citation.json"} </w:instrText>
      </w:r>
      <w:r w:rsidRPr="004D3031">
        <w:rPr>
          <w:lang w:val="en-US"/>
        </w:rPr>
        <w:fldChar w:fldCharType="separate"/>
      </w:r>
      <w:r w:rsidR="00BE2E7B" w:rsidRPr="00BE2E7B">
        <w:rPr>
          <w:rFonts w:cs="Calibri"/>
          <w:lang w:val="en-US"/>
        </w:rPr>
        <w:t>Conyon et al. (2020)</w:t>
      </w:r>
      <w:r w:rsidRPr="004D3031">
        <w:rPr>
          <w:lang w:val="en-US"/>
        </w:rPr>
        <w:fldChar w:fldCharType="end"/>
      </w:r>
      <w:r w:rsidRPr="004D3031">
        <w:rPr>
          <w:lang w:val="en-US"/>
        </w:rPr>
        <w:t>, which “exploit policy variation between Denmark and Norway on the one hand and Sweden on the other” and, thus, only have one observation in one group.</w:t>
      </w:r>
    </w:p>
    <w:p w14:paraId="52755DB6" w14:textId="77777777" w:rsidR="0065098B" w:rsidRPr="004D3031" w:rsidRDefault="0065098B" w:rsidP="0065098B">
      <w:pPr>
        <w:rPr>
          <w:lang w:val="en-US"/>
        </w:rPr>
      </w:pPr>
      <w:bookmarkStart w:id="8" w:name="_Hlk122343189"/>
      <w:r w:rsidRPr="004D3031">
        <w:rPr>
          <w:lang w:val="en-US"/>
        </w:rPr>
        <w:t>Our reasons to exclude these studies are twofold</w:t>
      </w:r>
      <w:bookmarkEnd w:id="8"/>
      <w:r w:rsidRPr="004D3031">
        <w:rPr>
          <w:lang w:val="en-US"/>
        </w:rPr>
        <w:t xml:space="preserve">. </w:t>
      </w:r>
    </w:p>
    <w:p w14:paraId="7B98E4FB" w14:textId="58BC7A94" w:rsidR="0065098B" w:rsidRPr="004D3031" w:rsidRDefault="0065098B" w:rsidP="0065098B">
      <w:pPr>
        <w:rPr>
          <w:lang w:val="en-US"/>
        </w:rPr>
      </w:pPr>
      <w:r w:rsidRPr="004D3031">
        <w:rPr>
          <w:lang w:val="en-US"/>
        </w:rPr>
        <w:t xml:space="preserve">First, there are methodological problems related to the synthetic control method (SCM) in a COVID-19 setting. </w:t>
      </w:r>
      <w:r w:rsidRPr="004D3031">
        <w:rPr>
          <w:lang w:val="en-US"/>
        </w:rPr>
        <w:fldChar w:fldCharType="begin"/>
      </w:r>
      <w:r w:rsidR="00BE2E7B">
        <w:rPr>
          <w:lang w:val="en-US"/>
        </w:rPr>
        <w:instrText xml:space="preserve"> ADDIN ZOTERO_ITEM CSL_CITATION {"citationID":"7M4NlUYQ","properties":{"formattedCitation":"Abadie (2021)","plainCitation":"Abadie (2021)","noteIndex":0},"citationItems":[{"id":3939,"uris":["http://zotero.org/groups/2170464/items/LDI2VMKX"],"itemData":{"id":3939,"type":"article-journal","abstract":"Probably because of their interpretability and transparent nature, synthetic controls have become widely applied in empirical research in economics and the social sciences. This article aims to provide practical guidance to researchers employing synthetic control methods. The article starts with an overview and an introduction to synthetic control estimation. The main sections discuss the advantages of the synthetic control framework as a research design, and describe the settings where synthetic controls provide reliable estimates and those where they may fail. The article closes with a discussion of recent extensions, related methods, and avenues for future research. (JEL B41, C32, C54, E23, F15, O47)","container-title":"Journal of Economic Literature","DOI":"10.1257/jel.20191450","ISSN":"0022-0515","issue":"2","journalAbbreviation":"Journal of Economic Literature","language":"en","page":"391-425","source":"DOI.org (Crossref)","title":"Using Synthetic Controls: Feasibility, Data Requirements, and Methodological Aspects","title-short":"Using Synthetic Controls","volume":"59","author":[{"family":"Abadie","given":"Alberto"}],"issued":{"date-parts":[["2021",6,1]]}}}],"schema":"https://github.com/citation-style-language/schema/raw/master/csl-citation.json"} </w:instrText>
      </w:r>
      <w:r w:rsidRPr="004D3031">
        <w:rPr>
          <w:lang w:val="en-US"/>
        </w:rPr>
        <w:fldChar w:fldCharType="separate"/>
      </w:r>
      <w:r w:rsidR="00BE2E7B" w:rsidRPr="00BE2E7B">
        <w:rPr>
          <w:rFonts w:cs="Calibri"/>
          <w:lang w:val="en-US"/>
        </w:rPr>
        <w:t>Abadie (2021)</w:t>
      </w:r>
      <w:r w:rsidRPr="004D3031">
        <w:rPr>
          <w:lang w:val="en-US"/>
        </w:rPr>
        <w:fldChar w:fldCharType="end"/>
      </w:r>
      <w:r w:rsidRPr="004D3031">
        <w:rPr>
          <w:lang w:val="en-US"/>
        </w:rPr>
        <w:t xml:space="preserve"> writes that “</w:t>
      </w:r>
      <w:r w:rsidR="00816942" w:rsidRPr="004D3031">
        <w:rPr>
          <w:lang w:val="en-US"/>
        </w:rPr>
        <w:t>[t]</w:t>
      </w:r>
      <w:r w:rsidRPr="004D3031">
        <w:rPr>
          <w:lang w:val="en-US"/>
        </w:rPr>
        <w:t xml:space="preserve">he credibility of a synthetic control estimator depends in great part on its ability to steadily track the trajectory of the outcome variable for the affected unit before the intervention” and “when designing a synthetic control study, it is of crucial importance to collect information on the affected unit and the donor pool for a </w:t>
      </w:r>
      <w:bookmarkStart w:id="9" w:name="_Hlk122343056"/>
      <w:r w:rsidRPr="004D3031">
        <w:rPr>
          <w:lang w:val="en-US"/>
        </w:rPr>
        <w:t xml:space="preserve">large </w:t>
      </w:r>
      <w:bookmarkStart w:id="10" w:name="_Hlk122343049"/>
      <w:r w:rsidRPr="004D3031">
        <w:rPr>
          <w:lang w:val="en-US"/>
        </w:rPr>
        <w:t xml:space="preserve">pre-intervention </w:t>
      </w:r>
      <w:bookmarkEnd w:id="10"/>
      <w:r w:rsidRPr="004D3031">
        <w:rPr>
          <w:lang w:val="en-US"/>
        </w:rPr>
        <w:t>window</w:t>
      </w:r>
      <w:bookmarkEnd w:id="9"/>
      <w:r w:rsidR="00816942" w:rsidRPr="004D3031">
        <w:rPr>
          <w:lang w:val="en-US"/>
        </w:rPr>
        <w:t>.</w:t>
      </w:r>
      <w:r w:rsidRPr="004D3031">
        <w:rPr>
          <w:lang w:val="en-US"/>
        </w:rPr>
        <w:t xml:space="preserve">” As discussed by </w:t>
      </w:r>
      <w:r w:rsidRPr="004D3031">
        <w:rPr>
          <w:lang w:val="en-US"/>
        </w:rPr>
        <w:fldChar w:fldCharType="begin"/>
      </w:r>
      <w:r w:rsidR="00BE2E7B">
        <w:rPr>
          <w:lang w:val="en-US"/>
        </w:rPr>
        <w:instrText xml:space="preserve"> ADDIN ZOTERO_ITEM CSL_CITATION {"citationID":"ql1LEfMj","properties":{"formattedCitation":"Bj\\uc0\\u248{}rnskov (2021)","plainCitation":"Bjørnskov (2021)","noteIndex":0},"citationItems":[{"id":1110,"uris":["http://zotero.org/users/4473730/items/9SHZLCQD"],"itemData":{"id":1110,"type":"post-weblog","abstract":"Som opmærksomme læsere ved, er vi her på stedet kommet til konklusionen, at de voldsomme nedlukninger i den vestlige verden siden marts sidste år ikke har reddet liv. Lockdowns virkede ikke, men sk…","container-title":"Punditokraterne","title":"Born et al. om epidemien i Sverige – hvad er der galt og hvordan ser det ud nu?","URL":"http://punditokraterne.dk/2021/06/14/born-et-al-om-epidemien-i-sverige-hvad-er-der-galt-og-hvordan-ser-det-ud-nu/","author":[{"family":"Bjørnskov","given":"Christian"}],"accessed":{"date-parts":[["2021",8,23]]},"issued":{"date-parts":[["2021",6,14]]}}}],"schema":"https://github.com/citation-style-language/schema/raw/master/csl-citation.json"} </w:instrText>
      </w:r>
      <w:r w:rsidRPr="004D3031">
        <w:rPr>
          <w:lang w:val="en-US"/>
        </w:rPr>
        <w:fldChar w:fldCharType="separate"/>
      </w:r>
      <w:r w:rsidR="00BE2E7B" w:rsidRPr="00BE2E7B">
        <w:rPr>
          <w:rFonts w:cs="Calibri"/>
          <w:lang w:val="en-US"/>
        </w:rPr>
        <w:t>Bjørnskov (2021)</w:t>
      </w:r>
      <w:r w:rsidRPr="004D3031">
        <w:rPr>
          <w:lang w:val="en-US"/>
        </w:rPr>
        <w:fldChar w:fldCharType="end"/>
      </w:r>
      <w:r w:rsidRPr="004D3031">
        <w:rPr>
          <w:lang w:val="en-US"/>
        </w:rPr>
        <w:t>, this lack of a large pre-intervention window is an inherent problem in the evaluation of the effect of lockdown on COVID-19 mortality.</w:t>
      </w:r>
    </w:p>
    <w:p w14:paraId="33957788" w14:textId="4318CB0E" w:rsidR="0065098B" w:rsidRPr="004D3031" w:rsidRDefault="0065098B" w:rsidP="0065098B">
      <w:pPr>
        <w:rPr>
          <w:lang w:val="en-US"/>
        </w:rPr>
      </w:pPr>
      <w:r w:rsidRPr="004D3031">
        <w:rPr>
          <w:lang w:val="en-US"/>
        </w:rPr>
        <w:t xml:space="preserve">Second, we worried that these studies could </w:t>
      </w:r>
      <w:bookmarkStart w:id="11" w:name="_Hlk122205643"/>
      <w:r w:rsidRPr="004D3031">
        <w:rPr>
          <w:lang w:val="en-US"/>
        </w:rPr>
        <w:t xml:space="preserve">be biased because they would tend to focus on a few special places such as Italy and Sweden, who – possibly because they were </w:t>
      </w:r>
      <w:bookmarkStart w:id="12" w:name="_Hlk122353787"/>
      <w:r w:rsidRPr="004D3031">
        <w:rPr>
          <w:lang w:val="en-US"/>
        </w:rPr>
        <w:t xml:space="preserve">hit early and were surprised by the pandemic </w:t>
      </w:r>
      <w:bookmarkEnd w:id="12"/>
      <w:r w:rsidRPr="004D3031">
        <w:rPr>
          <w:lang w:val="en-US"/>
        </w:rPr>
        <w:t>– experienced very high death tolls.</w:t>
      </w:r>
    </w:p>
    <w:p w14:paraId="6267B30F" w14:textId="7CC2F9F5" w:rsidR="00BE59F6" w:rsidRPr="004D3031" w:rsidRDefault="00157C03" w:rsidP="005F3295">
      <w:pPr>
        <w:pStyle w:val="Heading3"/>
        <w:rPr>
          <w:lang w:val="en-US"/>
        </w:rPr>
      </w:pPr>
      <w:proofErr w:type="gramStart"/>
      <w:r w:rsidRPr="004D3031">
        <w:rPr>
          <w:lang w:val="en-US"/>
        </w:rPr>
        <w:t>The October</w:t>
      </w:r>
      <w:proofErr w:type="gramEnd"/>
      <w:r w:rsidRPr="004D3031">
        <w:rPr>
          <w:lang w:val="en-US"/>
        </w:rPr>
        <w:t xml:space="preserve"> 28, </w:t>
      </w:r>
      <w:proofErr w:type="gramStart"/>
      <w:r w:rsidRPr="004D3031">
        <w:rPr>
          <w:lang w:val="en-US"/>
        </w:rPr>
        <w:t>2020</w:t>
      </w:r>
      <w:proofErr w:type="gramEnd"/>
      <w:r w:rsidR="004877B8" w:rsidRPr="004D3031">
        <w:rPr>
          <w:lang w:val="en-US"/>
        </w:rPr>
        <w:t xml:space="preserve"> u</w:t>
      </w:r>
      <w:r w:rsidR="005F3295" w:rsidRPr="004D3031">
        <w:rPr>
          <w:lang w:val="en-US"/>
        </w:rPr>
        <w:t xml:space="preserve">pdate of </w:t>
      </w:r>
      <w:r w:rsidR="004825C5" w:rsidRPr="004D3031">
        <w:rPr>
          <w:lang w:val="en-US"/>
        </w:rPr>
        <w:t xml:space="preserve">our </w:t>
      </w:r>
      <w:r w:rsidR="005F3295" w:rsidRPr="004D3031">
        <w:rPr>
          <w:lang w:val="en-US"/>
        </w:rPr>
        <w:t>protocol</w:t>
      </w:r>
    </w:p>
    <w:p w14:paraId="35509CD7" w14:textId="77777777" w:rsidR="00A94115" w:rsidRPr="004D3031" w:rsidRDefault="00110135" w:rsidP="004877B8">
      <w:pPr>
        <w:rPr>
          <w:lang w:val="en-US"/>
        </w:rPr>
      </w:pPr>
      <w:r w:rsidRPr="004D3031">
        <w:rPr>
          <w:lang w:val="en-US"/>
        </w:rPr>
        <w:t>O</w:t>
      </w:r>
      <w:r w:rsidR="004877B8" w:rsidRPr="004D3031">
        <w:rPr>
          <w:lang w:val="en-US"/>
        </w:rPr>
        <w:t xml:space="preserve">n October 28, 2020, </w:t>
      </w:r>
      <w:r w:rsidRPr="004D3031">
        <w:rPr>
          <w:lang w:val="en-US"/>
        </w:rPr>
        <w:t xml:space="preserve">we published an updated protocol </w:t>
      </w:r>
      <w:r w:rsidR="004877B8" w:rsidRPr="004D3031">
        <w:rPr>
          <w:lang w:val="en-US"/>
        </w:rPr>
        <w:t xml:space="preserve">where </w:t>
      </w:r>
      <w:r w:rsidR="006928BB" w:rsidRPr="004D3031">
        <w:rPr>
          <w:lang w:val="en-US"/>
        </w:rPr>
        <w:t>synthetic control studies and studies with very few observations were excluded.</w:t>
      </w:r>
      <w:r w:rsidR="006928BB" w:rsidRPr="004D3031">
        <w:rPr>
          <w:rStyle w:val="FootnoteReference"/>
          <w:lang w:val="en-US"/>
        </w:rPr>
        <w:footnoteReference w:id="3"/>
      </w:r>
      <w:r w:rsidRPr="004D3031">
        <w:rPr>
          <w:lang w:val="en-US"/>
        </w:rPr>
        <w:t xml:space="preserve"> </w:t>
      </w:r>
    </w:p>
    <w:p w14:paraId="75B1E066" w14:textId="7C04A72A" w:rsidR="004877B8" w:rsidRPr="004D3031" w:rsidRDefault="00AA1E6E" w:rsidP="004877B8">
      <w:pPr>
        <w:rPr>
          <w:lang w:val="en-US"/>
        </w:rPr>
      </w:pPr>
      <w:r w:rsidRPr="004D3031">
        <w:rPr>
          <w:lang w:val="en-US"/>
        </w:rPr>
        <w:t>T</w:t>
      </w:r>
      <w:r w:rsidR="00E14CCB" w:rsidRPr="004D3031">
        <w:rPr>
          <w:lang w:val="en-US"/>
        </w:rPr>
        <w:t xml:space="preserve">he decision to exclude these </w:t>
      </w:r>
      <w:r w:rsidR="005A6FBE" w:rsidRPr="004D3031">
        <w:rPr>
          <w:lang w:val="en-US"/>
        </w:rPr>
        <w:t xml:space="preserve">studies were made </w:t>
      </w:r>
      <w:r w:rsidRPr="004D3031">
        <w:rPr>
          <w:lang w:val="en-US"/>
        </w:rPr>
        <w:t xml:space="preserve">on </w:t>
      </w:r>
      <w:r w:rsidR="00BC26CC" w:rsidRPr="004D3031">
        <w:rPr>
          <w:lang w:val="en-US"/>
        </w:rPr>
        <w:t xml:space="preserve">a </w:t>
      </w:r>
      <w:r w:rsidR="00627C4C" w:rsidRPr="004D3031">
        <w:rPr>
          <w:lang w:val="en-US"/>
        </w:rPr>
        <w:t xml:space="preserve">Zoom </w:t>
      </w:r>
      <w:r w:rsidRPr="004D3031">
        <w:rPr>
          <w:lang w:val="en-US"/>
        </w:rPr>
        <w:t xml:space="preserve">meeting </w:t>
      </w:r>
      <w:r w:rsidR="00627C4C" w:rsidRPr="004D3031">
        <w:rPr>
          <w:lang w:val="en-US"/>
        </w:rPr>
        <w:t xml:space="preserve">August 20, 2020, after </w:t>
      </w:r>
      <w:r w:rsidR="00BE2E7B">
        <w:rPr>
          <w:lang w:val="en-US"/>
        </w:rPr>
        <w:t>Jonas Herby</w:t>
      </w:r>
      <w:r w:rsidR="00BB1FD2" w:rsidRPr="004D3031">
        <w:rPr>
          <w:lang w:val="en-US"/>
        </w:rPr>
        <w:t xml:space="preserve"> had lengthy talks </w:t>
      </w:r>
      <w:r w:rsidR="0095655A" w:rsidRPr="004D3031">
        <w:rPr>
          <w:lang w:val="en-US"/>
        </w:rPr>
        <w:t xml:space="preserve">with </w:t>
      </w:r>
      <w:r w:rsidR="00627C4C" w:rsidRPr="004D3031">
        <w:rPr>
          <w:lang w:val="en-US"/>
        </w:rPr>
        <w:t>Professor Christian Bjørnsko</w:t>
      </w:r>
      <w:r w:rsidR="0095655A" w:rsidRPr="004D3031">
        <w:rPr>
          <w:lang w:val="en-US"/>
        </w:rPr>
        <w:t>v</w:t>
      </w:r>
      <w:r w:rsidR="00627C4C" w:rsidRPr="004D3031">
        <w:rPr>
          <w:lang w:val="en-US"/>
        </w:rPr>
        <w:t xml:space="preserve"> </w:t>
      </w:r>
      <w:r w:rsidR="0095655A" w:rsidRPr="004D3031">
        <w:rPr>
          <w:lang w:val="en-US"/>
        </w:rPr>
        <w:t xml:space="preserve">after reading his </w:t>
      </w:r>
      <w:r w:rsidR="00627C4C" w:rsidRPr="004D3031">
        <w:rPr>
          <w:lang w:val="en-US"/>
        </w:rPr>
        <w:t>blogpost</w:t>
      </w:r>
      <w:r w:rsidR="0095655A" w:rsidRPr="004D3031">
        <w:rPr>
          <w:lang w:val="en-US"/>
        </w:rPr>
        <w:t xml:space="preserve"> about the inherent problems with the synthetic control method </w:t>
      </w:r>
      <w:r w:rsidR="00816942" w:rsidRPr="004D3031">
        <w:rPr>
          <w:lang w:val="en-US"/>
        </w:rPr>
        <w:t>(</w:t>
      </w:r>
      <w:r w:rsidR="0095655A" w:rsidRPr="004D3031">
        <w:rPr>
          <w:lang w:val="en-US"/>
        </w:rPr>
        <w:t>SCM</w:t>
      </w:r>
      <w:r w:rsidR="00816942" w:rsidRPr="004D3031">
        <w:rPr>
          <w:lang w:val="en-US"/>
        </w:rPr>
        <w:t>)</w:t>
      </w:r>
      <w:r w:rsidR="00D154AD" w:rsidRPr="004D3031">
        <w:rPr>
          <w:lang w:val="en-US"/>
        </w:rPr>
        <w:t xml:space="preserve"> in the evaluation of the effect of lockdown on COVID-19 mortality</w:t>
      </w:r>
      <w:r w:rsidR="00E50C80">
        <w:rPr>
          <w:lang w:val="en-US"/>
        </w:rPr>
        <w:t xml:space="preserve"> </w:t>
      </w:r>
      <w:r w:rsidR="00E50C80" w:rsidRPr="00BE2E7B">
        <w:rPr>
          <w:rFonts w:cs="Calibri"/>
          <w:lang w:val="en-US"/>
        </w:rPr>
        <w:t>(</w:t>
      </w:r>
      <w:r w:rsidR="003F6D39" w:rsidRPr="004D3031">
        <w:rPr>
          <w:lang w:val="en-US"/>
        </w:rPr>
        <w:fldChar w:fldCharType="begin"/>
      </w:r>
      <w:r w:rsidR="00BE2E7B">
        <w:rPr>
          <w:lang w:val="en-US"/>
        </w:rPr>
        <w:instrText xml:space="preserve"> ADDIN ZOTERO_ITEM CSL_CITATION {"citationID":"ZFp6rhkX","properties":{"formattedCitation":"Bj\\uc0\\u248{}rnskov (2021)","plainCitation":"Bjørnskov (2021)","noteIndex":0},"citationItems":[{"id":1110,"uris":["http://zotero.org/users/4473730/items/9SHZLCQD"],"itemData":{"id":1110,"type":"post-weblog","abstract":"Som opmærksomme læsere ved, er vi her på stedet kommet til konklusionen, at de voldsomme nedlukninger i den vestlige verden siden marts sidste år ikke har reddet liv. Lockdowns virkede ikke, men sk…","container-title":"Punditokraterne","title":"Born et al. om epidemien i Sverige – hvad er der galt og hvordan ser det ud nu?","URL":"http://punditokraterne.dk/2021/06/14/born-et-al-om-epidemien-i-sverige-hvad-er-der-galt-og-hvordan-ser-det-ud-nu/","author":[{"family":"Bjørnskov","given":"Christian"}],"accessed":{"date-parts":[["2021",8,23]]},"issued":{"date-parts":[["2021",6,14]]}}}],"schema":"https://github.com/citation-style-language/schema/raw/master/csl-citation.json"} </w:instrText>
      </w:r>
      <w:r w:rsidR="003F6D39" w:rsidRPr="004D3031">
        <w:rPr>
          <w:lang w:val="en-US"/>
        </w:rPr>
        <w:fldChar w:fldCharType="separate"/>
      </w:r>
      <w:r w:rsidR="00BE2E7B" w:rsidRPr="00BE2E7B">
        <w:rPr>
          <w:rFonts w:cs="Calibri"/>
          <w:lang w:val="en-US"/>
        </w:rPr>
        <w:t>Bjørnskov 2021)</w:t>
      </w:r>
      <w:r w:rsidR="003F6D39" w:rsidRPr="004D3031">
        <w:rPr>
          <w:lang w:val="en-US"/>
        </w:rPr>
        <w:fldChar w:fldCharType="end"/>
      </w:r>
      <w:r w:rsidR="00D154AD" w:rsidRPr="004D3031">
        <w:rPr>
          <w:lang w:val="en-US"/>
        </w:rPr>
        <w:t>.</w:t>
      </w:r>
    </w:p>
    <w:p w14:paraId="7E28FC31" w14:textId="683A06C7" w:rsidR="00056FFA" w:rsidRPr="004D3031" w:rsidRDefault="007314CB" w:rsidP="00417B67">
      <w:pPr>
        <w:rPr>
          <w:lang w:val="en-US"/>
        </w:rPr>
      </w:pPr>
      <w:r w:rsidRPr="004D3031">
        <w:rPr>
          <w:lang w:val="en-US"/>
        </w:rPr>
        <w:t xml:space="preserve">At </w:t>
      </w:r>
      <w:r w:rsidR="00D154AD" w:rsidRPr="004D3031">
        <w:rPr>
          <w:lang w:val="en-US"/>
        </w:rPr>
        <w:t xml:space="preserve">the </w:t>
      </w:r>
      <w:r w:rsidRPr="004D3031">
        <w:rPr>
          <w:lang w:val="en-US"/>
        </w:rPr>
        <w:t xml:space="preserve">time </w:t>
      </w:r>
      <w:r w:rsidR="00D154AD" w:rsidRPr="004D3031">
        <w:rPr>
          <w:lang w:val="en-US"/>
        </w:rPr>
        <w:t>of the decision</w:t>
      </w:r>
      <w:r w:rsidR="00816942" w:rsidRPr="004D3031">
        <w:rPr>
          <w:lang w:val="en-US"/>
        </w:rPr>
        <w:t>,</w:t>
      </w:r>
      <w:r w:rsidR="00D154AD" w:rsidRPr="004D3031">
        <w:rPr>
          <w:lang w:val="en-US"/>
        </w:rPr>
        <w:t xml:space="preserve"> </w:t>
      </w:r>
      <w:r w:rsidRPr="004D3031">
        <w:rPr>
          <w:lang w:val="en-US"/>
        </w:rPr>
        <w:t xml:space="preserve">we had been through </w:t>
      </w:r>
      <w:r w:rsidR="000B4ADC" w:rsidRPr="004D3031">
        <w:rPr>
          <w:lang w:val="en-US"/>
        </w:rPr>
        <w:fldChar w:fldCharType="begin"/>
      </w:r>
      <w:r w:rsidR="00BE2E7B">
        <w:rPr>
          <w:lang w:val="en-US"/>
        </w:rPr>
        <w:instrText xml:space="preserve"> ADDIN ZOTERO_ITEM CSL_CITATION {"citationID":"0yrwq83M","properties":{"formattedCitation":"Conyon and Thomsen (2021)","plainCitation":"Conyon and Thomsen (2021)","noteIndex":0},"citationItems":[{"id":4444,"uris":["http://zotero.org/groups/2170464/items/F4CWQCKT"],"itemData":{"id":4444,"type":"article-journal","abstract":"We address two research questions. First, how did the COVID-19 disease progress in Scandinavia in 2020? Second, did Sweden’s unique public health care response lead to differential infection and mortality rates during 2020? We use synthetic control techniques to model COVID-19 dynamics, comparing Sweden to a synthetic control unit. We show that stricter lock-down policies are associated with fewer COVID-19 infections and deaths. This finding holds in the first and second waves experienced in Scandinavia. We document several important health care metrics including infection and mortality rates, reproduction rates, lockdown stringency, mobility of people, infection positivity rates, testing, and vaccination rates in Denmark, Norway, and Sweden.","DOI":"10.2139/ssrn.3793888","note":"type: article","source":"Europe PMC","title":"COVID-19 in Scandinavia","URL":"https://europepmc.org/article/PPR/PPR294675","author":[{"family":"Conyon","given":"Martin J."},{"family":"Thomsen","given":"Steen"}],"accessed":{"date-parts":[["2021",8,17]]},"issued":{"date-parts":[["2021",3,5]]}}}],"schema":"https://github.com/citation-style-language/schema/raw/master/csl-citation.json"} </w:instrText>
      </w:r>
      <w:r w:rsidR="000B4ADC" w:rsidRPr="004D3031">
        <w:rPr>
          <w:lang w:val="en-US"/>
        </w:rPr>
        <w:fldChar w:fldCharType="separate"/>
      </w:r>
      <w:r w:rsidR="00BE2E7B" w:rsidRPr="00BE2E7B">
        <w:rPr>
          <w:rFonts w:cs="Calibri"/>
          <w:lang w:val="en-US"/>
        </w:rPr>
        <w:t>Conyon and Thomsen (2021)</w:t>
      </w:r>
      <w:r w:rsidR="000B4ADC" w:rsidRPr="004D3031">
        <w:rPr>
          <w:lang w:val="en-US"/>
        </w:rPr>
        <w:fldChar w:fldCharType="end"/>
      </w:r>
      <w:r w:rsidR="007E613E" w:rsidRPr="004D3031">
        <w:rPr>
          <w:lang w:val="en-US"/>
        </w:rPr>
        <w:t xml:space="preserve"> and </w:t>
      </w:r>
      <w:r w:rsidR="000B4ADC" w:rsidRPr="004D3031">
        <w:rPr>
          <w:lang w:val="en-US"/>
        </w:rPr>
        <w:fldChar w:fldCharType="begin"/>
      </w:r>
      <w:r w:rsidR="00BE2E7B">
        <w:rPr>
          <w:lang w:val="en-US"/>
        </w:rPr>
        <w:instrText xml:space="preserve"> ADDIN ZOTERO_ITEM CSL_CITATION {"citationID":"4F7RRk9O","properties":{"formattedCitation":"Ghosh et al. (2020)","plainCitation":"Ghosh et al. (2020)","noteIndex":0},"citationItems":[{"id":3727,"uris":["http://zotero.org/groups/2170464/items/PAAIJ63L"],"itemData":{"id":3727,"type":"article-journal","abstract":"The ongoing pandemic of coronavirus disease 2019-2020 (COVID-19) is caused by Severe Acute Respiratory Syndrome Coronavirus 2 (SARS-CoV-2). This pathogenic virus is able to spread asymptotically during its incubation stage through a vulnerable population. Given the state of healthcare, policymakers were urged to contain the spread of infection, minimize stress on the health systems and ensure public safety. Most effective tool that was at their disposal was to close non-essential business and issue a stay home order. In this paper we consider techniques to measure the effectiveness of stringency measures adopted by governments across the world. Analyzing effectiveness of control measures like lock-down allows us to understand whether the decisions made were optimal and resulted in a reduction of burden on the healthcare system. In specific we consider using a synthetic control to construct alternative scenarios and understand what would have been the effect on health if less stringent measures were adopted. We present analysis for The State of New York, United States, Italy and The Indian capital city Delhi and show how lock-down measures has helped and what the counterfactual scenarios would have been in comparison to the current state of affairs. We show that in The State of New York the number of deaths could have been 6 times higher, and in Italy, the number of deaths could have been 3 times higher by 26th of June, 2020.","container-title":"arXiv:2008.05876 [physics]","note":"arXiv: 2008.05876","source":"arXiv.org","title":"A Study on the Effectiveness of Lock-down Measures to Control the Spread of COVID-19","URL":"http://arxiv.org/abs/2008.05876","author":[{"family":"Ghosh","given":"Subhas Kumar"},{"family":"Ghosh","given":"Sachchit"},{"family":"Narumanchi","given":"Sai Shanmukha"}],"accessed":{"date-parts":[["2021",8,17]]},"issued":{"date-parts":[["2020",8,8]]}}}],"schema":"https://github.com/citation-style-language/schema/raw/master/csl-citation.json"} </w:instrText>
      </w:r>
      <w:r w:rsidR="000B4ADC" w:rsidRPr="004D3031">
        <w:rPr>
          <w:lang w:val="en-US"/>
        </w:rPr>
        <w:fldChar w:fldCharType="separate"/>
      </w:r>
      <w:r w:rsidR="00BE2E7B" w:rsidRPr="00BE2E7B">
        <w:rPr>
          <w:rFonts w:cs="Calibri"/>
          <w:lang w:val="en-US"/>
        </w:rPr>
        <w:t>Ghosh et al. (2020)</w:t>
      </w:r>
      <w:r w:rsidR="000B4ADC" w:rsidRPr="004D3031">
        <w:rPr>
          <w:lang w:val="en-US"/>
        </w:rPr>
        <w:fldChar w:fldCharType="end"/>
      </w:r>
      <w:r w:rsidR="00EF7CB0" w:rsidRPr="004D3031">
        <w:rPr>
          <w:lang w:val="en-US"/>
        </w:rPr>
        <w:t xml:space="preserve"> </w:t>
      </w:r>
      <w:r w:rsidR="007E613E" w:rsidRPr="004D3031">
        <w:rPr>
          <w:lang w:val="en-US"/>
        </w:rPr>
        <w:t>which were marked as “done” in our spreadsheet</w:t>
      </w:r>
      <w:r w:rsidR="002832AF" w:rsidRPr="004D3031">
        <w:rPr>
          <w:lang w:val="en-US"/>
        </w:rPr>
        <w:t xml:space="preserve">, meaning that we knew that the </w:t>
      </w:r>
      <w:r w:rsidR="000D274C" w:rsidRPr="004D3031">
        <w:rPr>
          <w:lang w:val="en-US"/>
        </w:rPr>
        <w:t xml:space="preserve">studies </w:t>
      </w:r>
      <w:r w:rsidR="002832AF" w:rsidRPr="004D3031">
        <w:rPr>
          <w:lang w:val="en-US"/>
        </w:rPr>
        <w:t>used a difference in difference method, focused at mortality</w:t>
      </w:r>
      <w:r w:rsidR="000D274C" w:rsidRPr="004D3031">
        <w:rPr>
          <w:lang w:val="en-US"/>
        </w:rPr>
        <w:t>,</w:t>
      </w:r>
      <w:r w:rsidR="002832AF" w:rsidRPr="004D3031">
        <w:rPr>
          <w:lang w:val="en-US"/>
        </w:rPr>
        <w:t xml:space="preserve"> and </w:t>
      </w:r>
      <w:r w:rsidR="000D274C" w:rsidRPr="004D3031">
        <w:rPr>
          <w:lang w:val="en-US"/>
        </w:rPr>
        <w:t xml:space="preserve">that their results probably could be converted to a </w:t>
      </w:r>
      <w:r w:rsidR="00C77CE2" w:rsidRPr="004D3031">
        <w:rPr>
          <w:lang w:val="en-US"/>
        </w:rPr>
        <w:t>standardized</w:t>
      </w:r>
      <w:r w:rsidR="000D274C" w:rsidRPr="004D3031">
        <w:rPr>
          <w:lang w:val="en-US"/>
        </w:rPr>
        <w:t xml:space="preserve"> measure</w:t>
      </w:r>
      <w:r w:rsidR="00756FE6" w:rsidRPr="004D3031">
        <w:rPr>
          <w:lang w:val="en-US"/>
        </w:rPr>
        <w:t>.</w:t>
      </w:r>
      <w:r w:rsidR="00EF7CB0" w:rsidRPr="004D3031">
        <w:rPr>
          <w:lang w:val="en-US"/>
        </w:rPr>
        <w:t xml:space="preserve"> </w:t>
      </w:r>
      <w:r w:rsidR="00756FE6" w:rsidRPr="004D3031">
        <w:rPr>
          <w:lang w:val="en-US"/>
        </w:rPr>
        <w:t xml:space="preserve">We had also briefly looked at </w:t>
      </w:r>
      <w:r w:rsidR="00EF7CB0" w:rsidRPr="004D3031">
        <w:rPr>
          <w:lang w:val="en-US"/>
        </w:rPr>
        <w:fldChar w:fldCharType="begin"/>
      </w:r>
      <w:r w:rsidR="00BE2E7B">
        <w:rPr>
          <w:lang w:val="en-US"/>
        </w:rPr>
        <w:instrText xml:space="preserve"> ADDIN ZOTERO_ITEM CSL_CITATION {"citationID":"uZdlWGy6","properties":{"formattedCitation":"Born et al. (2021)","plainCitation":"Born et al. (2021)","noteIndex":0},"citationItems":</w:instrText>
      </w:r>
      <w:r w:rsidR="00BE2E7B" w:rsidRPr="00E50C80">
        <w:instrText xml:space="preserve">[{"id":2957,"uris":["http://zotero.org/groups/2170464/items/D3EJAS72"],"itemData":{"id":2957,"type":"article-journal","abstract":"While most countries imposed a lockdown in response to the first wave of COVID-19 infections, Sweden did not. To quantify the lockdown effect, we approximate a counterfactual lockdown scenario for Sweden through the outcome in a synthetic control unit. We find, first, that a 9-week lockdown in the first half of 2020 would have reduced infections and deaths by about 75% and 38%, respectively. Second, the lockdown effect starts to materialize with a delay of 3–4 weeks only. Third, the actual adjustment of mobility patterns in Sweden suggests there has been substantial voluntary social restraint, although the adjustment was less strong than under the lockdown scenario. Lastly, we find that a lockdown would not have caused much additional output loss.","container-title":"PLOS ONE","DOI":"10.1371/journal.pone.0249732","ISSN":"1932-6203","issue":"4","journalAbbreviation":"PLOS ONE","language":"en","note":"publisher: Public Library of Science","page":"e0249732","source":"PLoS Journals","title":"The lockdown effect: A counterfactual for Sweden","title-short":"The lockdown effect","volume":"16","author":[{"family":"Born","given":"Benjamin"},{"family":"Dietrich","given":"Alexander M."},{"family":"Müller","given":"Gernot J."}],"issued":{"date-parts":[["2021",4,8]]}}}],"schema":"https://github.com/citation-style-language/schema/raw/master/csl-citation.json"} </w:instrText>
      </w:r>
      <w:r w:rsidR="00EF7CB0" w:rsidRPr="004D3031">
        <w:rPr>
          <w:lang w:val="en-US"/>
        </w:rPr>
        <w:fldChar w:fldCharType="separate"/>
      </w:r>
      <w:r w:rsidR="00BE2E7B" w:rsidRPr="00E50C80">
        <w:rPr>
          <w:rFonts w:cs="Calibri"/>
        </w:rPr>
        <w:t>Born et al. (2021)</w:t>
      </w:r>
      <w:r w:rsidR="00EF7CB0" w:rsidRPr="004D3031">
        <w:rPr>
          <w:lang w:val="en-US"/>
        </w:rPr>
        <w:fldChar w:fldCharType="end"/>
      </w:r>
      <w:r w:rsidR="00EF7CB0" w:rsidRPr="00E50C80">
        <w:t xml:space="preserve">, </w:t>
      </w:r>
      <w:r w:rsidR="00EF7CB0" w:rsidRPr="004D3031">
        <w:rPr>
          <w:lang w:val="en-US"/>
        </w:rPr>
        <w:fldChar w:fldCharType="begin"/>
      </w:r>
      <w:r w:rsidR="00BE2E7B" w:rsidRPr="00E50C80">
        <w:instrText xml:space="preserve"> ADDIN ZOTERO_ITEM CSL_CITATION {"citationID":"6gQvJBF3","properties":{"formattedCitation":"Reinbold (2021)","plainCitation":"Reinbold (2021)","noteIndex":0},"citationItems":[{"id":3721,"uris":["http://zotero.org/groups/2170464/items/HLDHP4ZB"],"itemData":{"id":3721,"type":"article-journal","abstract":"&lt;h3&gt;Background&lt;/h3&gt;&lt;p&gt;One of the most difficult public policy decisions associated with the COVID-19 pandemic has been about how to offer K-12 instruction. We sought to determine whether differences in instruction types at the beginning of the 2020-2021 school year were related to differences in COVID-19 cases, hospitalizations, and deaths in Illinois counties during the first 3 weeks of the school year.&lt;/p&gt;&lt;h3&gt;Methods&lt;/h3&gt;&lt;p&gt;We divided Illinois counties into 3 groups based on the instruction type used for a majority of K-12 students at the start of the school year: in-person, hybrid, or online-only. We used synthetic control analysis to match counties between the 3 groups.&lt;/p&gt;&lt;h3&gt;Results&lt;/h3&gt;&lt;p&gt;Both majority hybrid and majority online-only counties had significantly fewer new cases than majority in-person counties. There were no significant differences in new cases between majority hybrid counties and majority online-only counties or in new hospital admissions or deaths between any of the 3 county groups.&lt;/p&gt;&lt;h3&gt;Conclusions&lt;/h3&gt;&lt;p&gt;This paper adds to the growing scientific consensus that at least some forms of in-person K-12 instruction have not contributed significantly to the spread of the pandemic. However, our results suggest that there may be an important difference between fully in-person instruction and hybrid instruction.&lt;/p&gt;","container-title":"American Journal of Infection Control","DOI":"10.1016/j.ajic.2021.05.011","ISSN":"0196-6553, 1527-3296","issue":"0","journalAbbreviation":"American Journal of Infection Control","language":"English","note":"publisher: Elsevier\nPMID: 34052313","source":"www.ajicjournal.org","title":"Effect of Fall 2020 K-12 instruction types on COVID-19 cases, hospital admissions, and deaths in Illinois counties","URL":"https://www.ajicjournal.org/article/S0196-6553(21)00380-1/abstract","volume":"0","author":[{"family":"Reinbold","given":"Gary W."}],"accessed":{"date-parts":[["2021",8,17]]},"issued":{"date-parts":[["2021",5,27]]}}}],"schema":"https://github.com/citation-style-language/schema/raw/master/csl-citation.json"} </w:instrText>
      </w:r>
      <w:r w:rsidR="00EF7CB0" w:rsidRPr="004D3031">
        <w:rPr>
          <w:lang w:val="en-US"/>
        </w:rPr>
        <w:fldChar w:fldCharType="separate"/>
      </w:r>
      <w:proofErr w:type="spellStart"/>
      <w:r w:rsidR="00BE2E7B" w:rsidRPr="00E50C80">
        <w:rPr>
          <w:rFonts w:cs="Calibri"/>
        </w:rPr>
        <w:t>Reinbold</w:t>
      </w:r>
      <w:proofErr w:type="spellEnd"/>
      <w:r w:rsidR="00BE2E7B" w:rsidRPr="00E50C80">
        <w:rPr>
          <w:rFonts w:cs="Calibri"/>
        </w:rPr>
        <w:t xml:space="preserve"> (2021)</w:t>
      </w:r>
      <w:r w:rsidR="00EF7CB0" w:rsidRPr="004D3031">
        <w:rPr>
          <w:lang w:val="en-US"/>
        </w:rPr>
        <w:fldChar w:fldCharType="end"/>
      </w:r>
      <w:r w:rsidR="00EF7CB0" w:rsidRPr="00E50C80">
        <w:t xml:space="preserve">, </w:t>
      </w:r>
      <w:r w:rsidR="00C8367D" w:rsidRPr="004D3031">
        <w:rPr>
          <w:lang w:val="en-US"/>
        </w:rPr>
        <w:fldChar w:fldCharType="begin"/>
      </w:r>
      <w:r w:rsidR="00BE2E7B" w:rsidRPr="00E50C80">
        <w:instrText xml:space="preserve"> ADDIN ZOTERO_ITEM CSL_CITATION {"citationID":"j8DTcupe","properties":{"formattedCitation":"Friedson et al. (2021)","plainCitation":"Friedson et al. (2021)","noteIndex":0},"citationItems":[{"id":3711,"uris":["http://zotero.org/groups/2170464/items/F92QXFZH"],"itemData":{"id":3711,"type":"article-journal","abstract":"A shelter-in-place order (SIPO) is one of the most restrictive non-pharmaceutical interventions designed to curb the spread of COVID-19. On March 19, 2020, California Governor Gavin Newsom issued the first statewide SIPO in the United States. The order closed non-essential businesses and required residents to shelter in place for all but essential activities such as grocery shopping, retrieving prescriptions from a pharmacy, or caring for relatives. This study is the first in the economics literature to estimate the effect of a statewide SIPO on public health. Using daily state-level coronavirus data and a synthetic control research design, we find that California's statewide SIPO reduced COVID-19 cases by 160.9 to 194.7 per 100,000 population by April 20, one month following the order. We further find that California's SIPO led to as many as 1,566 fewer COVID-19 deaths during this period. Back-of-the-envelope calculations suggest that there were about 649 to 703 job losses per life saved, and about 14 to16 job losses per case averted during this post-treatment period.","container-title":"Journal of Policy Analysis and Management","DOI":"10.1002</w:instrText>
      </w:r>
      <w:r w:rsidR="00BE2E7B">
        <w:instrText xml:space="preserve">/pam.22267","ISSN":"1520-6688","issue":"1","language":"en","note":"_eprint: https://onlinelibrary.wiley.com/doi/pdf/10.1002/pam.22267","page":"258-283","source":"Wiley Online Library","title":"Shelter-in-Place Orders and Public Health: Evidence from California During the Covid-19 Pandemic","title-short":"Shelter-in-Place Orders and Public Health","volume":"40","author":[{"family":"Friedson","given":"Andrew I."},{"family":"McNichols","given":"Drew"},{"family":"Sabia","given":"Joseph J."},{"family":"Dave","given":"Dhaval"}],"issued":{"date-parts":[["2021",12,11]]}}}],"schema":"https://github.com/citation-style-language/schema/raw/master/csl-citation.json"} </w:instrText>
      </w:r>
      <w:r w:rsidR="00C8367D" w:rsidRPr="004D3031">
        <w:rPr>
          <w:lang w:val="en-US"/>
        </w:rPr>
        <w:fldChar w:fldCharType="separate"/>
      </w:r>
      <w:proofErr w:type="spellStart"/>
      <w:r w:rsidR="00BE2E7B" w:rsidRPr="00BE2E7B">
        <w:rPr>
          <w:rFonts w:cs="Calibri"/>
        </w:rPr>
        <w:t>Friedson</w:t>
      </w:r>
      <w:proofErr w:type="spellEnd"/>
      <w:r w:rsidR="00BE2E7B" w:rsidRPr="00BE2E7B">
        <w:rPr>
          <w:rFonts w:cs="Calibri"/>
        </w:rPr>
        <w:t xml:space="preserve"> et al. (2021)</w:t>
      </w:r>
      <w:r w:rsidR="00C8367D" w:rsidRPr="004D3031">
        <w:rPr>
          <w:lang w:val="en-US"/>
        </w:rPr>
        <w:fldChar w:fldCharType="end"/>
      </w:r>
      <w:r w:rsidR="00C8367D" w:rsidRPr="0019047D">
        <w:t xml:space="preserve">, </w:t>
      </w:r>
      <w:r w:rsidR="00C8367D" w:rsidRPr="004D3031">
        <w:rPr>
          <w:lang w:val="en-US"/>
        </w:rPr>
        <w:fldChar w:fldCharType="begin"/>
      </w:r>
      <w:r w:rsidR="00BE2E7B">
        <w:instrText xml:space="preserve"> ADDIN ZOTERO_ITEM CSL_CITATION {"citationID":"B1OiBMde","properties":{"formattedCitation":"Neidh\\uc0\\u246{}fer and Neidh\\uc0\\u246{}fer (2020)","plainCitation":"Neidhöfer and Neidhöfer (2020)","noteIndex":0},"citationItems":[{"id":3702,"uris":["http://zotero.org/groups/2170464/items/JTIY3VWC"],"itemData":{"id":3702,"type":"article-journal","abstract":"The rapid spread of COVID-19 forced policy-makers to swiftly ﬁnd solutions to reduce infection rates and keep mortality as low as possible. Empirical analyses on the eﬀectiveness of control measures are hereby of primary importance. School closures were among the earliest measures enacted by the governments of most countries. However, while schools are now reopening in many countries, the impact of school closures on the course of the epidemic is still an open question. Adopting parametric and non-parametric synthetic control methods we estimate the eﬀectiveness of pro-active school closures, and other early social distancing interventions, in three countries that reacted relatively early during the course of the pandemic. Our ﬁndings suggest that these interventions were eﬀective at reducing the mortality rate of COVID-19, especially when enacted early.","container-title":"SSRN Electronic Journal","DOI":"10.2139/ssrn.3649953","ISSN":"1556-5068","journalAbbreviation":"SSRN Journal","language":"en","source":"DOI.org (Crossref)","title":"The Effectiveness of School Closures and Other Pre-Lockdown COVID-19 Mitigation Strategies in Argentina, Italy, and South Korea","URL":"https://www.ssrn.com/abstract=3649953","author":[{"family":"Neidhöfer","given":"Guido"},{"family":"Neidhöfer","given":"Claudio"}],"accessed":{"date-parts":[["2021",8,17]]},"issued":{"date-parts":[["2020",7,3]]}}}],"schema":"https://github.com/citation-style-language/schema/raw/master/csl-citation.json"} </w:instrText>
      </w:r>
      <w:r w:rsidR="00C8367D" w:rsidRPr="004D3031">
        <w:rPr>
          <w:lang w:val="en-US"/>
        </w:rPr>
        <w:fldChar w:fldCharType="separate"/>
      </w:r>
      <w:proofErr w:type="spellStart"/>
      <w:r w:rsidR="00BE2E7B" w:rsidRPr="00BE2E7B">
        <w:rPr>
          <w:rFonts w:cs="Calibri"/>
        </w:rPr>
        <w:t>Neidhöfer</w:t>
      </w:r>
      <w:proofErr w:type="spellEnd"/>
      <w:r w:rsidR="00BE2E7B" w:rsidRPr="00BE2E7B">
        <w:rPr>
          <w:rFonts w:cs="Calibri"/>
        </w:rPr>
        <w:t xml:space="preserve"> and </w:t>
      </w:r>
      <w:proofErr w:type="spellStart"/>
      <w:r w:rsidR="00BE2E7B" w:rsidRPr="00BE2E7B">
        <w:rPr>
          <w:rFonts w:cs="Calibri"/>
        </w:rPr>
        <w:t>Neidhöfer</w:t>
      </w:r>
      <w:proofErr w:type="spellEnd"/>
      <w:r w:rsidR="00BE2E7B" w:rsidRPr="00BE2E7B">
        <w:rPr>
          <w:rFonts w:cs="Calibri"/>
        </w:rPr>
        <w:t xml:space="preserve"> (2020)</w:t>
      </w:r>
      <w:r w:rsidR="00C8367D" w:rsidRPr="004D3031">
        <w:rPr>
          <w:lang w:val="en-US"/>
        </w:rPr>
        <w:fldChar w:fldCharType="end"/>
      </w:r>
      <w:r w:rsidR="00AC343C" w:rsidRPr="0019047D">
        <w:t>,</w:t>
      </w:r>
      <w:r w:rsidR="00A15704">
        <w:t xml:space="preserve"> and</w:t>
      </w:r>
      <w:r w:rsidR="00AC343C" w:rsidRPr="0019047D">
        <w:t xml:space="preserve"> </w:t>
      </w:r>
      <w:r w:rsidR="00AC343C" w:rsidRPr="004D3031">
        <w:rPr>
          <w:lang w:val="en-US"/>
        </w:rPr>
        <w:fldChar w:fldCharType="begin"/>
      </w:r>
      <w:r w:rsidR="00BE2E7B">
        <w:instrText xml:space="preserve"> ADDIN ZOTERO_ITEM CSL_CITATION {"citationID":"JpaYgOhf","properties":{"formattedCitation":"Cerqueti et al. (2021)","plainCitation":"Cerqueti et al. (2021)","noteIndex":0},"citationItems":[{"id":3699,"uris":["http://zotero.org/groups/2170464/items/YE7SYZAB"],"itemData":{"id":3699,"type":"article-journal","abstract":"This paper estimates the effects of non-pharmaceutical interventions - mainly, the lockdown - on the COVID-19 mortality rate for the case of Italy, the first Western country to impose a national shelter-in-place order. We use a new estimator, the Augmented Synthetic Control Method (ASCM), that overcomes some limits of the standard Synthetic Control Method (SCM). The results are twofold. From a methodological point of view, the ASCM outperforms the SCM in that the latter cannot select a valid donor set, assigning all the weights to only one country (Spain) while placing zero weights to all the remaining. From an empirical point of view, we find strong evidence of the effectiveness of non-pharmaceutical interventions in avoiding losses of human lives in Italy: conservative estimates indicate that for each human life actually lost, in the absence of lockdown there would have been on average other 1.15, the policy saved in total 20,400 human lives.","container-title":"arXiv:2101.11901 [econ]","note":"arXiv: 2101.11901","source":"arXiv.org","title":"The sooner the better: lives saved by the lockdown during the COVID-19 outbreak. The case of Italy","title-short":"The sooner the better","URL":"http://arxiv.org/abs/2101.11901","author":[{"family":"Cerqueti","given":"Roy"},{"family":"Coppier","given":"Raffaella"},{"family":"Girardi","given":"Alessandro"},{"family":"Ventura","given":"Marco"}],"accessed":{"date-parts":[["2021",8,17]]},"issued":{"date-parts":[["2021",1,29]]}}}],"schema":"https://github.com/citation-style-language/schema/raw/master/csl-citation.json"} </w:instrText>
      </w:r>
      <w:r w:rsidR="00AC343C" w:rsidRPr="004D3031">
        <w:rPr>
          <w:lang w:val="en-US"/>
        </w:rPr>
        <w:fldChar w:fldCharType="separate"/>
      </w:r>
      <w:proofErr w:type="spellStart"/>
      <w:r w:rsidR="00BE2E7B" w:rsidRPr="00BE2E7B">
        <w:rPr>
          <w:rFonts w:cs="Calibri"/>
        </w:rPr>
        <w:t>Cerqueti</w:t>
      </w:r>
      <w:proofErr w:type="spellEnd"/>
      <w:r w:rsidR="00BE2E7B" w:rsidRPr="00BE2E7B">
        <w:rPr>
          <w:rFonts w:cs="Calibri"/>
        </w:rPr>
        <w:t xml:space="preserve"> et al. (2021)</w:t>
      </w:r>
      <w:r w:rsidR="00AC343C" w:rsidRPr="004D3031">
        <w:rPr>
          <w:lang w:val="en-US"/>
        </w:rPr>
        <w:fldChar w:fldCharType="end"/>
      </w:r>
      <w:r w:rsidR="00F9533D" w:rsidRPr="0019047D">
        <w:t xml:space="preserve">. </w:t>
      </w:r>
      <w:r w:rsidR="00F9533D" w:rsidRPr="00F335EA">
        <w:rPr>
          <w:lang w:val="en-US"/>
        </w:rPr>
        <w:t>A</w:t>
      </w:r>
      <w:r w:rsidR="003C131B" w:rsidRPr="00F335EA">
        <w:rPr>
          <w:lang w:val="en-US"/>
        </w:rPr>
        <w:t xml:space="preserve">ccording to </w:t>
      </w:r>
      <w:r w:rsidR="00AC343C" w:rsidRPr="00F335EA">
        <w:rPr>
          <w:lang w:val="en-US"/>
        </w:rPr>
        <w:t>our spreadsheet</w:t>
      </w:r>
      <w:r w:rsidR="003C131B" w:rsidRPr="00F335EA">
        <w:rPr>
          <w:lang w:val="en-US"/>
        </w:rPr>
        <w:t xml:space="preserve"> at the time</w:t>
      </w:r>
      <w:r w:rsidR="00816942" w:rsidRPr="00F335EA">
        <w:rPr>
          <w:lang w:val="en-US"/>
        </w:rPr>
        <w:t>,</w:t>
      </w:r>
      <w:r w:rsidR="003C131B" w:rsidRPr="00F335EA">
        <w:rPr>
          <w:lang w:val="en-US"/>
        </w:rPr>
        <w:t xml:space="preserve"> we </w:t>
      </w:r>
      <w:r w:rsidR="00F9533D" w:rsidRPr="00F335EA">
        <w:rPr>
          <w:lang w:val="en-US"/>
        </w:rPr>
        <w:t xml:space="preserve">had registered main results (usually from the abstract) but </w:t>
      </w:r>
      <w:r w:rsidR="003C131B" w:rsidRPr="00F335EA">
        <w:rPr>
          <w:lang w:val="en-US"/>
        </w:rPr>
        <w:t>were unsure whether they were synthetic control studies</w:t>
      </w:r>
      <w:r w:rsidR="00F9533D" w:rsidRPr="00F335EA">
        <w:rPr>
          <w:lang w:val="en-US"/>
        </w:rPr>
        <w:t>.</w:t>
      </w:r>
      <w:r w:rsidR="001E3A74" w:rsidRPr="00F335EA">
        <w:rPr>
          <w:lang w:val="en-US"/>
        </w:rPr>
        <w:t xml:space="preserve"> </w:t>
      </w:r>
      <w:r w:rsidR="001E3A74" w:rsidRPr="004D3031">
        <w:rPr>
          <w:lang w:val="en-US"/>
        </w:rPr>
        <w:t xml:space="preserve">We also had registered </w:t>
      </w:r>
      <w:r w:rsidR="001E3A74" w:rsidRPr="004D3031">
        <w:rPr>
          <w:lang w:val="en-US"/>
        </w:rPr>
        <w:fldChar w:fldCharType="begin"/>
      </w:r>
      <w:r w:rsidR="00BE2E7B">
        <w:rPr>
          <w:lang w:val="en-US"/>
        </w:rPr>
        <w:instrText xml:space="preserve"> ADDIN ZOTERO_ITEM CSL_CITATION {"citationID":"weWCfoJ4","properties":{"formattedCitation":"Cho (2020)","plainCitation":"Cho (2020)","noteIndex":0},"citationItems":[{"id":3712,"uris":["http://zotero.org/groups/2170464/items/M83ML629"],"itemData":{"id":3712,"type":"article-journal","abstract":"This paper estimates the effect of nonpharmaceutical intervention policies on public health during the COVID-19 outbreak by considering a counterfactual case for Sweden. Using a synthetic control approach, I find that strict initial lockdown measures play an important role in limiting the spread of the COVID-19 infection, as the infection cases in Sweden would have been reduced by almost 75 percent had its policymakers followed stricter containment policies. As people dynamically adjust their behaviour in response to information and policies, the impact of nonpharmaceutical interventions becomes visible, with a time lag of around 5 weeks. Supplementary robustness checks and an alternative difference-in-differences framework analysis do not fundamentally alter the main conclusions. Finally, extending the analysis to excess mortality, I find that the lockdown measures would have been associated with a lower excess mortality rate in Sweden by 25 percentage points, with a steep age gradient of 29 percentage points for the most vulnerable elderly cohort. The outcome of this study can assist policymakers in laying out future guidelines to further protect public health, as well as facilitate plans for economic recovery.","container-title":"The Econometrics Journal","DOI":"10.1093/ectj/utaa025","ISSN":"1368-4221","issue":"3","journalAbbreviation":"The Econometrics Journal","page":"323-344","source":"Silverchair","title":"Quantifying the impact of nonpharmaceutical interventions during the COVID-19 outbreak: The case of Sweden","title-short":"Quantifying the impact of nonpharmaceutical interventions during the COVID-19 outbreak","volume":"23","author":[{"family":"Cho","given":"Sang-Wook (Stanley)"}],"issued":{"date-parts":[["2020",9,1]]}}}],"schema":"https://github.com/citation-style-language/schema/raw/master/csl-citation.json"} </w:instrText>
      </w:r>
      <w:r w:rsidR="001E3A74" w:rsidRPr="004D3031">
        <w:rPr>
          <w:lang w:val="en-US"/>
        </w:rPr>
        <w:fldChar w:fldCharType="separate"/>
      </w:r>
      <w:r w:rsidR="00BE2E7B" w:rsidRPr="00BE2E7B">
        <w:rPr>
          <w:rFonts w:cs="Calibri"/>
          <w:lang w:val="en-US"/>
        </w:rPr>
        <w:t>Cho (2020)</w:t>
      </w:r>
      <w:r w:rsidR="001E3A74" w:rsidRPr="004D3031">
        <w:rPr>
          <w:lang w:val="en-US"/>
        </w:rPr>
        <w:fldChar w:fldCharType="end"/>
      </w:r>
      <w:r w:rsidR="00417B67" w:rsidRPr="004D3031">
        <w:rPr>
          <w:lang w:val="en-US"/>
        </w:rPr>
        <w:t xml:space="preserve"> and </w:t>
      </w:r>
      <w:r w:rsidR="00417B67" w:rsidRPr="004D3031">
        <w:rPr>
          <w:lang w:val="en-US"/>
        </w:rPr>
        <w:fldChar w:fldCharType="begin"/>
      </w:r>
      <w:r w:rsidR="00BE2E7B">
        <w:rPr>
          <w:lang w:val="en-US"/>
        </w:rPr>
        <w:instrText xml:space="preserve"> ADDIN ZOTERO_ITEM CSL_CITATION {"citationID":"3Qc0QTFs","properties":{"formattedCitation":"Mader and R\\uc0\\u252{}ttenauer (2021)","plainCitation":"Mader and Rüttenauer (2021)","noteIndex":0},"citationItems":[{"id":3685,"uris":["http://zotero.org/groups/2170464/items/77UUP223"],"itemData":{"id":3685,"type":"report","abstract":"Background: Most governments have introduced various non-pharmaceutical interventions (NPIs) in response to the pandemic outbreak of Coronavirus disease (COVID-19) since early 2020. While NPIs aim at avoiding fatalities related to COVID-19, the previous literature on their efficacy has focused on infections and on data of the first half of 2020. Still, findings of early NPI studies may be subject to underreporting and missing timeliness of reporting of cases. Moreover, the low variation in treatment timing during the first wave makes identification of robust treatment effects difficult.\n\nMethods: To circumvent problems of reporting and treatment variation, we analyse data on daily confirmed COVID-19-related deaths per capita from Our World in Data, and on 10 different NPIs from the Oxford COVID-19 Government Response Tracker for 169 countries from 1st July 2020 to 31st May 2021. To identify the causal effects of introducing NPIs on COVID-19-related confirmed fatalities per capita, we apply the generalized synthetic control (GSC) method to each NPI, while controlling for the remaining NPIs, weather conditions, vaccinations, and NPI-residualized COVID-19 cases.\n\nFindings: We do not find substantial and consistent mitigating effects of any NPI under investigation on COVID-19-related deaths per capita. We see a tentative change in the trend of COVID-19-related deaths around 30 days after workplace closing, public transport closing, and stay at home rules have been implemented, but none of them exerts a statistically significant effect.\n\nInterpretation: The study enhances the literature on the effectivity of NPIs with respect to the time frame, the number of countries, and the analytical approach. The results provide further guidance to judge the proportionality of NPIs.","note":"DOI: 10.31235/osf.io/v2ef8\ntype: article","publisher":"SocArXiv","source":"OSF Preprints","title":"The effects of non-pharmaceutical interventions on COVID-19-related mortality: A generalized synthetic control approach across 169 countries","title-short":"The effects of non-pharmaceutical interventions on COVID-19-related mortality","URL":"https://osf.io/preprints/socarxiv/v2ef8/","author":[{"family":"Mader","given":"Sebastian"},{"family":"Rüttenauer","given":"Tobias"}],"accessed":{"date-parts":[["2021",8,18]]},"issued":{"date-parts":[["2021",6,11]]}}}],"schema":"https://github.com/citation-style-language/schema/raw/master/csl-citation.json"} </w:instrText>
      </w:r>
      <w:r w:rsidR="00417B67" w:rsidRPr="004D3031">
        <w:rPr>
          <w:lang w:val="en-US"/>
        </w:rPr>
        <w:fldChar w:fldCharType="separate"/>
      </w:r>
      <w:r w:rsidR="00BE2E7B" w:rsidRPr="00BE2E7B">
        <w:rPr>
          <w:rFonts w:cs="Calibri"/>
          <w:lang w:val="en-US"/>
        </w:rPr>
        <w:t xml:space="preserve">Mader </w:t>
      </w:r>
      <w:r w:rsidR="00BE2E7B" w:rsidRPr="00BE2E7B">
        <w:rPr>
          <w:rFonts w:cs="Calibri"/>
          <w:lang w:val="en-US"/>
        </w:rPr>
        <w:lastRenderedPageBreak/>
        <w:t>and Rüttenauer (2021)</w:t>
      </w:r>
      <w:r w:rsidR="00417B67" w:rsidRPr="004D3031">
        <w:rPr>
          <w:lang w:val="en-US"/>
        </w:rPr>
        <w:fldChar w:fldCharType="end"/>
      </w:r>
      <w:r w:rsidR="00816942" w:rsidRPr="004D3031">
        <w:rPr>
          <w:lang w:val="en-US"/>
        </w:rPr>
        <w:t xml:space="preserve"> </w:t>
      </w:r>
      <w:r w:rsidR="00417B67" w:rsidRPr="004D3031">
        <w:rPr>
          <w:lang w:val="en-US"/>
        </w:rPr>
        <w:t xml:space="preserve">but </w:t>
      </w:r>
      <w:r w:rsidR="00816942" w:rsidRPr="004D3031">
        <w:rPr>
          <w:lang w:val="en-US"/>
        </w:rPr>
        <w:t xml:space="preserve">had </w:t>
      </w:r>
      <w:r w:rsidR="00417B67" w:rsidRPr="004D3031">
        <w:rPr>
          <w:lang w:val="en-US"/>
        </w:rPr>
        <w:t xml:space="preserve">not registered any data on them. </w:t>
      </w:r>
      <w:r w:rsidR="00056FFA" w:rsidRPr="004D3031">
        <w:rPr>
          <w:lang w:val="en-US"/>
        </w:rPr>
        <w:t xml:space="preserve">We did not yet know </w:t>
      </w:r>
      <w:r w:rsidR="00AA1E6E" w:rsidRPr="004D3031">
        <w:rPr>
          <w:lang w:val="en-US"/>
        </w:rPr>
        <w:t xml:space="preserve">of </w:t>
      </w:r>
      <w:r w:rsidR="0044476D" w:rsidRPr="004D3031">
        <w:rPr>
          <w:lang w:val="en-US"/>
        </w:rPr>
        <w:fldChar w:fldCharType="begin"/>
      </w:r>
      <w:r w:rsidR="00BE2E7B">
        <w:rPr>
          <w:lang w:val="en-US"/>
        </w:rPr>
        <w:instrText xml:space="preserve"> ADDIN ZOTERO_ITEM CSL_CITATION {"citationID":"N0zrUcry","properties":{"formattedCitation":"Dave et al. (2020b)","plainCitation":"Dave et al. (2020b)","noteIndex":0},"citationItems":[{"id":4443,"uris":["http://zotero.org/groups/2170464/items/PJ7N4CCP"],"itemData":{"id":4443,"type":"article-journal","abstract":"Policymakers have explicitly linked sustained reductions in COVID-19 case growth to reopening policies, including the lifting of shelter-in-place orders (SIPOs). This “hardwired” policy endogeneity creates challenges in isolating the causal effect of lifting a statewide SIPO on COVID-19. To overcome simultaneity bias, we exploit a unique natural experiment generated by the Wisconsin Supreme Court when it abolished Wisconsin’s “Safer at Home” order on separation-of-powers grounds. We capitalize on this sudden, dramatic, and largely unanticipated termination of a statewide SIPO to estimate its effect on social distancing and COVID-19 case growth. First, using anonymized smartphone data from SafeGraph Inc. and a synthetic control design, we find that SIPO termination had little impact on social distancing. Then, using data on COVID-19 case and mortality rates, we find no evidence that the Wisconsin Supreme Court decision impacted COVID-19 growth up to a month following the repeal. We conclude that the impacts of SIPOs are likely not symmetric across enactment and lifting of orders, and this asymmetry sheds new light on the potential mechanisms underlying the effectiveness of these orders.","collection-title":"Working Paper Series","DOI":"10.3386/w27322","note":"DOI: 10.3386/w27322","source":"National Bureau of Economic Research","title":"Are the Effects of Adoption and Termination of Shelter-in-Place Orders Symmetric? Evidence from a Natural Experiment","title-short":"Are the Effects of Adoption and Termination of Shelter-in-Place Orders Symmetric?","URL":"https://www.nber.org/papers/w27322","author":[{"family":"Dave","given":"Dhaval"},{"family":"Friedson","given":"Andrew I."},{"family":"Matsuzawa","given":"Kyutaro"},{"family":"McNichols","given":"Drew"},{"family":"Sabia","given":"Joseph J."}],"accessed":{"date-parts":[["2022",12,19]]},"issued":{"date-parts":[["2020",6]]}}}],"schema":"https://github.com/citation-style-language/schema/raw/master/csl-citation.json"} </w:instrText>
      </w:r>
      <w:r w:rsidR="0044476D" w:rsidRPr="004D3031">
        <w:rPr>
          <w:lang w:val="en-US"/>
        </w:rPr>
        <w:fldChar w:fldCharType="separate"/>
      </w:r>
      <w:r w:rsidR="00BE2E7B" w:rsidRPr="00BE2E7B">
        <w:rPr>
          <w:rFonts w:cs="Calibri"/>
          <w:lang w:val="en-US"/>
        </w:rPr>
        <w:t>Dave et al. (2020b)</w:t>
      </w:r>
      <w:r w:rsidR="0044476D" w:rsidRPr="004D3031">
        <w:rPr>
          <w:lang w:val="en-US"/>
        </w:rPr>
        <w:fldChar w:fldCharType="end"/>
      </w:r>
      <w:r w:rsidR="00417B67" w:rsidRPr="004D3031">
        <w:rPr>
          <w:lang w:val="en-US"/>
        </w:rPr>
        <w:t>.</w:t>
      </w:r>
    </w:p>
    <w:p w14:paraId="42ECF840" w14:textId="0A215A33" w:rsidR="005F3295" w:rsidRPr="004D3031" w:rsidRDefault="00DD2AB6" w:rsidP="005F3295">
      <w:pPr>
        <w:rPr>
          <w:lang w:val="en-US"/>
        </w:rPr>
      </w:pPr>
      <w:r w:rsidRPr="004D3031">
        <w:rPr>
          <w:lang w:val="en-US"/>
        </w:rPr>
        <w:t>The decision to exclude studies with too few observations w</w:t>
      </w:r>
      <w:r w:rsidR="00816942" w:rsidRPr="004D3031">
        <w:rPr>
          <w:lang w:val="en-US"/>
        </w:rPr>
        <w:t>as</w:t>
      </w:r>
      <w:r w:rsidRPr="004D3031">
        <w:rPr>
          <w:lang w:val="en-US"/>
        </w:rPr>
        <w:t xml:space="preserve"> made</w:t>
      </w:r>
      <w:r w:rsidR="00D935AB" w:rsidRPr="004D3031">
        <w:rPr>
          <w:lang w:val="en-US"/>
        </w:rPr>
        <w:t xml:space="preserve"> earlier, but we are uncertain</w:t>
      </w:r>
      <w:r w:rsidR="00517E33" w:rsidRPr="004D3031">
        <w:rPr>
          <w:lang w:val="en-US"/>
        </w:rPr>
        <w:t xml:space="preserve"> </w:t>
      </w:r>
      <w:r w:rsidR="00F53E1F" w:rsidRPr="004D3031">
        <w:rPr>
          <w:lang w:val="en-US"/>
        </w:rPr>
        <w:t>about the exact date</w:t>
      </w:r>
      <w:r w:rsidR="00816942" w:rsidRPr="004D3031">
        <w:rPr>
          <w:lang w:val="en-US"/>
        </w:rPr>
        <w:t xml:space="preserve">; </w:t>
      </w:r>
      <w:r w:rsidR="00F42067" w:rsidRPr="004D3031">
        <w:rPr>
          <w:lang w:val="en-US"/>
        </w:rPr>
        <w:t xml:space="preserve">it is mentioned in a draft for the new protocol dated August 16, 2020. </w:t>
      </w:r>
      <w:r w:rsidR="00590D7D" w:rsidRPr="004D3031">
        <w:rPr>
          <w:lang w:val="en-US"/>
        </w:rPr>
        <w:t xml:space="preserve">We were surprised to find </w:t>
      </w:r>
      <w:r w:rsidR="000A0A0D" w:rsidRPr="004D3031">
        <w:rPr>
          <w:lang w:val="en-US"/>
        </w:rPr>
        <w:t xml:space="preserve">several </w:t>
      </w:r>
      <w:r w:rsidR="00590D7D" w:rsidRPr="004D3031">
        <w:rPr>
          <w:lang w:val="en-US"/>
        </w:rPr>
        <w:t xml:space="preserve">studies based on </w:t>
      </w:r>
      <w:r w:rsidR="000C7513" w:rsidRPr="004D3031">
        <w:rPr>
          <w:lang w:val="en-US"/>
        </w:rPr>
        <w:t xml:space="preserve">very </w:t>
      </w:r>
      <w:r w:rsidR="00590D7D" w:rsidRPr="004D3031">
        <w:rPr>
          <w:lang w:val="en-US"/>
        </w:rPr>
        <w:t xml:space="preserve">few </w:t>
      </w:r>
      <w:r w:rsidR="000C7513" w:rsidRPr="004D3031">
        <w:rPr>
          <w:lang w:val="en-US"/>
        </w:rPr>
        <w:t>observations often with just Sweden in the control group</w:t>
      </w:r>
      <w:r w:rsidR="00701424" w:rsidRPr="004D3031">
        <w:rPr>
          <w:lang w:val="en-US"/>
        </w:rPr>
        <w:t>.</w:t>
      </w:r>
    </w:p>
    <w:p w14:paraId="1C35BB35" w14:textId="69D9F854" w:rsidR="008A3880" w:rsidRPr="004D3031" w:rsidRDefault="008A3880" w:rsidP="00CA357F">
      <w:pPr>
        <w:pStyle w:val="Heading3"/>
        <w:rPr>
          <w:lang w:val="en-US"/>
        </w:rPr>
      </w:pPr>
      <w:r w:rsidRPr="004D3031">
        <w:rPr>
          <w:lang w:val="en-US"/>
        </w:rPr>
        <w:t>The purpose of this supplementary material</w:t>
      </w:r>
    </w:p>
    <w:bookmarkEnd w:id="11"/>
    <w:p w14:paraId="08176A1C" w14:textId="2DDADCD9" w:rsidR="0065098B" w:rsidRPr="004D3031" w:rsidRDefault="0065098B" w:rsidP="0065098B">
      <w:pPr>
        <w:rPr>
          <w:lang w:val="en-US"/>
        </w:rPr>
      </w:pPr>
      <w:r w:rsidRPr="004D3031">
        <w:rPr>
          <w:lang w:val="en-US"/>
        </w:rPr>
        <w:t xml:space="preserve">Following the publication of our </w:t>
      </w:r>
      <w:proofErr w:type="gramStart"/>
      <w:r w:rsidRPr="004D3031">
        <w:rPr>
          <w:lang w:val="en-US"/>
        </w:rPr>
        <w:t>working</w:t>
      </w:r>
      <w:proofErr w:type="gramEnd"/>
      <w:r w:rsidRPr="004D3031">
        <w:rPr>
          <w:lang w:val="en-US"/>
        </w:rPr>
        <w:t xml:space="preserve"> paper, scholars such as Professor David Paton</w:t>
      </w:r>
      <w:r w:rsidRPr="004D3031">
        <w:rPr>
          <w:rStyle w:val="FootnoteReference"/>
          <w:lang w:val="en-US"/>
        </w:rPr>
        <w:footnoteReference w:id="4"/>
      </w:r>
      <w:r w:rsidRPr="004D3031">
        <w:rPr>
          <w:lang w:val="en-US"/>
        </w:rPr>
        <w:t xml:space="preserve"> have questioned this decision. One argument is that few observations </w:t>
      </w:r>
      <w:proofErr w:type="gramStart"/>
      <w:r w:rsidRPr="004D3031">
        <w:rPr>
          <w:lang w:val="en-US"/>
        </w:rPr>
        <w:t>is</w:t>
      </w:r>
      <w:proofErr w:type="gramEnd"/>
      <w:r w:rsidRPr="004D3031">
        <w:rPr>
          <w:lang w:val="en-US"/>
        </w:rPr>
        <w:t xml:space="preserve"> not a problem because the difference-in-difference method does not require a certain number of observations to be valid (if there are sufficient degrees of freedom). Hence, studies based on few </w:t>
      </w:r>
      <w:bookmarkStart w:id="13" w:name="_Hlk122337891"/>
      <w:r w:rsidRPr="004D3031">
        <w:rPr>
          <w:lang w:val="en-US"/>
        </w:rPr>
        <w:t xml:space="preserve">jurisdictions </w:t>
      </w:r>
      <w:bookmarkEnd w:id="13"/>
      <w:r w:rsidRPr="004D3031">
        <w:rPr>
          <w:lang w:val="en-US"/>
        </w:rPr>
        <w:t xml:space="preserve">can be assumed to produce useful knowledge regarding the effects of lockdown measures but are likely to have less precision than studies based on more cases. The key point is that </w:t>
      </w:r>
      <w:r w:rsidRPr="004D3031">
        <w:rPr>
          <w:b/>
          <w:bCs/>
          <w:i/>
          <w:iCs/>
          <w:lang w:val="en-US"/>
        </w:rPr>
        <w:t xml:space="preserve">if there is </w:t>
      </w:r>
      <w:bookmarkStart w:id="14" w:name="_Hlk122213980"/>
      <w:bookmarkStart w:id="15" w:name="_Hlk122213985"/>
      <w:r w:rsidRPr="004D3031">
        <w:rPr>
          <w:b/>
          <w:bCs/>
          <w:i/>
          <w:iCs/>
          <w:lang w:val="en-US"/>
        </w:rPr>
        <w:t>sufficient variation</w:t>
      </w:r>
      <w:bookmarkEnd w:id="14"/>
      <w:r w:rsidRPr="004D3031">
        <w:rPr>
          <w:b/>
          <w:bCs/>
          <w:i/>
          <w:iCs/>
          <w:lang w:val="en-US"/>
        </w:rPr>
        <w:t xml:space="preserve"> in the jurisdictions covered, the full set of estimates from studies with few observations are still unbiased</w:t>
      </w:r>
      <w:r w:rsidRPr="004D3031">
        <w:rPr>
          <w:lang w:val="en-US"/>
        </w:rPr>
        <w:t>.</w:t>
      </w:r>
      <w:bookmarkEnd w:id="15"/>
    </w:p>
    <w:p w14:paraId="054E7583" w14:textId="77777777" w:rsidR="0065098B" w:rsidRPr="004D3031" w:rsidRDefault="0065098B" w:rsidP="0065098B">
      <w:pPr>
        <w:rPr>
          <w:lang w:val="en-US"/>
        </w:rPr>
      </w:pPr>
      <w:bookmarkStart w:id="16" w:name="_Hlk122353997"/>
      <w:r w:rsidRPr="004D3031">
        <w:rPr>
          <w:lang w:val="en-US"/>
        </w:rPr>
        <w:t>In general, it is best to avoid changing the research protocol after the results of the study have been obtained, as this can introduce bias and compromise the validity of the initial research plan. However, it is still valuable to assess whether our exclusion criteria are problematic in that they have excluded useful information or biased our results.</w:t>
      </w:r>
    </w:p>
    <w:p w14:paraId="2DFEE50D" w14:textId="77777777" w:rsidR="0065098B" w:rsidRPr="004D3031" w:rsidRDefault="0065098B" w:rsidP="0065098B">
      <w:pPr>
        <w:rPr>
          <w:lang w:val="en-US"/>
        </w:rPr>
      </w:pPr>
      <w:r w:rsidRPr="004D3031">
        <w:rPr>
          <w:lang w:val="en-US"/>
        </w:rPr>
        <w:t>In this supplementary section, we explore whether:</w:t>
      </w:r>
    </w:p>
    <w:p w14:paraId="26A601FC" w14:textId="77777777" w:rsidR="0065098B" w:rsidRPr="004D3031" w:rsidRDefault="0065098B" w:rsidP="0065098B">
      <w:pPr>
        <w:pStyle w:val="ListParagraph"/>
        <w:numPr>
          <w:ilvl w:val="0"/>
          <w:numId w:val="24"/>
        </w:numPr>
        <w:rPr>
          <w:lang w:val="en-US"/>
        </w:rPr>
      </w:pPr>
      <w:r w:rsidRPr="004D3031">
        <w:rPr>
          <w:lang w:val="en-US"/>
        </w:rPr>
        <w:t>the excluded studies are focusing solely on a few special places with many deaths during the first wave, such as Italy and Sweden, effectively preventing “sufficient variation;”</w:t>
      </w:r>
    </w:p>
    <w:p w14:paraId="49A6E75B" w14:textId="715C5137" w:rsidR="0065098B" w:rsidRPr="004D3031" w:rsidRDefault="0065098B" w:rsidP="0065098B">
      <w:pPr>
        <w:pStyle w:val="ListParagraph"/>
        <w:numPr>
          <w:ilvl w:val="0"/>
          <w:numId w:val="24"/>
        </w:numPr>
        <w:rPr>
          <w:lang w:val="en-US"/>
        </w:rPr>
      </w:pPr>
      <w:r w:rsidRPr="004D3031">
        <w:rPr>
          <w:lang w:val="en-US"/>
        </w:rPr>
        <w:t xml:space="preserve">we find evidence that the SCM is as problematic in a COVID-19 setting as </w:t>
      </w:r>
      <w:r w:rsidRPr="004D3031">
        <w:rPr>
          <w:lang w:val="en-US"/>
        </w:rPr>
        <w:fldChar w:fldCharType="begin"/>
      </w:r>
      <w:r w:rsidR="00BE2E7B">
        <w:rPr>
          <w:lang w:val="en-US"/>
        </w:rPr>
        <w:instrText xml:space="preserve"> ADDIN ZOTERO_ITEM CSL_CITATION {"citationID":"UFfM7Slw","properties":{"formattedCitation":"Bj\\uc0\\u248{}rnskov (2021)","plainCitation":"Bjørnskov (2021)","noteIndex":0},"citationItems":[{"id":1110,"uris":["http://zotero.org/users/4473730/items/9SHZLCQD"],"itemData":{"id":1110,"type":"post-weblog","abstract":"Som opmærksomme læsere ved, er vi her på stedet kommet til konklusionen, at de voldsomme nedlukninger i den vestlige verden siden marts sidste år ikke har reddet liv. Lockdowns virkede ikke, men sk…","container-title":"Punditokraterne","title":"Born et al. om epidemien i Sverige – hvad er der galt og hvordan ser det ud nu?","URL":"http://punditokraterne.dk/2021/06/14/born-et-al-om-epidemien-i-sverige-hvad-er-der-galt-og-hvordan-ser-det-ud-nu/","author":[{"family":"Bjørnskov","given":"Christian"}],"accessed":{"date-parts":[["2021",8,23]]},"issued":{"date-parts":[["2021",6,14]]}}}],"schema":"https://github.com/citation-style-language/schema/raw/master/csl-citation.json"} </w:instrText>
      </w:r>
      <w:r w:rsidRPr="004D3031">
        <w:rPr>
          <w:lang w:val="en-US"/>
        </w:rPr>
        <w:fldChar w:fldCharType="separate"/>
      </w:r>
      <w:r w:rsidR="00BE2E7B" w:rsidRPr="00BE2E7B">
        <w:rPr>
          <w:rFonts w:cs="Calibri"/>
          <w:lang w:val="en-US"/>
        </w:rPr>
        <w:t>Bjørnskov (2021)</w:t>
      </w:r>
      <w:r w:rsidRPr="004D3031">
        <w:rPr>
          <w:lang w:val="en-US"/>
        </w:rPr>
        <w:fldChar w:fldCharType="end"/>
      </w:r>
      <w:r w:rsidRPr="004D3031">
        <w:rPr>
          <w:lang w:val="en-US"/>
        </w:rPr>
        <w:t xml:space="preserve"> proposes.</w:t>
      </w:r>
    </w:p>
    <w:p w14:paraId="23065A7D" w14:textId="77777777" w:rsidR="0065098B" w:rsidRPr="004D3031" w:rsidRDefault="0065098B" w:rsidP="00FF782A">
      <w:pPr>
        <w:pStyle w:val="Heading2"/>
      </w:pPr>
      <w:bookmarkStart w:id="17" w:name="_Toc124683294"/>
      <w:bookmarkStart w:id="18" w:name="_Toc125059370"/>
      <w:bookmarkStart w:id="19" w:name="_Toc126069766"/>
      <w:bookmarkEnd w:id="16"/>
      <w:r w:rsidRPr="004D3031">
        <w:t xml:space="preserve">The Synthetic Control Method (SCM) </w:t>
      </w:r>
      <w:bookmarkEnd w:id="17"/>
      <w:r w:rsidRPr="004D3031">
        <w:t>criteria</w:t>
      </w:r>
      <w:bookmarkEnd w:id="18"/>
      <w:bookmarkEnd w:id="19"/>
    </w:p>
    <w:p w14:paraId="45CA2B60" w14:textId="77777777" w:rsidR="0065098B" w:rsidRPr="004D3031" w:rsidRDefault="0065098B" w:rsidP="0065098B">
      <w:pPr>
        <w:rPr>
          <w:lang w:val="en-US"/>
        </w:rPr>
      </w:pPr>
      <w:bookmarkStart w:id="20" w:name="_Hlk122332623"/>
      <w:r w:rsidRPr="004D3031">
        <w:rPr>
          <w:lang w:val="en-US"/>
        </w:rPr>
        <w:t>We exclude the following 10 SCM studies:</w:t>
      </w:r>
    </w:p>
    <w:p w14:paraId="77EEE407" w14:textId="183C99A8" w:rsidR="0065098B" w:rsidRPr="004D3031" w:rsidRDefault="0065098B" w:rsidP="0065098B">
      <w:pPr>
        <w:pStyle w:val="ListParagraph"/>
        <w:numPr>
          <w:ilvl w:val="0"/>
          <w:numId w:val="25"/>
        </w:numPr>
        <w:rPr>
          <w:lang w:val="en-US"/>
        </w:rPr>
      </w:pPr>
      <w:r w:rsidRPr="004D3031">
        <w:rPr>
          <w:lang w:val="en-US"/>
        </w:rPr>
        <w:fldChar w:fldCharType="begin"/>
      </w:r>
      <w:r w:rsidR="00BE2E7B">
        <w:rPr>
          <w:lang w:val="en-US"/>
        </w:rPr>
        <w:instrText xml:space="preserve"> ADDIN ZOTERO_ITEM CSL_CITATION {"citationID":"INjSdu59","properties":{"formattedCitation":"Born et al. (2021)","plainCitation":"Born et al. (2021)","noteIndex":0},"citationItems":[{"id":2957,"uris":["http://zotero.org/groups/2170464/items/D3EJAS72"],"itemData":{"id":2957,"type":"article-journal","abstract":"While most countries imposed a lockdown in response to the first wave of COVID-19 infections, Sweden did not. To quantify the lockdown effect, we approximate a counterfactual lockdown scenario for Sweden through the outcome in a synthetic control unit. We find, first, that a 9-week lockdown in the first half of 2020 would have reduced infections and deaths by about 75% and 38%, respectively. Second, the lockdown effect starts to materialize with a delay of 3–4 weeks only. Third, the actual adjustment of mobility patterns in Sweden suggests there has been substantial voluntary social restraint, although the adjustment was less strong than under the lockdown scenario. Lastly, we find that a lockdown would not have caused much additional output loss.","container-title":"PLOS ONE","DOI":"10.1371/journal.pone.0249732","ISSN":"1932-6203","issue":"4","journalAbbreviation":"PLOS ONE","language":"en","note":"publisher: Public Library of Science","page":"e0249732","source":"PLoS Journals","title":"The lockdown effect: A counterfactual for Sweden","title-short":"The lockdown effect","volume":"16","author":[{"family":"Born","given":"Benjamin"},{"family":"Dietrich","given":"Alexander M."},{"family":"Müller","given":"Gernot J."}],"issued":{"date-parts":[["2021",4,8]]}}}],"schema":"https://github.com/citation-style-language/schema/raw/master/csl-citation.json"} </w:instrText>
      </w:r>
      <w:r w:rsidRPr="004D3031">
        <w:rPr>
          <w:lang w:val="en-US"/>
        </w:rPr>
        <w:fldChar w:fldCharType="separate"/>
      </w:r>
      <w:r w:rsidR="00BE2E7B" w:rsidRPr="00BE2E7B">
        <w:rPr>
          <w:rFonts w:cs="Calibri"/>
        </w:rPr>
        <w:t>Born et al. (2021)</w:t>
      </w:r>
      <w:r w:rsidRPr="004D3031">
        <w:rPr>
          <w:lang w:val="en-US"/>
        </w:rPr>
        <w:fldChar w:fldCharType="end"/>
      </w:r>
    </w:p>
    <w:p w14:paraId="22AEDECD" w14:textId="5C735977" w:rsidR="0065098B" w:rsidRPr="004D3031" w:rsidRDefault="0065098B" w:rsidP="0065098B">
      <w:pPr>
        <w:pStyle w:val="ListParagraph"/>
        <w:numPr>
          <w:ilvl w:val="0"/>
          <w:numId w:val="25"/>
        </w:numPr>
        <w:rPr>
          <w:lang w:val="en-US"/>
        </w:rPr>
      </w:pPr>
      <w:r w:rsidRPr="004D3031">
        <w:rPr>
          <w:lang w:val="en-US"/>
        </w:rPr>
        <w:fldChar w:fldCharType="begin"/>
      </w:r>
      <w:r w:rsidR="00BE2E7B">
        <w:rPr>
          <w:lang w:val="en-US"/>
        </w:rPr>
        <w:instrText xml:space="preserve"> ADDIN ZOTERO_ITEM CSL_CITATION {"citationID":"KplpD31S","properties":{"formattedCitation":"Cerqueti et al. (2021)","plainCitation":"Cerqueti et al. (2021)","noteIndex":0},"citationItems":[{"id":3699,"uris":["http://zotero.org/groups/2170464/items/YE7SYZAB"],"itemData":{"id":3699,"type":"article-journal","abstract":"This paper estimates the effects of non-pharmaceutical interventions - mainly, the lockdown - on the COVID-19 mortality rate for the case of Italy, the first Western country to impose a national shelter-in-place order. We use a new estimator, the Augmented Synthetic Control Method (ASCM), that overcomes some limits of the standard Synthetic Control Method (SCM). The results are twofold. From a methodological point of view, the ASCM outperforms the SCM in that the latter cannot select a valid donor set, assigning all the weights to only one country (Spain) while placing zero weights to all the remaining. From an empirical point of view, we find strong evidence of the effectiveness of non-pharmaceutical interventions in avoiding losses of human lives in Italy: conservative estimates indicate that for each human life actually lost, in the absence of lockdown there would have been on average other 1.15, the policy saved in total 20,400 human lives.","container-title":"arXiv:2101.11901 [econ]","note":"arXiv: 2101.11901","source":"arXiv.org","title":"The sooner the better: lives saved by the lockdown during the COVID-19 outbreak. The case of Italy","title-short":"The sooner the better","URL":"http://arxiv.org/abs/2101.11901","author":[{"family":"Cerqueti","given":"Roy"},{"family":"Coppier","given":"Raffaella"},{"family":"Girardi","given":"Alessandro"},{"family":"Ventura","given":"Marco"}],"accessed":{"date-parts":[["2021",8,17]]},"issued":{"date-parts":[["2021",1,29]]}}}],"schema":"https://github.com/citation-style-language/schema/raw/master/csl-citation.json"} </w:instrText>
      </w:r>
      <w:r w:rsidRPr="004D3031">
        <w:rPr>
          <w:lang w:val="en-US"/>
        </w:rPr>
        <w:fldChar w:fldCharType="separate"/>
      </w:r>
      <w:r w:rsidR="00BE2E7B" w:rsidRPr="00BE2E7B">
        <w:rPr>
          <w:rFonts w:cs="Calibri"/>
        </w:rPr>
        <w:t>Cerqueti et al. (2021)</w:t>
      </w:r>
      <w:r w:rsidRPr="004D3031">
        <w:rPr>
          <w:lang w:val="en-US"/>
        </w:rPr>
        <w:fldChar w:fldCharType="end"/>
      </w:r>
    </w:p>
    <w:p w14:paraId="29A6147F" w14:textId="589777A1" w:rsidR="0065098B" w:rsidRPr="004D3031" w:rsidRDefault="0065098B" w:rsidP="0065098B">
      <w:pPr>
        <w:pStyle w:val="ListParagraph"/>
        <w:numPr>
          <w:ilvl w:val="0"/>
          <w:numId w:val="25"/>
        </w:numPr>
        <w:rPr>
          <w:lang w:val="en-US"/>
        </w:rPr>
      </w:pPr>
      <w:r w:rsidRPr="004D3031">
        <w:rPr>
          <w:lang w:val="en-US"/>
        </w:rPr>
        <w:fldChar w:fldCharType="begin"/>
      </w:r>
      <w:r w:rsidR="00BE2E7B">
        <w:rPr>
          <w:lang w:val="en-US"/>
        </w:rPr>
        <w:instrText xml:space="preserve"> ADDIN ZOTERO_ITEM CSL_CITATION {"citationID":"G5m8AP0M","properties":{"formattedCitation":"Cho (2020)","plainCitation":"Cho (2020)","noteIndex":0},"citationItems":[{"id":3712,"uris":["http://zotero.org/groups/2170464/items/M83ML629"],"itemData":{"id":3712,"type":"article-journal","abstract":"This paper estimates the effect of nonpharmaceutical intervention policies on public health during the COVID-19 outbreak by considering a counterfactual case for Sweden. Using a synthetic control approach, I find that strict initial lockdown measures play an important role in limiting the spread of the COVID-19 infection, as the infection cases in Sweden would have been reduced by almost 75 percent had its policymakers followed stricter containment policies. As people dynamically adjust their behaviour in response to information and policies, the impact of nonpharmaceutical interventions becomes visible, with a time lag of around 5 weeks. Supplementary robustness checks and an alternative difference-in-differences framework analysis do not fundamentally alter the main conclusions. Finally, extending the analysis to excess mortality, I find that the lockdown measures would have been associated with a lower excess mortality rate in Sweden by 25 percentage points, with a steep age gradient of 29 percentage points for the most vulnerable elderly cohort. The outcome of this study can assist policymakers in laying out future guidelines to further protect public health, as well as facilitate plans for economic recovery.","container-title":"The Econometrics Journal","DOI":"10.1093/ectj/utaa025","ISSN":"1368-4221","issue":"3","journalAbbreviation":"The Econometrics Journal","page":"323-344","source":"Silverchair","title":"Quantifying the impact of nonpharmaceutical interventions during the COVID-19 outbreak: The case of Sweden","title-short":"Quantifying the impact of nonpharmaceutical interventions during the COVID-19 outbreak","volume":"23","author":[{"family":"Cho","given":"Sang-Wook (Stanley)"}],"issued":{"date-parts":[["2020",9,1]]}}}],"schema":"https://github.com/citation-style-language/schema/raw/master/csl-citation.json"} </w:instrText>
      </w:r>
      <w:r w:rsidRPr="004D3031">
        <w:rPr>
          <w:lang w:val="en-US"/>
        </w:rPr>
        <w:fldChar w:fldCharType="separate"/>
      </w:r>
      <w:r w:rsidR="00BE2E7B" w:rsidRPr="00BE2E7B">
        <w:rPr>
          <w:rFonts w:cs="Calibri"/>
        </w:rPr>
        <w:t>Cho (2020)</w:t>
      </w:r>
      <w:r w:rsidRPr="004D3031">
        <w:rPr>
          <w:lang w:val="en-US"/>
        </w:rPr>
        <w:fldChar w:fldCharType="end"/>
      </w:r>
    </w:p>
    <w:p w14:paraId="636D248D" w14:textId="420B3CAC" w:rsidR="0065098B" w:rsidRPr="004D3031" w:rsidRDefault="0065098B" w:rsidP="0065098B">
      <w:pPr>
        <w:pStyle w:val="ListParagraph"/>
        <w:numPr>
          <w:ilvl w:val="0"/>
          <w:numId w:val="25"/>
        </w:numPr>
        <w:rPr>
          <w:lang w:val="en-US"/>
        </w:rPr>
      </w:pPr>
      <w:r w:rsidRPr="004D3031">
        <w:rPr>
          <w:lang w:val="en-US"/>
        </w:rPr>
        <w:fldChar w:fldCharType="begin"/>
      </w:r>
      <w:r w:rsidR="00BE2E7B">
        <w:rPr>
          <w:lang w:val="en-US"/>
        </w:rPr>
        <w:instrText xml:space="preserve"> ADDIN ZOTERO_ITEM CSL_CITATION {"citationID":"itPej9jX","properties":{"formattedCitation":"Conyon and Thomsen (2021)","plainCitation":"Conyon and Thomsen (2021)","noteIndex":0},"citationItems":[{"id":4444,"uris":["http://zotero.org/groups/2170464/items/F4CWQCKT"],"itemData":{"id":4444,"type":"article-journal","abstract":"We address two research questions. First, how did the COVID-19 disease progress in Scandinavia in 2020? Second, did Sweden’s unique public health care response lead to differential infection and mortality rates during 2020? We use synthetic control techniques to model COVID-19 dynamics, comparing Sweden to a synthetic control unit. We show that stricter lock-down policies are associated with fewer COVID-19 infections and deaths. This finding holds in the first and second waves experienced in Scandinavia. We document several important health care metrics including infection and mortality rates, reproduction rates, lockdown stringency, mobility of people, infection positivity rates, testing, and vaccination rates in Denmark, Norway, and Sweden.","DOI":"10.2139/ssrn.3793888","note":"type: article","source":"Europe PMC","title":"COVID-19 in Scandinavia","URL":"https://europepmc.org/article/PPR/PPR294675","author":[{"family":"Conyon","given":"Martin J."},{"family":"Thomsen","given":"Steen"}],"accessed":{"date-parts":[["2021",8,17]]},"issued":{"date-parts":[["2021",3,5]]}}}],"schema":"https://github.com/citation-style-language/schema/raw/master/csl-citation.json"} </w:instrText>
      </w:r>
      <w:r w:rsidRPr="004D3031">
        <w:rPr>
          <w:lang w:val="en-US"/>
        </w:rPr>
        <w:fldChar w:fldCharType="separate"/>
      </w:r>
      <w:r w:rsidR="00BE2E7B" w:rsidRPr="00BE2E7B">
        <w:rPr>
          <w:rFonts w:cs="Calibri"/>
        </w:rPr>
        <w:t>Conyon and Thomsen (2021)</w:t>
      </w:r>
      <w:r w:rsidRPr="004D3031">
        <w:rPr>
          <w:lang w:val="en-US"/>
        </w:rPr>
        <w:fldChar w:fldCharType="end"/>
      </w:r>
    </w:p>
    <w:p w14:paraId="6D201BF2" w14:textId="230B9355" w:rsidR="0065098B" w:rsidRPr="004D3031" w:rsidRDefault="0065098B" w:rsidP="0065098B">
      <w:pPr>
        <w:pStyle w:val="ListParagraph"/>
        <w:numPr>
          <w:ilvl w:val="0"/>
          <w:numId w:val="25"/>
        </w:numPr>
        <w:rPr>
          <w:lang w:val="en-US"/>
        </w:rPr>
      </w:pPr>
      <w:r w:rsidRPr="004D3031">
        <w:rPr>
          <w:lang w:val="en-US"/>
        </w:rPr>
        <w:fldChar w:fldCharType="begin"/>
      </w:r>
      <w:r w:rsidR="00BE2E7B">
        <w:rPr>
          <w:lang w:val="en-US"/>
        </w:rPr>
        <w:instrText xml:space="preserve"> ADDIN ZOTERO_ITEM CSL_CITATION {"citationID":"3E8CYjCY","properties":{"formattedCitation":"Dave et al. (2020b)","plainCitation":"Dave et al. (2020b)","noteIndex":0},"citationItems":[{"id":4443,"uris":["http://zotero.org/groups/2170464/items/PJ7N4CCP"],"itemData":{"id":4443,"type":"article-journal","abstract":"Policymakers have explicitly linked sustained reductions in COVID-19 case growth to reopening policies, including the lifting of shelter-in-place orders (SIPOs). This “hardwired” policy endogeneity creates challenges in isolating the causal effect of lifting a statewide SIPO on COVID-19. To overcome simultaneity bias, we exploit a unique natural experiment generated by the Wisconsin Supreme Court when it abolished Wisconsin’s “Safer at Home” order on separation-of-powers grounds. We capitalize on this sudden, dramatic, and largely unanticipated termination of a statewide SIPO to estimate its effect on social distancing and COVID-19 case growth. First, using anonymized smartphone data from SafeGraph Inc. and a synthetic control design, we find that SIPO termination had little impact on social distancing. Then, using data on COVID-19 case and mortality rates, we find no evidence that the Wisconsin Supreme Court decision impacted COVID-19 growth up to a month following the repeal. We conclude that the impacts of SIPOs are likely not symmetric across enactment and lifting of orders, and this asymmetry sheds new light on the potential mechanisms underlying the effectiveness of these orders.","collection-title":"Working Paper Series","DOI":"10.3386/w27322","note":"DOI: 10.3386/w27322","source":"National Bureau of Economic Research","title":"Are the Effects of Adoption and Termination of Shelter-in-Place Orders Symmetric? Evidence from a Natural Experiment","title-short":"Are the Effects of Adoption and Termination of Shelter-in-Place Orders Symmetric?","URL":"https://www.nber.org/papers/w27322","author":[{"family":"Dave","given":"Dhaval"},{"family":"Friedson","given":"Andrew I."},{"family":"Matsuzawa","given":"Kyutaro"},{"family":"McNichols","given":"Drew"},{"family":"Sabia","given":"Joseph J."}],"accessed":{"date-parts":[["2022",12,19]]},"issued":{"date-parts":[["2020",6]]}}}],"schema":"https://github.com/citation-style-language/schema/raw/master/csl-citation.json"} </w:instrText>
      </w:r>
      <w:r w:rsidRPr="004D3031">
        <w:rPr>
          <w:lang w:val="en-US"/>
        </w:rPr>
        <w:fldChar w:fldCharType="separate"/>
      </w:r>
      <w:r w:rsidR="00BE2E7B" w:rsidRPr="00BE2E7B">
        <w:rPr>
          <w:rFonts w:cs="Calibri"/>
        </w:rPr>
        <w:t>Dave et al. (2020b)</w:t>
      </w:r>
      <w:r w:rsidRPr="004D3031">
        <w:rPr>
          <w:lang w:val="en-US"/>
        </w:rPr>
        <w:fldChar w:fldCharType="end"/>
      </w:r>
    </w:p>
    <w:p w14:paraId="03DD143F" w14:textId="61E85DB8" w:rsidR="0065098B" w:rsidRPr="004D3031" w:rsidRDefault="0065098B" w:rsidP="0065098B">
      <w:pPr>
        <w:pStyle w:val="ListParagraph"/>
        <w:numPr>
          <w:ilvl w:val="0"/>
          <w:numId w:val="25"/>
        </w:numPr>
        <w:rPr>
          <w:lang w:val="en-US"/>
        </w:rPr>
      </w:pPr>
      <w:r w:rsidRPr="004D3031">
        <w:rPr>
          <w:lang w:val="en-US"/>
        </w:rPr>
        <w:fldChar w:fldCharType="begin"/>
      </w:r>
      <w:r w:rsidR="00BE2E7B">
        <w:rPr>
          <w:lang w:val="en-US"/>
        </w:rPr>
        <w:instrText xml:space="preserve"> ADDIN ZOTERO_ITEM CSL_CITATION {"citationID":"HuH3NHSE","properties":{"formattedCitation":"Friedson et al. (2021)","plainCitation":"Friedson et al. (2021)","noteIndex":0},"citationItems":[{"id":3711,"uris":["http://zotero.org/groups/2170464/items/F92QXFZH"],"itemData":{"id":3711,"type":"article-journal","abstract":"A shelter-in-place order (SIPO) is one of the most restrictive non-pharmaceutical interventions designed to curb the spread of COVID-19. On March 19, 2020, California Governor Gavin Newsom issued the first statewide SIPO in the United States. The order closed non-essential businesses and required residents to shelter in place for all but essential activities such as grocery shopping, retrieving prescriptions from a pharmacy, or caring for relatives. This study is the first in the economics literature to estimate the effect of a statewide SIPO on public health. Using daily state-level coronavirus data and a synthetic control research design, we find that California's statewide SIPO reduced COVID-19 cases by 160.9 to 194.7 per 100,000 population by April 20, one month following the order. We further find that California's SIPO led to as many as 1,566 fewer COVID-19 deaths during this period. Back-of-the-envelope calculations suggest that there were about 649 to 703 job losses per life saved, and about 14 to16 job losses per case averted during this post-treatment period.","container-title":"Journal of Policy Analysis and Management","DOI":"10.1002/pam.22267","ISSN":"1520-6688","issue":"1","language":"en","note":"_eprint: https://onlinelibrary.wiley.com/doi/pdf/10.1002/pam.22267","page":"258-283","source":"Wiley Online Library","title":"Shelter-in-Place Orders and Public Health: Evidence from California During the Covid-19 Pandemic","title-short":"Shelter-in-Place Orders and Public Health","volume":"40","author":[{"family":"Friedson","given":"Andrew I."},{"family":"McNichols","given":"Drew"},{"family":"Sabia","given":"Joseph J."},{"family":"Dave","given":"Dhaval"}],"issued":{"date-parts":[["2021",12,11]]}}}],"schema":"https://github.com/citation-style-language/schema/raw/master/csl-citation.json"} </w:instrText>
      </w:r>
      <w:r w:rsidRPr="004D3031">
        <w:rPr>
          <w:lang w:val="en-US"/>
        </w:rPr>
        <w:fldChar w:fldCharType="separate"/>
      </w:r>
      <w:r w:rsidR="00BE2E7B" w:rsidRPr="00BE2E7B">
        <w:rPr>
          <w:rFonts w:cs="Calibri"/>
        </w:rPr>
        <w:t>Friedson et al. (2021)</w:t>
      </w:r>
      <w:r w:rsidRPr="004D3031">
        <w:rPr>
          <w:lang w:val="en-US"/>
        </w:rPr>
        <w:fldChar w:fldCharType="end"/>
      </w:r>
    </w:p>
    <w:p w14:paraId="535E55C8" w14:textId="581D0002" w:rsidR="0065098B" w:rsidRPr="004D3031" w:rsidRDefault="0065098B" w:rsidP="0065098B">
      <w:pPr>
        <w:pStyle w:val="ListParagraph"/>
        <w:numPr>
          <w:ilvl w:val="0"/>
          <w:numId w:val="25"/>
        </w:numPr>
        <w:rPr>
          <w:lang w:val="en-US"/>
        </w:rPr>
      </w:pPr>
      <w:r w:rsidRPr="004D3031">
        <w:rPr>
          <w:lang w:val="en-US"/>
        </w:rPr>
        <w:fldChar w:fldCharType="begin"/>
      </w:r>
      <w:r w:rsidR="00BE2E7B">
        <w:rPr>
          <w:lang w:val="en-US"/>
        </w:rPr>
        <w:instrText xml:space="preserve"> ADDIN ZOTERO_ITEM CSL_CITATION {"citationID":"5VHuOKEC","properties":{"formattedCitation":"Ghosh et al. (2020)","plainCitation":"Ghosh et al. (2020)","noteIndex":0},"citationItems":[{"id":3727,"uris":["http://zotero.org/groups/2170464/items/PAAIJ63L"],"itemData":{"id":3727,"type":"article-journal","abstract":"The ongoing pandemic of coronavirus disease 2019-2020 (COVID-19) is caused by Severe Acute Respiratory Syndrome Coronavirus 2 (SARS-CoV-2). This pathogenic virus is able to spread asymptotically during its incubation stage through a vulnerable population. Given the state of healthcare, policymakers were urged to contain the spread of infection, minimize stress on the health systems and ensure public safety. Most effective tool that was at their disposal was to close non-essential business and issue a stay home order. In this paper we consider techniques to measure the effectiveness of stringency measures adopted by governments across the world. Analyzing effectiveness of control measures like lock-down allows us to understand whether the decisions made were optimal and resulted in a reduction of burden on the healthcare system. In specific we consider using a synthetic control to construct alternative scenarios and understand what would have been the effect on health if less stringent measures were adopted. We present analysis for The State of New York, United States, Italy and The Indian capital city Delhi and show how lock-down measures has helped and what the counterfactual scenarios would have been in comparison to the current state of affairs. We show that in The State of New York the number of deaths could have been 6 times higher, and in Italy, the number of deaths could have been 3 times higher by 26th of June, 2020.","container-title":"arXiv:2008.05876 [physics]","note":"arXiv: 2008.05876","source":"arXiv.org","title":"A Study on the Effectiveness of Lock-down Measures to Control the Spread of COVID-19","URL":"http://arxiv.org/abs/2008.05876","author":[{"family":"Ghosh","given":"Subhas Kumar"},{"family":"Ghosh","given":"Sachchit"},{"family":"Narumanchi","given":"Sai Shanmukha"}],"accessed":{"date-parts":[["2021",8,17]]},"issued":{"date-parts":[["2020",8,8]]}}}],"schema":"https://github.com/citation-style-language/schema/raw/master/csl-citation.json"} </w:instrText>
      </w:r>
      <w:r w:rsidRPr="004D3031">
        <w:rPr>
          <w:lang w:val="en-US"/>
        </w:rPr>
        <w:fldChar w:fldCharType="separate"/>
      </w:r>
      <w:r w:rsidR="00BE2E7B" w:rsidRPr="00BE2E7B">
        <w:rPr>
          <w:rFonts w:cs="Calibri"/>
        </w:rPr>
        <w:t>Ghosh et al. (2020)</w:t>
      </w:r>
      <w:r w:rsidRPr="004D3031">
        <w:rPr>
          <w:lang w:val="en-US"/>
        </w:rPr>
        <w:fldChar w:fldCharType="end"/>
      </w:r>
    </w:p>
    <w:bookmarkStart w:id="21" w:name="_Hlk122344665"/>
    <w:p w14:paraId="650DA987" w14:textId="106E795B" w:rsidR="0065098B" w:rsidRPr="004D3031" w:rsidRDefault="0065098B" w:rsidP="0065098B">
      <w:pPr>
        <w:pStyle w:val="ListParagraph"/>
        <w:numPr>
          <w:ilvl w:val="0"/>
          <w:numId w:val="25"/>
        </w:numPr>
        <w:rPr>
          <w:rFonts w:cs="Calibri"/>
          <w:lang w:val="en-US"/>
        </w:rPr>
      </w:pPr>
      <w:r w:rsidRPr="004D3031">
        <w:rPr>
          <w:rFonts w:cs="Calibri"/>
          <w:lang w:val="en-US"/>
        </w:rPr>
        <w:fldChar w:fldCharType="begin"/>
      </w:r>
      <w:r w:rsidR="00BE2E7B">
        <w:rPr>
          <w:rFonts w:cs="Calibri"/>
          <w:lang w:val="en-US"/>
        </w:rPr>
        <w:instrText xml:space="preserve"> ADDIN ZOTERO_ITEM CSL_CITATION {"citationID":"RtGdFxGS","properties":{"formattedCitation":"Mader and R\\uc0\\u252{}ttenauer (2021)","plainCitation":"Mader and Rüttenauer (2021)","noteIndex":0},"citationItems":[{"id":3685,"uris":["http://zotero.org/groups/2170464/items/77UUP223"],"itemData":{"id":3685,"type":"report","abstract":"Background: Most governments have introduced various non-pharmaceutical interventions (NPIs) in response to the pandemic outbreak of Coronavirus disease (COVID-19) since early 2020. While NPIs aim at avoiding fatalities related to COVID-19, the previous literature on their efficacy has focused on infections and on data of the first half of 2020. Still, findings of early NPI studies may be subject to underreporting and missing timeliness of reporting of cases. Moreover, the low variation in treatment timing during the first wave makes identification of robust treatment effects difficult.\n\nMethods: To circumvent problems of reporting and treatment variation, we analyse data on daily confirmed COVID-19-related deaths per capita from Our World in Data, and on 10 different NPIs from the Oxford COVID-19 Government Response Tracker for 169 countries from 1st July 2020 to 31st May 2021. To identify the causal effects of introducing NPIs on COVID-19-related confirmed fatalities per capita, we apply the generalized synthetic control (GSC) method to each NPI, while controlling for the remaining NPIs, weather conditions, vaccinations, and NPI-residualized COVID-19 cases.\n\nFindings: We do not find substantial and consistent mitigating effects of any NPI under investigation on COVID-19-related deaths per capita. We see a tentative change in the trend of COVID-19-related deaths around 30 days after workplace closing, public transport closing, and stay at home rules have been implemented, but none of them exerts a statistically significant effect.\n\nInterpretation: The study enhances the literature on the effectivity of NPIs with respect to the time frame, the number of countries, and the analytical approach. The results provide further guidance to judge the proportionality of NPIs.","note":"DOI: 10.31235/osf.io/v2ef8\ntype: article","publisher":"SocArXiv","source":"OSF Preprints","title":"The effects of non-pharmaceutical interventions on COVID-19-related mortality: A generalized synthetic control approach across 169 countries","title-short":"The effects of non-pharmaceutical interventions on COVID-19-related mortality","URL":"https://osf.io/preprints/socarxiv/v2ef8/","author":[{"family":"Mader","given":"Sebastian"},{"family":"Rüttenauer","given":"Tobias"}],"accessed":{"date-parts":[["2021",8,18]]},"issued":{"date-parts":[["2021",6,11]]}}}],"schema":"https://github.com/citation-style-language/schema/raw/master/csl-citation.json"} </w:instrText>
      </w:r>
      <w:r w:rsidRPr="004D3031">
        <w:rPr>
          <w:rFonts w:cs="Calibri"/>
          <w:lang w:val="en-US"/>
        </w:rPr>
        <w:fldChar w:fldCharType="separate"/>
      </w:r>
      <w:r w:rsidR="00BE2E7B" w:rsidRPr="00BE2E7B">
        <w:rPr>
          <w:rFonts w:cs="Calibri"/>
        </w:rPr>
        <w:t>Mader and Rüttenauer (2021)</w:t>
      </w:r>
      <w:r w:rsidRPr="004D3031">
        <w:rPr>
          <w:rFonts w:cs="Calibri"/>
          <w:lang w:val="en-US"/>
        </w:rPr>
        <w:fldChar w:fldCharType="end"/>
      </w:r>
      <w:bookmarkEnd w:id="21"/>
    </w:p>
    <w:p w14:paraId="582D9202" w14:textId="6C9F0A15" w:rsidR="0065098B" w:rsidRPr="004D3031" w:rsidRDefault="0065098B" w:rsidP="0065098B">
      <w:pPr>
        <w:pStyle w:val="ListParagraph"/>
        <w:numPr>
          <w:ilvl w:val="0"/>
          <w:numId w:val="25"/>
        </w:numPr>
        <w:rPr>
          <w:lang w:val="en-US"/>
        </w:rPr>
      </w:pPr>
      <w:r w:rsidRPr="004D3031">
        <w:rPr>
          <w:lang w:val="en-US"/>
        </w:rPr>
        <w:fldChar w:fldCharType="begin"/>
      </w:r>
      <w:r w:rsidR="00BE2E7B">
        <w:rPr>
          <w:lang w:val="en-US"/>
        </w:rPr>
        <w:instrText xml:space="preserve"> ADDIN ZOTERO_ITEM CSL_CITATION {"citationID":"GyUa5qyd","properties":{"formattedCitation":"Neidh\\uc0\\u246{}fer and Neidh\\uc0\\u246{}fer (2020)","plainCitation":"Neidhöfer and Neidhöfer (2020)","noteIndex":0},"citationItems":[{"id":3702,"uris":["http://zotero.org/groups/2170464/items/JTIY3VWC"],"itemData":{"id":3702,"type":"article-journal","abstract":"The rapid spread of COVID-19 forced policy-makers to swiftly ﬁnd solutions to reduce infection rates and keep mortality as low as possible. Empirical analyses on the eﬀectiveness of control measures are hereby of primary importance. School closures were among the earliest measures enacted by the governments of most countries. However, while schools are now reopening in many countries, the impact of school closures on the course of the epidemic is still an open question. Adopting parametric and non-parametric synthetic control methods we estimate the eﬀectiveness of pro-active school closures, and other early social distancing interventions, in three countries that reacted relatively early during the course of the pandemic. Our ﬁndings suggest that these interventions were eﬀective at reducing the mortality rate of COVID-19, especially when enacted early.","container-title":"SSRN Electronic Journal","DOI":"10.2139/ssrn.3649953","ISSN":"1556-5068","journalAbbreviation":"SSRN Journal","language":"en","source":"DOI.org (Crossref)","title":"The Effectiveness of School Closures and Other Pre-Lockdown COVID-19 Mitigation Strategies in Argentina, Italy, and South Korea","URL":"https://www.ssrn.com/abstract=3649953","author":[{"family":"Neidhöfer","given":"Guido"},{"family":"Neidhöfer","given":"Claudio"}],"accessed":{"date-parts":[["2021",8,17]]},"issued":{"date-parts":[["2020",7,3]]}}}],"schema":"https://github.com/citation-style-language/schema/raw/master/csl-citation.json"} </w:instrText>
      </w:r>
      <w:r w:rsidRPr="004D3031">
        <w:rPr>
          <w:lang w:val="en-US"/>
        </w:rPr>
        <w:fldChar w:fldCharType="separate"/>
      </w:r>
      <w:r w:rsidR="00BE2E7B" w:rsidRPr="00BE2E7B">
        <w:rPr>
          <w:rFonts w:cs="Calibri"/>
        </w:rPr>
        <w:t>Neidhöfer and Neidhöfer (2020)</w:t>
      </w:r>
      <w:r w:rsidRPr="004D3031">
        <w:rPr>
          <w:lang w:val="en-US"/>
        </w:rPr>
        <w:fldChar w:fldCharType="end"/>
      </w:r>
    </w:p>
    <w:p w14:paraId="67473B21" w14:textId="326C26AA" w:rsidR="0065098B" w:rsidRPr="004D3031" w:rsidRDefault="0065098B" w:rsidP="0065098B">
      <w:pPr>
        <w:pStyle w:val="ListParagraph"/>
        <w:numPr>
          <w:ilvl w:val="0"/>
          <w:numId w:val="25"/>
        </w:numPr>
        <w:rPr>
          <w:lang w:val="en-US"/>
        </w:rPr>
      </w:pPr>
      <w:r w:rsidRPr="004D3031">
        <w:rPr>
          <w:lang w:val="en-US"/>
        </w:rPr>
        <w:fldChar w:fldCharType="begin"/>
      </w:r>
      <w:r w:rsidR="00BE2E7B">
        <w:rPr>
          <w:lang w:val="en-US"/>
        </w:rPr>
        <w:instrText xml:space="preserve"> ADDIN ZOTERO_ITEM CSL_CITATION {"citationID":"YaTYBRCz","properties":{"formattedCitation":"Reinbold (2021)","plainCitation":"Reinbold (2021)","noteIndex":0},"citationItems":[{"id":3721,"uris":["http://zotero.org/groups/2170464/items/HLDHP4ZB"],"itemData":{"id":3721,"type":"article-journal","abstract":"&lt;h3&gt;Background&lt;/h3&gt;&lt;p&gt;One of the most difficult public policy decisions associated with the COVID-19 pandemic has been about how to offer K-12 instruction. We sought to determine whether differences in instruction types at the beginning of the 2020-2021 school year were related to differences in COVID-19 cases, hospitalizations, and deaths in Illinois counties during the first 3 weeks of the school year.&lt;/p&gt;&lt;h3&gt;Methods&lt;/h3&gt;&lt;p&gt;We divided Illinois counties into 3 groups based on the instruction type used for a majority of K-12 students at the start of the school year: in-person, hybrid, or online-only. We used synthetic control analysis to match counties between the 3 groups.&lt;/p&gt;&lt;h3&gt;Results&lt;/h3&gt;&lt;p&gt;Both majority hybrid and majority online-only counties had significantly fewer new cases than majority in-person counties. There were no significant differences in new cases between majority hybrid counties and majority online-only counties or in new hospital admissions or deaths between any of the 3 county groups.&lt;/p&gt;&lt;h3&gt;Conclusions&lt;/h3&gt;&lt;p&gt;This paper adds to the growing scientific consensus that at least some forms of in-person K-12 instruction have not contributed significantly to the spread of the pandemic. However, our results suggest that there may be an important difference between fully in-person instruction and hybrid instruction.&lt;/p&gt;","container-title":"American Journal of Infection Control","DOI":"10.1016/j.ajic.2021.05.011","ISSN":"0196-6553, 1527-3296","issue":"0","journalAbbreviation":"American Journal of Infection Control","language":"English","note":"publisher: Elsevier\nPMID: 34052313","source":"www.ajicjournal.org","title":"Effect of Fall 2020 K-12 instruction types on COVID-19 cases, hospital admissions, and deaths in Illinois counties","URL":"https://www.ajicjournal.org/article/S0196-6553(21)00380-1/abstract","volume":"0","author":[{"family":"Reinbold","given":"Gary W."}],"accessed":{"date-parts":[["2021",8,17]]},"issued":{"date-parts":[["2021",5,27]]}}}],"schema":"https://github.com/citation-style-language/schema/raw/master/csl-citation.json"} </w:instrText>
      </w:r>
      <w:r w:rsidRPr="004D3031">
        <w:rPr>
          <w:lang w:val="en-US"/>
        </w:rPr>
        <w:fldChar w:fldCharType="separate"/>
      </w:r>
      <w:r w:rsidR="00BE2E7B" w:rsidRPr="00BE2E7B">
        <w:rPr>
          <w:rFonts w:cs="Calibri"/>
        </w:rPr>
        <w:t>Reinbold (2021)</w:t>
      </w:r>
      <w:r w:rsidRPr="004D3031">
        <w:rPr>
          <w:lang w:val="en-US"/>
        </w:rPr>
        <w:fldChar w:fldCharType="end"/>
      </w:r>
    </w:p>
    <w:p w14:paraId="32B44A1D" w14:textId="77777777" w:rsidR="0065098B" w:rsidRPr="004D3031" w:rsidRDefault="0065098B" w:rsidP="00830330">
      <w:pPr>
        <w:pStyle w:val="Heading3"/>
        <w:rPr>
          <w:lang w:val="en-US"/>
        </w:rPr>
      </w:pPr>
      <w:bookmarkStart w:id="22" w:name="_Toc124683295"/>
      <w:bookmarkEnd w:id="20"/>
      <w:r w:rsidRPr="004D3031">
        <w:rPr>
          <w:lang w:val="en-US"/>
        </w:rPr>
        <w:lastRenderedPageBreak/>
        <w:t>Geographical coverage of the 10 studies</w:t>
      </w:r>
      <w:bookmarkEnd w:id="22"/>
    </w:p>
    <w:p w14:paraId="498C0E4E" w14:textId="2E3B52B4" w:rsidR="0065098B" w:rsidRPr="004D3031" w:rsidRDefault="0065098B" w:rsidP="0065098B">
      <w:pPr>
        <w:rPr>
          <w:lang w:val="en-US"/>
        </w:rPr>
      </w:pPr>
      <w:r w:rsidRPr="004D3031">
        <w:rPr>
          <w:lang w:val="en-US"/>
        </w:rPr>
        <w:t xml:space="preserve">Nine of the 10 above-mentioned studies cover 13 jurisdictions in total; whereas, </w:t>
      </w:r>
      <w:r w:rsidRPr="004D3031">
        <w:rPr>
          <w:rFonts w:cs="Calibri"/>
          <w:lang w:val="en-US"/>
        </w:rPr>
        <w:fldChar w:fldCharType="begin"/>
      </w:r>
      <w:r w:rsidR="00BE2E7B">
        <w:rPr>
          <w:rFonts w:cs="Calibri"/>
          <w:lang w:val="en-US"/>
        </w:rPr>
        <w:instrText xml:space="preserve"> ADDIN ZOTERO_ITEM CSL_CITATION {"citationID":"Ukuld1q6","properties":{"formattedCitation":"Mader and R\\uc0\\u252{}ttenauer (2021)","plainCitation":"Mader and Rüttenauer (2021)","noteIndex":0},"citationItems":[{"id":3685,"uris":["http://zotero.org/groups/2170464/items/77UUP223"],"itemData":{"id":3685,"type":"report","abstract":"Background: Most governments have introduced various non-pharmaceutical interventions (NPIs) in response to the pandemic outbreak of Coronavirus disease (COVID-19) since early 2020. While NPIs aim at avoiding fatalities related to COVID-19, the previous literature on their efficacy has focused on infections and on data of the first half of 2020. Still, findings of early NPI studies may be subject to underreporting and missing timeliness of reporting of cases. Moreover, the low variation in treatment timing during the first wave makes identification of robust treatment effects difficult.\n\nMethods: To circumvent problems of reporting and treatment variation, we analyse data on daily confirmed COVID-19-related deaths per capita from Our World in Data, and on 10 different NPIs from the Oxford COVID-19 Government Response Tracker for 169 countries from 1st July 2020 to 31st May 2021. To identify the causal effects of introducing NPIs on COVID-19-related confirmed fatalities per capita, we apply the generalized synthetic control (GSC) method to each NPI, while controlling for the remaining NPIs, weather conditions, vaccinations, and NPI-residualized COVID-19 cases.\n\nFindings: We do not find substantial and consistent mitigating effects of any NPI under investigation on COVID-19-related deaths per capita. We see a tentative change in the trend of COVID-19-related deaths around 30 days after workplace closing, public transport closing, and stay at home rules have been implemented, but none of them exerts a statistically significant effect.\n\nInterpretation: The study enhances the literature on the effectivity of NPIs with respect to the time frame, the number of countries, and the analytical approach. The results provide further guidance to judge the proportionality of NPIs.","note":"DOI: 10.31235/osf.io/v2ef8\ntype: article","publisher":"SocArXiv","source":"OSF Preprints","title":"The effects of non-pharmaceutical interventions on COVID-19-related mortality: A generalized synthetic control approach across 169 countries","title-short":"The effects of non-pharmaceutical interventions on COVID-19-related mortality","URL":"https://osf.io/preprints/socarxiv/v2ef8/","author":[{"family":"Mader","given":"Sebastian"},{"family":"Rüttenauer","given":"Tobias"}],"accessed":{"date-parts":[["2021",8,18]]},"issued":{"date-parts":[["2021",6,11]]}}}],"schema":"https://github.com/citation-style-language/schema/raw/master/csl-citation.json"} </w:instrText>
      </w:r>
      <w:r w:rsidRPr="004D3031">
        <w:rPr>
          <w:rFonts w:cs="Calibri"/>
          <w:lang w:val="en-US"/>
        </w:rPr>
        <w:fldChar w:fldCharType="separate"/>
      </w:r>
      <w:r w:rsidR="00BE2E7B" w:rsidRPr="00BE2E7B">
        <w:rPr>
          <w:rFonts w:cs="Calibri"/>
          <w:lang w:val="en-US"/>
        </w:rPr>
        <w:t>Mader and Rüttenauer (2021)</w:t>
      </w:r>
      <w:r w:rsidRPr="004D3031">
        <w:rPr>
          <w:rFonts w:cs="Calibri"/>
          <w:lang w:val="en-US"/>
        </w:rPr>
        <w:fldChar w:fldCharType="end"/>
      </w:r>
      <w:r w:rsidRPr="004D3031">
        <w:rPr>
          <w:lang w:val="en-US"/>
        </w:rPr>
        <w:t xml:space="preserve"> use the Generalized Synthetic Control Method (GSCM) and cover 169 Countries.</w:t>
      </w:r>
    </w:p>
    <w:p w14:paraId="1D0DA306" w14:textId="432DACC6" w:rsidR="0065098B" w:rsidRPr="004D3031" w:rsidRDefault="0065098B" w:rsidP="0065098B">
      <w:pPr>
        <w:rPr>
          <w:lang w:val="en-US"/>
        </w:rPr>
      </w:pPr>
      <w:r w:rsidRPr="004D3031">
        <w:rPr>
          <w:lang w:val="en-US"/>
        </w:rPr>
        <w:t xml:space="preserve">Seven of the 13 </w:t>
      </w:r>
      <w:bookmarkStart w:id="23" w:name="_Hlk122206577"/>
      <w:r w:rsidRPr="004D3031">
        <w:rPr>
          <w:lang w:val="en-US"/>
        </w:rPr>
        <w:t xml:space="preserve">jurisdictions </w:t>
      </w:r>
      <w:bookmarkEnd w:id="23"/>
      <w:r w:rsidRPr="004D3031">
        <w:rPr>
          <w:lang w:val="en-US"/>
        </w:rPr>
        <w:t xml:space="preserve">examined in the nine studies are </w:t>
      </w:r>
      <w:bookmarkStart w:id="24" w:name="_Hlk122213704"/>
      <w:r w:rsidRPr="004D3031">
        <w:rPr>
          <w:lang w:val="en-US"/>
        </w:rPr>
        <w:t>special areas with many COVID-19 deaths during the first wave s</w:t>
      </w:r>
      <w:bookmarkEnd w:id="24"/>
      <w:r w:rsidRPr="004D3031">
        <w:rPr>
          <w:lang w:val="en-US"/>
        </w:rPr>
        <w:t>uch as Sweden (three studies), Italy (three studies), and New York (one study). Two cover Delhi and South Korea and are not relevant given our protocol limiting our research to studies including “at least one EU-country, the United States or one US state or Latin America, and where at least one country/state is not an island</w:t>
      </w:r>
      <w:r w:rsidR="00D83D5C" w:rsidRPr="004D3031">
        <w:rPr>
          <w:lang w:val="en-US"/>
        </w:rPr>
        <w:t>.</w:t>
      </w:r>
      <w:r w:rsidRPr="004D3031">
        <w:rPr>
          <w:lang w:val="en-US"/>
        </w:rPr>
        <w:t>”</w:t>
      </w:r>
      <w:r w:rsidRPr="004D3031">
        <w:rPr>
          <w:rStyle w:val="FootnoteReference"/>
          <w:lang w:val="en-US"/>
        </w:rPr>
        <w:footnoteReference w:id="5"/>
      </w:r>
      <w:r w:rsidRPr="004D3031">
        <w:rPr>
          <w:lang w:val="en-US"/>
        </w:rPr>
        <w:t xml:space="preserve"> The last four jurisdictions covered by the above-mentioned studies are </w:t>
      </w:r>
      <w:r w:rsidR="00D83D5C" w:rsidRPr="004D3031">
        <w:rPr>
          <w:lang w:val="en-US"/>
        </w:rPr>
        <w:t xml:space="preserve">Argentina, </w:t>
      </w:r>
      <w:r w:rsidRPr="004D3031">
        <w:rPr>
          <w:lang w:val="en-US"/>
        </w:rPr>
        <w:t xml:space="preserve">Illinois, California, and Wisconsin. </w:t>
      </w:r>
    </w:p>
    <w:p w14:paraId="2F33EB1B" w14:textId="77777777" w:rsidR="0065098B" w:rsidRPr="004D3031" w:rsidRDefault="0065098B" w:rsidP="0065098B">
      <w:pPr>
        <w:rPr>
          <w:lang w:val="en-US"/>
        </w:rPr>
      </w:pPr>
      <w:proofErr w:type="gramStart"/>
      <w:r w:rsidRPr="004D3031">
        <w:rPr>
          <w:lang w:val="en-US"/>
        </w:rPr>
        <w:t>It is clear that the</w:t>
      </w:r>
      <w:proofErr w:type="gramEnd"/>
      <w:r w:rsidRPr="004D3031">
        <w:rPr>
          <w:lang w:val="en-US"/>
        </w:rPr>
        <w:t xml:space="preserve"> variation in these studies is limited. Hence, the full set of estimates are possibly biased, if, for example, Sweden, Italy, and New York are special cases with unobserved confounders. And as we will discuss below, this is likely the case.</w:t>
      </w:r>
    </w:p>
    <w:p w14:paraId="75CF410C" w14:textId="0C7318EF" w:rsidR="0065098B" w:rsidRPr="004D3031" w:rsidRDefault="0065098B" w:rsidP="0065098B">
      <w:pPr>
        <w:rPr>
          <w:lang w:val="en-US"/>
        </w:rPr>
      </w:pPr>
      <w:r w:rsidRPr="004D3031">
        <w:rPr>
          <w:lang w:val="en-US"/>
        </w:rPr>
        <w:fldChar w:fldCharType="begin"/>
      </w:r>
      <w:r w:rsidRPr="004D3031">
        <w:rPr>
          <w:lang w:val="en-US"/>
        </w:rPr>
        <w:instrText xml:space="preserve"> REF _Ref121922843 \h </w:instrText>
      </w:r>
      <w:r w:rsidRPr="004D3031">
        <w:rPr>
          <w:lang w:val="en-US"/>
        </w:rPr>
      </w:r>
      <w:r w:rsidRPr="004D3031">
        <w:rPr>
          <w:lang w:val="en-US"/>
        </w:rPr>
        <w:fldChar w:fldCharType="separate"/>
      </w:r>
      <w:r w:rsidR="0041377D" w:rsidRPr="004D3031">
        <w:rPr>
          <w:lang w:val="en-US"/>
        </w:rPr>
        <w:t xml:space="preserve">Figure </w:t>
      </w:r>
      <w:r w:rsidR="0041377D" w:rsidRPr="004D3031">
        <w:rPr>
          <w:noProof/>
          <w:lang w:val="en-US"/>
        </w:rPr>
        <w:t>1</w:t>
      </w:r>
      <w:r w:rsidRPr="004D3031">
        <w:rPr>
          <w:lang w:val="en-US"/>
        </w:rPr>
        <w:fldChar w:fldCharType="end"/>
      </w:r>
      <w:r w:rsidRPr="004D3031">
        <w:rPr>
          <w:lang w:val="en-US"/>
        </w:rPr>
        <w:t xml:space="preserve"> shows the total number of COVID-19 deaths per million during the 1</w:t>
      </w:r>
      <w:r w:rsidRPr="004D3031">
        <w:rPr>
          <w:vertAlign w:val="superscript"/>
          <w:lang w:val="en-US"/>
        </w:rPr>
        <w:t>st</w:t>
      </w:r>
      <w:r w:rsidRPr="004D3031">
        <w:rPr>
          <w:lang w:val="en-US"/>
        </w:rPr>
        <w:t xml:space="preserve"> wave (Y-axis) and the date each jurisdiction reached 20 COVID-19 deaths per million. The vertical lines mark three weeks after school closures (“all levels</w:t>
      </w:r>
      <w:r w:rsidR="007F202F" w:rsidRPr="004D3031">
        <w:rPr>
          <w:lang w:val="en-US"/>
        </w:rPr>
        <w:t>,</w:t>
      </w:r>
      <w:r w:rsidRPr="004D3031">
        <w:rPr>
          <w:lang w:val="en-US"/>
        </w:rPr>
        <w:t xml:space="preserve">” cf. </w:t>
      </w:r>
      <w:r w:rsidRPr="004D3031">
        <w:rPr>
          <w:lang w:val="en-US"/>
        </w:rPr>
        <w:fldChar w:fldCharType="begin"/>
      </w:r>
      <w:r w:rsidR="00BE2E7B">
        <w:rPr>
          <w:lang w:val="en-US"/>
        </w:rPr>
        <w:instrText xml:space="preserve"> ADDIN ZOTERO_ITEM CSL_CITATION {"citationID":"qyQeAC76","properties":{"formattedCitation":"Hale et al. (2020)","plainCitation":"Hale et al. (2020)","noteIndex":0},"citationItems":[{"id":4445,"uris":["http://zotero.org/groups/2170464/items/NAYYUH69"],"itemData":{"id":4445,"type":"article-journal","container-title":"BSG Working Paper Series","title":"Variation in government responses to COVID-19 (Version 10.0)","URL":"https://www.bsg.ox.ac.uk/sites/default/files/2020-12/BSG-WP-2020-032-v10.pdf","author":[{"family":"Hale","given":"Thomas"},{"family":"Angrist","given":"Noam"},{"family":"Boby","given":"Thomas"},{"family":"Cameron-Blake","given":"Emily"},{"family":"Hallas","given":"Laura"},{"family":"Kira","given":"Beatriz"},{"family":"Majumdar","given":"Saptarshi"},{"family":"Petherick","given":"Anna"},{"family":"Phillips","given":"Toby"},{"family":"Tatlow","given":"Helen"},{"family":"Webster","given":"Samuel"}],"accessed":{"date-parts":[["2022",12,17]]},"issued":{"date-parts":[["2020",12]]}}}],"schema":"https://github.com/citation-style-language/schema/raw/master/csl-citation.json"} </w:instrText>
      </w:r>
      <w:r w:rsidRPr="004D3031">
        <w:rPr>
          <w:lang w:val="en-US"/>
        </w:rPr>
        <w:fldChar w:fldCharType="separate"/>
      </w:r>
      <w:r w:rsidR="00BE2E7B" w:rsidRPr="00BE2E7B">
        <w:rPr>
          <w:rFonts w:cs="Calibri"/>
          <w:lang w:val="en-US"/>
        </w:rPr>
        <w:t>Hale et al. (2020)</w:t>
      </w:r>
      <w:r w:rsidRPr="004D3031">
        <w:rPr>
          <w:lang w:val="en-US"/>
        </w:rPr>
        <w:fldChar w:fldCharType="end"/>
      </w:r>
      <w:r w:rsidRPr="004D3031">
        <w:rPr>
          <w:lang w:val="en-US"/>
        </w:rPr>
        <w:t>)</w:t>
      </w:r>
      <w:r w:rsidRPr="004D3031">
        <w:rPr>
          <w:rStyle w:val="FootnoteReference"/>
          <w:lang w:val="en-US"/>
        </w:rPr>
        <w:footnoteReference w:id="6"/>
      </w:r>
      <w:r w:rsidRPr="004D3031">
        <w:rPr>
          <w:lang w:val="en-US"/>
        </w:rPr>
        <w:t xml:space="preserve"> which was typically the first NPI implemented by governments. Since, on average, it takes approximately three to four weeks from infection to death</w:t>
      </w:r>
      <w:r w:rsidR="007F202F" w:rsidRPr="004D3031">
        <w:rPr>
          <w:lang w:val="en-US"/>
        </w:rPr>
        <w:t>,</w:t>
      </w:r>
      <w:r w:rsidRPr="004D3031">
        <w:rPr>
          <w:rStyle w:val="FootnoteReference"/>
          <w:lang w:val="en-US"/>
        </w:rPr>
        <w:footnoteReference w:id="7"/>
      </w:r>
      <w:r w:rsidRPr="004D3031">
        <w:rPr>
          <w:lang w:val="en-US"/>
        </w:rPr>
        <w:t xml:space="preserve"> and since virtually all jurisdictions closed schools at the same time</w:t>
      </w:r>
      <w:r w:rsidR="007F202F" w:rsidRPr="004D3031">
        <w:rPr>
          <w:lang w:val="en-US"/>
        </w:rPr>
        <w:t>,</w:t>
      </w:r>
      <w:r w:rsidRPr="004D3031">
        <w:rPr>
          <w:rStyle w:val="FootnoteReference"/>
          <w:lang w:val="en-US"/>
        </w:rPr>
        <w:footnoteReference w:id="8"/>
      </w:r>
      <w:r w:rsidRPr="004D3031">
        <w:rPr>
          <w:lang w:val="en-US"/>
        </w:rPr>
        <w:t xml:space="preserve"> </w:t>
      </w:r>
      <w:r w:rsidRPr="004D3031">
        <w:rPr>
          <w:lang w:val="en-US"/>
        </w:rPr>
        <w:fldChar w:fldCharType="begin"/>
      </w:r>
      <w:r w:rsidRPr="004D3031">
        <w:rPr>
          <w:lang w:val="en-US"/>
        </w:rPr>
        <w:instrText xml:space="preserve"> REF _Ref121922843 \h </w:instrText>
      </w:r>
      <w:r w:rsidRPr="004D3031">
        <w:rPr>
          <w:lang w:val="en-US"/>
        </w:rPr>
      </w:r>
      <w:r w:rsidRPr="004D3031">
        <w:rPr>
          <w:lang w:val="en-US"/>
        </w:rPr>
        <w:fldChar w:fldCharType="separate"/>
      </w:r>
      <w:r w:rsidR="0041377D" w:rsidRPr="004D3031">
        <w:rPr>
          <w:lang w:val="en-US"/>
        </w:rPr>
        <w:t xml:space="preserve">Figure </w:t>
      </w:r>
      <w:r w:rsidR="0041377D" w:rsidRPr="004D3031">
        <w:rPr>
          <w:noProof/>
          <w:lang w:val="en-US"/>
        </w:rPr>
        <w:t>1</w:t>
      </w:r>
      <w:r w:rsidRPr="004D3031">
        <w:rPr>
          <w:lang w:val="en-US"/>
        </w:rPr>
        <w:fldChar w:fldCharType="end"/>
      </w:r>
      <w:r w:rsidRPr="004D3031">
        <w:rPr>
          <w:lang w:val="en-US"/>
        </w:rPr>
        <w:t xml:space="preserve"> illustrates that some jurisdictions that were initially hit early and hard by the pandemic, encountered much higher death tolls than in those locations in which populations had fair warning of an impending pandemic.   </w:t>
      </w:r>
    </w:p>
    <w:p w14:paraId="2AFF6C30" w14:textId="77777777" w:rsidR="0065098B" w:rsidRPr="004D3031" w:rsidRDefault="0065098B" w:rsidP="0065098B">
      <w:pPr>
        <w:rPr>
          <w:lang w:val="en-US"/>
        </w:rPr>
      </w:pPr>
      <w:r w:rsidRPr="004D3031">
        <w:rPr>
          <w:lang w:val="en-US"/>
        </w:rPr>
        <w:t>Since the counterfactuals in the SCM studies are typically estimated based on case numbers in a short period before lockdowns, there is a potential risk that the seven estimates based on Italy, Sweden, and New York do not illustrate the effect of lockdowns but simply the effect of being among the first jurisdictions to be hit by the pandemic.</w:t>
      </w:r>
    </w:p>
    <w:p w14:paraId="23E6269C" w14:textId="0BE29A8F" w:rsidR="0065098B" w:rsidRPr="004D3031" w:rsidRDefault="0065098B" w:rsidP="0065098B">
      <w:pPr>
        <w:pStyle w:val="Caption"/>
      </w:pPr>
      <w:bookmarkStart w:id="25" w:name="_Ref121922843"/>
      <w:bookmarkStart w:id="26" w:name="_Ref122337341"/>
      <w:bookmarkStart w:id="27" w:name="_Toc125059415"/>
      <w:r w:rsidRPr="004D3031">
        <w:lastRenderedPageBreak/>
        <w:t xml:space="preserve">Figure </w:t>
      </w:r>
      <w:r w:rsidRPr="004D3031">
        <w:fldChar w:fldCharType="begin"/>
      </w:r>
      <w:r w:rsidRPr="004D3031">
        <w:instrText xml:space="preserve"> SEQ Figure \* ARABIC </w:instrText>
      </w:r>
      <w:r w:rsidRPr="004D3031">
        <w:fldChar w:fldCharType="separate"/>
      </w:r>
      <w:r w:rsidR="0041377D" w:rsidRPr="004D3031">
        <w:rPr>
          <w:noProof/>
        </w:rPr>
        <w:t>1</w:t>
      </w:r>
      <w:r w:rsidRPr="004D3031">
        <w:rPr>
          <w:noProof/>
        </w:rPr>
        <w:fldChar w:fldCharType="end"/>
      </w:r>
      <w:bookmarkEnd w:id="25"/>
      <w:r w:rsidRPr="004D3031">
        <w:t xml:space="preserve"> </w:t>
      </w:r>
      <w:bookmarkEnd w:id="26"/>
      <w:r w:rsidRPr="004D3031">
        <w:t>Many SCM studies cover European countries and U.S. states that were hit early and hard by the pandemic</w:t>
      </w:r>
      <w:bookmarkEnd w:id="27"/>
    </w:p>
    <w:p w14:paraId="4F63F8DA" w14:textId="2DBCF485" w:rsidR="0065098B" w:rsidRPr="004D3031" w:rsidRDefault="003F6271" w:rsidP="0065098B">
      <w:pPr>
        <w:pStyle w:val="Tabeltekst"/>
        <w:rPr>
          <w:lang w:val="en-US"/>
        </w:rPr>
      </w:pPr>
      <w:r w:rsidRPr="004D3031">
        <w:rPr>
          <w:noProof/>
          <w:lang w:val="en-US"/>
        </w:rPr>
        <w:drawing>
          <wp:inline distT="0" distB="0" distL="0" distR="0" wp14:anchorId="5FF4A52C" wp14:editId="5FCF45FD">
            <wp:extent cx="5590540" cy="2536190"/>
            <wp:effectExtent l="0" t="0" r="0" b="0"/>
            <wp:docPr id="8603559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590540" cy="2536190"/>
                    </a:xfrm>
                    <a:prstGeom prst="rect">
                      <a:avLst/>
                    </a:prstGeom>
                    <a:noFill/>
                  </pic:spPr>
                </pic:pic>
              </a:graphicData>
            </a:graphic>
          </wp:inline>
        </w:drawing>
      </w:r>
    </w:p>
    <w:p w14:paraId="494E964A" w14:textId="0431D06A" w:rsidR="0065098B" w:rsidRPr="004D3031" w:rsidRDefault="0065098B" w:rsidP="00D97497">
      <w:pPr>
        <w:pStyle w:val="Undertekstfigur"/>
        <w:rPr>
          <w:rStyle w:val="Emphasis"/>
          <w:i/>
          <w:iCs w:val="0"/>
        </w:rPr>
      </w:pPr>
      <w:r w:rsidRPr="004D3031">
        <w:rPr>
          <w:rStyle w:val="Emphasis"/>
          <w:i/>
          <w:iCs w:val="0"/>
        </w:rPr>
        <w:t xml:space="preserve">Note: The figure </w:t>
      </w:r>
      <w:r w:rsidR="003A50F9" w:rsidRPr="004D3031">
        <w:rPr>
          <w:rStyle w:val="Emphasis"/>
          <w:i/>
          <w:iCs w:val="0"/>
        </w:rPr>
        <w:t xml:space="preserve">illustrates </w:t>
      </w:r>
      <w:r w:rsidRPr="004D3031">
        <w:rPr>
          <w:rStyle w:val="Emphasis"/>
          <w:i/>
          <w:iCs w:val="0"/>
        </w:rPr>
        <w:t xml:space="preserve">the relationship between early pandemic strength and total 1st wave of COVID-19 mortality. On the X-axis is “Days to reach 20 COVID-19-deaths per million (measured from February 15, 2020).” The Y-axis shows mortality (deaths per million) by June 30, 2020. Countries and states covered by the excluded </w:t>
      </w:r>
      <w:r w:rsidRPr="004D3031">
        <w:t>SCM studies are marked with red.</w:t>
      </w:r>
    </w:p>
    <w:p w14:paraId="66E87F94" w14:textId="0D2A3EE8" w:rsidR="0065098B" w:rsidRPr="004D3031" w:rsidRDefault="0065098B" w:rsidP="00D97497">
      <w:pPr>
        <w:pStyle w:val="Undertekstfigur"/>
      </w:pPr>
      <w:r w:rsidRPr="004D3031">
        <w:rPr>
          <w:rStyle w:val="Emphasis"/>
          <w:i/>
          <w:iCs w:val="0"/>
        </w:rPr>
        <w:t xml:space="preserve">Source: Reported COVID-19 deaths and </w:t>
      </w:r>
      <w:r w:rsidRPr="004D3031">
        <w:t xml:space="preserve">OxCGRT </w:t>
      </w:r>
      <w:r w:rsidRPr="004D3031">
        <w:rPr>
          <w:rStyle w:val="Emphasis"/>
          <w:i/>
          <w:iCs w:val="0"/>
        </w:rPr>
        <w:t xml:space="preserve">stringency for European countries and US states with more than one million citizens. Data from </w:t>
      </w:r>
      <w:r w:rsidRPr="004D3031">
        <w:rPr>
          <w:rStyle w:val="Emphasis"/>
          <w:i/>
          <w:iCs w:val="0"/>
        </w:rPr>
        <w:fldChar w:fldCharType="begin"/>
      </w:r>
      <w:r w:rsidR="00BE2E7B">
        <w:rPr>
          <w:rStyle w:val="Emphasis"/>
          <w:i/>
          <w:iCs w:val="0"/>
        </w:rPr>
        <w:instrText xml:space="preserve"> ADDIN ZOTERO_ITEM CSL_CITATION {"citationID":"JCfCd779","properties":{"formattedCitation":"Our World in Data (2022)","plainCitation":"Our World in Data (2022)","noteIndex":0},"citationItems":[{"id":4176,"uris":["http://zotero.org/groups/2170464/items/DRP6KTIY"],"itemData":{"id":4176,"type":"webpage","abstract":"Research and data to make progress against the world’s largest problems","container-title":"Our World in Data","title":"COVID-19 Data Explorer","URL":"https://ourworldindata.org/coronavirus-data-explorer","author":[{"literal":"Our World in Data"}],"accessed":{"date-parts":[["2022",4,7]]},"issued":{"date-parts":[["2022"]]}}}],"schema":"https://github.com/citation-style-language/schema/raw/master/csl-citation.json"} </w:instrText>
      </w:r>
      <w:r w:rsidRPr="004D3031">
        <w:rPr>
          <w:rStyle w:val="Emphasis"/>
          <w:i/>
          <w:iCs w:val="0"/>
        </w:rPr>
        <w:fldChar w:fldCharType="separate"/>
      </w:r>
      <w:r w:rsidR="00BE2E7B" w:rsidRPr="00BE2E7B">
        <w:rPr>
          <w:rFonts w:cs="Calibri"/>
        </w:rPr>
        <w:t>Our World in Data (2022)</w:t>
      </w:r>
      <w:r w:rsidRPr="004D3031">
        <w:rPr>
          <w:rStyle w:val="Emphasis"/>
          <w:i/>
          <w:iCs w:val="0"/>
        </w:rPr>
        <w:fldChar w:fldCharType="end"/>
      </w:r>
      <w:r w:rsidRPr="004D3031">
        <w:rPr>
          <w:rStyle w:val="Emphasis"/>
          <w:i/>
          <w:iCs w:val="0"/>
        </w:rPr>
        <w:t>.</w:t>
      </w:r>
    </w:p>
    <w:p w14:paraId="41062EA0" w14:textId="22C9B648" w:rsidR="0065098B" w:rsidRPr="004D3031" w:rsidRDefault="0065098B" w:rsidP="0065098B">
      <w:pPr>
        <w:rPr>
          <w:lang w:val="en-US"/>
        </w:rPr>
      </w:pPr>
      <w:r w:rsidRPr="004D3031">
        <w:rPr>
          <w:lang w:val="en-US"/>
        </w:rPr>
        <w:t>Based on the above, it should be clear that the seven studies do not reflect “sufficient variation.” Rather, they are examinations of special cases in which the very short pre-intervention window is an important limitation of the SCM.</w:t>
      </w:r>
    </w:p>
    <w:p w14:paraId="2537914F" w14:textId="501757C0" w:rsidR="0065098B" w:rsidRPr="004D3031" w:rsidRDefault="0065098B" w:rsidP="0065098B">
      <w:pPr>
        <w:rPr>
          <w:lang w:val="en-US"/>
        </w:rPr>
      </w:pPr>
      <w:r w:rsidRPr="004D3031">
        <w:rPr>
          <w:lang w:val="en-US"/>
        </w:rPr>
        <w:t xml:space="preserve">Next, we examine the remaining four studies and the GSCM-study by </w:t>
      </w:r>
      <w:r w:rsidRPr="004D3031">
        <w:rPr>
          <w:rFonts w:cs="Calibri"/>
          <w:lang w:val="en-US"/>
        </w:rPr>
        <w:fldChar w:fldCharType="begin"/>
      </w:r>
      <w:r w:rsidR="00BE2E7B">
        <w:rPr>
          <w:rFonts w:cs="Calibri"/>
          <w:lang w:val="en-US"/>
        </w:rPr>
        <w:instrText xml:space="preserve"> ADDIN ZOTERO_ITEM CSL_CITATION {"citationID":"wZbYFRvC","properties":{"formattedCitation":"Mader and R\\uc0\\u252{}ttenauer (2021)","plainCitation":"Mader and Rüttenauer (2021)","noteIndex":0},"citationItems":[{"id":3685,"uris":["http://zotero.org/groups/2170464/items/77UUP223"],"itemData":{"id":3685,"type":"report","abstract":"Background: Most governments have introduced various non-pharmaceutical interventions (NPIs) in response to the pandemic outbreak of Coronavirus disease (COVID-19) since early 2020. While NPIs aim at avoiding fatalities related to COVID-19, the previous literature on their efficacy has focused on infections and on data of the first half of 2020. Still, findings of early NPI studies may be subject to underreporting and missing timeliness of reporting of cases. Moreover, the low variation in treatment timing during the first wave makes identification of robust treatment effects difficult.\n\nMethods: To circumvent problems of reporting and treatment variation, we analyse data on daily confirmed COVID-19-related deaths per capita from Our World in Data, and on 10 different NPIs from the Oxford COVID-19 Government Response Tracker for 169 countries from 1st July 2020 to 31st May 2021. To identify the causal effects of introducing NPIs on COVID-19-related confirmed fatalities per capita, we apply the generalized synthetic control (GSC) method to each NPI, while controlling for the remaining NPIs, weather conditions, vaccinations, and NPI-residualized COVID-19 cases.\n\nFindings: We do not find substantial and consistent mitigating effects of any NPI under investigation on COVID-19-related deaths per capita. We see a tentative change in the trend of COVID-19-related deaths around 30 days after workplace closing, public transport closing, and stay at home rules have been implemented, but none of them exerts a statistically significant effect.\n\nInterpretation: The study enhances the literature on the effectivity of NPIs with respect to the time frame, the number of countries, and the analytical approach. The results provide further guidance to judge the proportionality of NPIs.","note":"DOI: 10.31235/osf.io/v2ef8\ntype: article","publisher":"SocArXiv","source":"OSF Preprints","title":"The effects of non-pharmaceutical interventions on COVID-19-related mortality: A generalized synthetic control approach across 169 countries","title-short":"The effects of non-pharmaceutical interventions on COVID-19-related mortality","URL":"https://osf.io/preprints/socarxiv/v2ef8/","author":[{"family":"Mader","given":"Sebastian"},{"family":"Rüttenauer","given":"Tobias"}],"accessed":{"date-parts":[["2021",8,18]]},"issued":{"date-parts":[["2021",6,11]]}}}],"schema":"https://github.com/citation-style-language/schema/raw/master/csl-citation.json"} </w:instrText>
      </w:r>
      <w:r w:rsidRPr="004D3031">
        <w:rPr>
          <w:rFonts w:cs="Calibri"/>
          <w:lang w:val="en-US"/>
        </w:rPr>
        <w:fldChar w:fldCharType="separate"/>
      </w:r>
      <w:r w:rsidR="00BE2E7B" w:rsidRPr="00BE2E7B">
        <w:rPr>
          <w:rFonts w:cs="Calibri"/>
          <w:lang w:val="en-US"/>
        </w:rPr>
        <w:t>Mader and Rüttenauer (2021)</w:t>
      </w:r>
      <w:r w:rsidRPr="004D3031">
        <w:rPr>
          <w:rFonts w:cs="Calibri"/>
          <w:lang w:val="en-US"/>
        </w:rPr>
        <w:fldChar w:fldCharType="end"/>
      </w:r>
      <w:r w:rsidRPr="004D3031">
        <w:rPr>
          <w:lang w:val="en-US"/>
        </w:rPr>
        <w:t>.</w:t>
      </w:r>
    </w:p>
    <w:p w14:paraId="5FCE4DBA" w14:textId="77777777" w:rsidR="0065098B" w:rsidRPr="004D3031" w:rsidRDefault="0065098B" w:rsidP="0065098B">
      <w:pPr>
        <w:rPr>
          <w:b/>
          <w:bCs/>
          <w:lang w:val="en-US"/>
        </w:rPr>
      </w:pPr>
      <w:bookmarkStart w:id="28" w:name="_Toc124683296"/>
      <w:bookmarkStart w:id="29" w:name="_Hlk122332708"/>
      <w:r w:rsidRPr="004D3031">
        <w:rPr>
          <w:b/>
          <w:bCs/>
          <w:lang w:val="en-US"/>
        </w:rPr>
        <w:t>The four SCM-studies not examining jurisdictions that were initially hit early and hard</w:t>
      </w:r>
      <w:bookmarkEnd w:id="28"/>
    </w:p>
    <w:bookmarkEnd w:id="29"/>
    <w:p w14:paraId="0888C419" w14:textId="77777777" w:rsidR="0065098B" w:rsidRPr="004D3031" w:rsidRDefault="0065098B" w:rsidP="0065098B">
      <w:pPr>
        <w:rPr>
          <w:lang w:val="en-US"/>
        </w:rPr>
      </w:pPr>
      <w:r w:rsidRPr="004D3031">
        <w:rPr>
          <w:lang w:val="en-US"/>
        </w:rPr>
        <w:t xml:space="preserve">In this section, we take a closer look at the four SCM-studies that do not examine Sweden, Italy, and New York, which were surprised by the pandemic and therefore experienced many deaths during the first wave. </w:t>
      </w:r>
    </w:p>
    <w:p w14:paraId="01D7994D" w14:textId="77777777" w:rsidR="0065098B" w:rsidRPr="004D3031" w:rsidRDefault="0065098B" w:rsidP="0065098B">
      <w:pPr>
        <w:rPr>
          <w:lang w:val="en-US"/>
        </w:rPr>
      </w:pPr>
      <w:r w:rsidRPr="004D3031">
        <w:rPr>
          <w:lang w:val="en-US"/>
        </w:rPr>
        <w:t>The four studies are</w:t>
      </w:r>
    </w:p>
    <w:p w14:paraId="4720C483" w14:textId="38E823F6" w:rsidR="0065098B" w:rsidRPr="004D3031" w:rsidRDefault="0065098B" w:rsidP="0065098B">
      <w:pPr>
        <w:pStyle w:val="ListParagraph"/>
        <w:numPr>
          <w:ilvl w:val="0"/>
          <w:numId w:val="25"/>
        </w:numPr>
        <w:rPr>
          <w:lang w:val="en-US"/>
        </w:rPr>
      </w:pPr>
      <w:r w:rsidRPr="004D3031">
        <w:rPr>
          <w:lang w:val="en-US"/>
        </w:rPr>
        <w:fldChar w:fldCharType="begin"/>
      </w:r>
      <w:r w:rsidR="00BE2E7B">
        <w:rPr>
          <w:lang w:val="en-US"/>
        </w:rPr>
        <w:instrText xml:space="preserve"> ADDIN ZOTERO_ITEM CSL_CITATION {"citationID":"gllWaus3","properties":{"formattedCitation":"Friedson et al. (2021)","plainCitation":"Friedson et al. (2021)","noteIndex":0},"citationItems":[{"id":3711,"uris":["http://zotero.org/groups/2170464/items/F92QXFZH"],"itemData":{"id":3711,"type":"article-journal","abstract":"A shelter-in-place order (SIPO) is one of the most restrictive non-pharmaceutical interventions designed to curb the spread of COVID-19. On March 19, 2020, California Governor Gavin Newsom issued the first statewide SIPO in the United States. The order closed non-essential businesses and required residents to shelter in place for all but essential activities such as grocery shopping, retrieving prescriptions from a pharmacy, or caring for relatives. This study is the first in the economics literature to estimate the effect of a statewide SIPO on public health. Using daily state-level coronavirus data and a synthetic control research design, we find that California's statewide SIPO reduced COVID-19 cases by 160.9 to 194.7 per 100,000 population by April 20, one month following the order. We further find that California's SIPO led to as many as 1,566 fewer COVID-19 deaths during this period. Back-of-the-envelope calculations suggest that there were about 649 to 703 job losses per life saved, and about 14 to16 job losses per case averted during this post-treatment period.","container-title":"Journal of Policy Analysis and Management","DOI":"10.1002/pam.22267","ISSN":"1520-6688","issue":"1","language":"en","note":"_eprint: https://onlinelibrary.wiley.com/doi/pdf/10.1002/pam.22267","page":"258-283","source":"Wiley Online Library","title":"Shelter-in-Place Orders and Public Health: Evidence from California During the Covid-19 Pandemic","title-short":"Shelter-in-Place Orders and Public Health","volume":"40","author":[{"family":"Friedson","given":"Andrew I."},{"family":"McNichols","given":"Drew"},{"family":"Sabia","given":"Joseph J."},{"family":"Dave","given":"Dhaval"}],"issued":{"date-parts":[["2021",12,11]]}}}],"schema":"https://github.com/citation-style-language/schema/raw/master/csl-citation.json"} </w:instrText>
      </w:r>
      <w:r w:rsidRPr="004D3031">
        <w:rPr>
          <w:lang w:val="en-US"/>
        </w:rPr>
        <w:fldChar w:fldCharType="separate"/>
      </w:r>
      <w:r w:rsidR="00BE2E7B" w:rsidRPr="00BE2E7B">
        <w:rPr>
          <w:rFonts w:cs="Calibri"/>
          <w:lang w:val="en-US"/>
        </w:rPr>
        <w:t>Friedson et al. (2021)</w:t>
      </w:r>
      <w:r w:rsidRPr="004D3031">
        <w:rPr>
          <w:lang w:val="en-US"/>
        </w:rPr>
        <w:fldChar w:fldCharType="end"/>
      </w:r>
      <w:r w:rsidRPr="004D3031">
        <w:rPr>
          <w:lang w:val="en-US"/>
        </w:rPr>
        <w:t xml:space="preserve"> who examine SIPO in California.</w:t>
      </w:r>
    </w:p>
    <w:p w14:paraId="4F1FAF81" w14:textId="3615A997" w:rsidR="0065098B" w:rsidRPr="004D3031" w:rsidRDefault="0065098B" w:rsidP="0065098B">
      <w:pPr>
        <w:pStyle w:val="ListParagraph"/>
        <w:numPr>
          <w:ilvl w:val="0"/>
          <w:numId w:val="25"/>
        </w:numPr>
        <w:rPr>
          <w:lang w:val="en-US"/>
        </w:rPr>
      </w:pPr>
      <w:r w:rsidRPr="004D3031">
        <w:rPr>
          <w:lang w:val="en-US"/>
        </w:rPr>
        <w:fldChar w:fldCharType="begin"/>
      </w:r>
      <w:r w:rsidR="00BE2E7B">
        <w:rPr>
          <w:lang w:val="en-US"/>
        </w:rPr>
        <w:instrText xml:space="preserve"> ADDIN ZOTERO_ITEM CSL_CITATION {"citationID":"dXU8vVvL","properties":{"formattedCitation":"Neidh\\uc0\\u246{}fer and Neidh\\uc0\\u246{}fer (2020)","plainCitation":"Neidhöfer and Neidhöfer (2020)","noteIndex":0},"citationItems":[{"id":3702,"uris":["http://zotero.org/groups/2170464/items/JTIY3VWC"],"itemData":{"id":3702,"type":"article-journal","abstract":"The rapid spread of COVID-19 forced policy-makers to swiftly ﬁnd solutions to reduce infection rates and keep mortality as low as possible. Empirical analyses on the eﬀectiveness of control measures are hereby of primary importance. School closures were among the earliest measures enacted by the governments of most countries. However, while schools are now reopening in many countries, the impact of school closures on the course of the epidemic is still an open question. Adopting parametric and non-parametric synthetic control methods we estimate the eﬀectiveness of pro-active school closures, and other early social distancing interventions, in three countries that reacted relatively early during the course of the pandemic. Our ﬁndings suggest that these interventions were eﬀective at reducing the mortality rate of COVID-19, especially when enacted early.","container-title":"SSRN Electronic Journal","DOI":"10.2139/ssrn.3649953","ISSN":"1556-5068","journalAbbreviation":"SSRN Journal","language":"en","source":"DOI.org (Crossref)","title":"The Effectiveness of School Closures and Other Pre-Lockdown COVID-19 Mitigation Strategies in Argentina, Italy, and South Korea","URL":"https://www.ssrn.com/abstract=3649953","author":[{"family":"Neidhöfer","given":"Guido"},{"family":"Neidhöfer","given":"Claudio"}],"accessed":{"date-parts":[["2021",8,17]]},"issued":{"date-parts":[["2020",7,3]]}}}],"schema":"https://github.com/citation-style-language/schema/raw/master/csl-citation.json"} </w:instrText>
      </w:r>
      <w:r w:rsidRPr="004D3031">
        <w:rPr>
          <w:lang w:val="en-US"/>
        </w:rPr>
        <w:fldChar w:fldCharType="separate"/>
      </w:r>
      <w:r w:rsidR="00BE2E7B" w:rsidRPr="00BE2E7B">
        <w:rPr>
          <w:rFonts w:cs="Calibri"/>
          <w:lang w:val="en-US"/>
        </w:rPr>
        <w:t>Neidhöfer and Neidhöfer (2020)</w:t>
      </w:r>
      <w:r w:rsidRPr="004D3031">
        <w:rPr>
          <w:lang w:val="en-US"/>
        </w:rPr>
        <w:fldChar w:fldCharType="end"/>
      </w:r>
      <w:r w:rsidRPr="004D3031">
        <w:rPr>
          <w:lang w:val="en-US"/>
        </w:rPr>
        <w:t xml:space="preserve"> who examine school closures in Illinois.</w:t>
      </w:r>
    </w:p>
    <w:p w14:paraId="0D9CD783" w14:textId="436456A9" w:rsidR="0065098B" w:rsidRPr="004D3031" w:rsidRDefault="0065098B" w:rsidP="0065098B">
      <w:pPr>
        <w:pStyle w:val="ListParagraph"/>
        <w:numPr>
          <w:ilvl w:val="0"/>
          <w:numId w:val="25"/>
        </w:numPr>
        <w:rPr>
          <w:lang w:val="en-US"/>
        </w:rPr>
      </w:pPr>
      <w:r w:rsidRPr="004D3031">
        <w:rPr>
          <w:lang w:val="en-US"/>
        </w:rPr>
        <w:fldChar w:fldCharType="begin"/>
      </w:r>
      <w:r w:rsidR="00BE2E7B">
        <w:rPr>
          <w:lang w:val="en-US"/>
        </w:rPr>
        <w:instrText xml:space="preserve"> ADDIN ZOTERO_ITEM CSL_CITATION {"citationID":"sRNsQ2dx","properties":{"formattedCitation":"Reinbold (2021)","plainCitation":"Reinbold (2021)","noteIndex":0},"citationItems":[{"id":3721,"uris":["http://zotero.org/groups/2170464/items/HLDHP4ZB"],"itemData":{"id":3721,"type":"article-journal","abstract":"&lt;h3&gt;Background&lt;/h3&gt;&lt;p&gt;One of the most difficult public policy decisions associated with the COVID-19 pandemic has been about how to offer K-12 instruction. We sought to determine whether differences in instruction types at the beginning of the 2020-2021 school year were related to differences in COVID-19 cases, hospitalizations, and deaths in Illinois counties during the first 3 weeks of the school year.&lt;/p&gt;&lt;h3&gt;Methods&lt;/h3&gt;&lt;p&gt;We divided Illinois counties into 3 groups based on the instruction type used for a majority of K-12 students at the start of the school year: in-person, hybrid, or online-only. We used synthetic control analysis to match counties between the 3 groups.&lt;/p&gt;&lt;h3&gt;Results&lt;/h3&gt;&lt;p&gt;Both majority hybrid and majority online-only counties had significantly fewer new cases than majority in-person counties. There were no significant differences in new cases between majority hybrid counties and majority online-only counties or in new hospital admissions or deaths between any of the 3 county groups.&lt;/p&gt;&lt;h3&gt;Conclusions&lt;/h3&gt;&lt;p&gt;This paper adds to the growing scientific consensus that at least some forms of in-person K-12 instruction have not contributed significantly to the spread of the pandemic. However, our results suggest that there may be an important difference between fully in-person instruction and hybrid instruction.&lt;/p&gt;","container-title":"American Journal of Infection Control","DOI":"10.1016/j.ajic.2021.05.011","ISSN":"0196-6553, 1527-3296","issue":"0","journalAbbreviation":"American Journal of Infection Control","language":"English","note":"publisher: Elsevier\nPMID: 34052313","source":"www.ajicjournal.org","title":"Effect of Fall 2020 K-12 instruction types on COVID-19 cases, hospital admissions, and deaths in Illinois counties","URL":"https://www.ajicjournal.org/article/S0196-6553(21)00380-1/abstract","volume":"0","author":[{"family":"Reinbold","given":"Gary W."}],"accessed":{"date-parts":[["2021",8,17]]},"issued":{"date-parts":[["2021",5,27]]}}}],"schema":"https://github.com/citation-style-language/schema/raw/master/csl-citation.json"} </w:instrText>
      </w:r>
      <w:r w:rsidRPr="004D3031">
        <w:rPr>
          <w:lang w:val="en-US"/>
        </w:rPr>
        <w:fldChar w:fldCharType="separate"/>
      </w:r>
      <w:r w:rsidR="00BE2E7B" w:rsidRPr="00BE2E7B">
        <w:rPr>
          <w:rFonts w:cs="Calibri"/>
          <w:lang w:val="en-US"/>
        </w:rPr>
        <w:t>Reinbold (2021)</w:t>
      </w:r>
      <w:r w:rsidRPr="004D3031">
        <w:rPr>
          <w:lang w:val="en-US"/>
        </w:rPr>
        <w:fldChar w:fldCharType="end"/>
      </w:r>
      <w:r w:rsidRPr="004D3031">
        <w:rPr>
          <w:lang w:val="en-US"/>
        </w:rPr>
        <w:t xml:space="preserve"> who examines school closures and other pre-lockdown covid-19 mitigation strategies in Argentina.</w:t>
      </w:r>
    </w:p>
    <w:p w14:paraId="5504626D" w14:textId="1D2A8492" w:rsidR="0065098B" w:rsidRPr="004D3031" w:rsidRDefault="0065098B" w:rsidP="0065098B">
      <w:pPr>
        <w:pStyle w:val="ListParagraph"/>
        <w:numPr>
          <w:ilvl w:val="0"/>
          <w:numId w:val="25"/>
        </w:numPr>
        <w:rPr>
          <w:lang w:val="en-US"/>
        </w:rPr>
      </w:pPr>
      <w:r w:rsidRPr="004D3031">
        <w:rPr>
          <w:lang w:val="en-US"/>
        </w:rPr>
        <w:fldChar w:fldCharType="begin"/>
      </w:r>
      <w:r w:rsidR="00BE2E7B">
        <w:rPr>
          <w:lang w:val="en-US"/>
        </w:rPr>
        <w:instrText xml:space="preserve"> ADDIN ZOTERO_ITEM CSL_CITATION {"citationID":"uvwRvQnL","properties":{"formattedCitation":"Dave et al. (2020b)","plainCitation":"Dave et al. (2020b)","noteIndex":0},"citationItems":[{"id":4443,"uris":["http://zotero.org/groups/2170464/items/PJ7N4CCP"],"itemData":{"id":4443,"type":"article-journal","abstract":"Policymakers have explicitly linked sustained reductions in COVID-19 case growth to reopening policies, including the lifting of shelter-in-place orders (SIPOs). This “hardwired” policy endogeneity creates challenges in isolating the causal effect of lifting a statewide SIPO on COVID-19. To overcome simultaneity bias, we exploit a unique natural experiment generated by the Wisconsin Supreme Court when it abolished Wisconsin’s “Safer at Home” order on separation-of-powers grounds. We capitalize on this sudden, dramatic, and largely unanticipated termination of a statewide SIPO to estimate its effect on social distancing and COVID-19 case growth. First, using anonymized smartphone data from SafeGraph Inc. and a synthetic control design, we find that SIPO termination had little impact on social distancing. Then, using data on COVID-19 case and mortality rates, we find no evidence that the Wisconsin Supreme Court decision impacted COVID-19 growth up to a month following the repeal. We conclude that the impacts of SIPOs are likely not symmetric across enactment and lifting of orders, and this asymmetry sheds new light on the potential mechanisms underlying the effectiveness of these orders.","collection-title":"Working Paper Series","DOI":"10.3386/w27322","note":"DOI: 10.3386/w27322","source":"National Bureau of Economic Research","title":"Are the Effects of Adoption and Termination of Shelter-in-Place Orders Symmetric? Evidence from a Natural Experiment","title-short":"Are the Effects of Adoption and Termination of Shelter-in-Place Orders Symmetric?","URL":"https://www.nber.org/papers/w27322","author":[{"family":"Dave","given":"Dhaval"},{"family":"Friedson","given":"Andrew I."},{"family":"Matsuzawa","given":"Kyutaro"},{"family":"McNichols","given":"Drew"},{"family":"Sabia","given":"Joseph J."}],"accessed":{"date-parts":[["2022",12,19]]},"issued":{"date-parts":[["2020",6]]}}}],"schema":"https://github.com/citation-style-language/schema/raw/master/csl-citation.json"} </w:instrText>
      </w:r>
      <w:r w:rsidRPr="004D3031">
        <w:rPr>
          <w:lang w:val="en-US"/>
        </w:rPr>
        <w:fldChar w:fldCharType="separate"/>
      </w:r>
      <w:r w:rsidR="00BE2E7B" w:rsidRPr="00BE2E7B">
        <w:rPr>
          <w:rFonts w:cs="Calibri"/>
          <w:lang w:val="en-US"/>
        </w:rPr>
        <w:t>Dave et al. (2020b)</w:t>
      </w:r>
      <w:r w:rsidRPr="004D3031">
        <w:rPr>
          <w:lang w:val="en-US"/>
        </w:rPr>
        <w:fldChar w:fldCharType="end"/>
      </w:r>
      <w:r w:rsidRPr="004D3031">
        <w:rPr>
          <w:lang w:val="en-US"/>
        </w:rPr>
        <w:t xml:space="preserve"> who exploit a natural experiment to examine the repeal of SIPO in Wisconsin</w:t>
      </w:r>
    </w:p>
    <w:p w14:paraId="2440E563" w14:textId="77777777" w:rsidR="0065098B" w:rsidRPr="004D3031" w:rsidRDefault="0065098B" w:rsidP="0065098B">
      <w:pPr>
        <w:rPr>
          <w:lang w:val="en-US"/>
        </w:rPr>
      </w:pPr>
    </w:p>
    <w:bookmarkStart w:id="30" w:name="_Hlk122215557"/>
    <w:p w14:paraId="68ACCF1E" w14:textId="095FCB78" w:rsidR="0065098B" w:rsidRPr="004D3031" w:rsidRDefault="0065098B" w:rsidP="00C80E37">
      <w:pPr>
        <w:pStyle w:val="Heading4"/>
        <w:rPr>
          <w:lang w:val="en-US"/>
        </w:rPr>
      </w:pPr>
      <w:r w:rsidRPr="004D3031">
        <w:rPr>
          <w:lang w:val="en-US"/>
        </w:rPr>
        <w:lastRenderedPageBreak/>
        <w:fldChar w:fldCharType="begin"/>
      </w:r>
      <w:r w:rsidR="00BE2E7B">
        <w:rPr>
          <w:lang w:val="en-US"/>
        </w:rPr>
        <w:instrText xml:space="preserve"> ADDIN ZOTERO_ITEM CSL_CITATION {"citationID":"7zvPWVfD","properties":{"formattedCitation":"Friedson et al. (2021)","plainCitation":"Friedson et al. (2021)","noteIndex":0},"citationItems":[{"id":3711,"uris":["http://zotero.org/groups/2170464/items/F92QXFZH"],"itemData":{"id":3711,"type":"article-journal","abstract":"A shelter-in-place order (SIPO) is one of the most restrictive non-pharmaceutical interventions designed to curb the spread of COVID-19. On March 19, 2020, California Governor Gavin Newsom issued the first statewide SIPO in the United States. The order closed non-essential businesses and required residents to shelter in place for all but essential activities such as grocery shopping, retrieving prescriptions from a pharmacy, or caring for relatives. This study is the first in the economics literature to estimate the effect of a statewide SIPO on public health. Using daily state-level coronavirus data and a synthetic control research design, we find that California's statewide SIPO reduced COVID-19 cases by 160.9 to 194.7 per 100,000 population by April 20, one month following the order. We further find that California's SIPO led to as many as 1,566 fewer COVID-19 deaths during this period. Back-of-the-envelope calculations suggest that there were about 649 to 703 job losses per life saved, and about 14 to16 job losses per case averted during this post-treatment period.","container-title":"Journal of Policy Analysis and Management","DOI":"10.1002/pam.22267","ISSN":"1520-6688","issue":"1","language":"en","note":"_eprint: https://onlinelibrary.wiley.com/doi/pdf/10.1002/pam.22267","page":"258-283","source":"Wiley Online Library","title":"Shelter-in-Place Orders and Public Health: Evidence from California During the Covid-19 Pandemic","title-short":"Shelter-in-Place Orders and Public Health","volume":"40","author":[{"family":"Friedson","given":"Andrew I."},{"family":"McNichols","given":"Drew"},{"family":"Sabia","given":"Joseph J."},{"family":"Dave","given":"Dhaval"}],"issued":{"date-parts":[["2021",12,11]]}}}],"schema":"https://github.com/citation-style-language/schema/raw/master/csl-citation.json"} </w:instrText>
      </w:r>
      <w:r w:rsidRPr="004D3031">
        <w:rPr>
          <w:lang w:val="en-US"/>
        </w:rPr>
        <w:fldChar w:fldCharType="separate"/>
      </w:r>
      <w:bookmarkStart w:id="31" w:name="_Toc124683297"/>
      <w:r w:rsidR="00BE2E7B" w:rsidRPr="00BE2E7B">
        <w:rPr>
          <w:rFonts w:cs="Calibri"/>
          <w:lang w:val="en-US"/>
        </w:rPr>
        <w:t>Friedson et al. (2021)</w:t>
      </w:r>
      <w:r w:rsidRPr="004D3031">
        <w:rPr>
          <w:lang w:val="en-US"/>
        </w:rPr>
        <w:fldChar w:fldCharType="end"/>
      </w:r>
      <w:bookmarkEnd w:id="30"/>
      <w:r w:rsidRPr="004D3031">
        <w:rPr>
          <w:lang w:val="en-US"/>
        </w:rPr>
        <w:t xml:space="preserve"> – SIPO in California</w:t>
      </w:r>
      <w:bookmarkEnd w:id="31"/>
    </w:p>
    <w:bookmarkStart w:id="32" w:name="_Hlk122215706"/>
    <w:p w14:paraId="4892AF07" w14:textId="444E89BA" w:rsidR="0065098B" w:rsidRPr="004D3031" w:rsidRDefault="0065098B" w:rsidP="0065098B">
      <w:pPr>
        <w:rPr>
          <w:lang w:val="en-US"/>
        </w:rPr>
      </w:pPr>
      <w:r w:rsidRPr="004D3031">
        <w:rPr>
          <w:lang w:val="en-US"/>
        </w:rPr>
        <w:fldChar w:fldCharType="begin"/>
      </w:r>
      <w:r w:rsidR="00BE2E7B">
        <w:rPr>
          <w:lang w:val="en-US"/>
        </w:rPr>
        <w:instrText xml:space="preserve"> ADDIN ZOTERO_ITEM CSL_CITATION {"citationID":"pMo9t0HV","properties":{"formattedCitation":"Friedson et al. (2021)","plainCitation":"Friedson et al. (2021)","noteIndex":0},"citationItems":[{"id":3711,"uris":["http://zotero.org/groups/2170464/items/F92QXFZH"],"itemData":{"id":3711,"type":"article-journal","abstract":"A shelter-in-place order (SIPO) is one of the most restrictive non-pharmaceutical interventions designed to curb the spread of COVID-19. On March 19, 2020, California Governor Gavin Newsom issued the first statewide SIPO in the United States. The order closed non-essential businesses and required residents to shelter in place for all but essential activities such as grocery shopping, retrieving prescriptions from a pharmacy, or caring for relatives. This study is the first in the economics literature to estimate the effect of a statewide SIPO on public health. Using daily state-level coronavirus data and a synthetic control research design, we find that California's statewide SIPO reduced COVID-19 cases by 160.9 to 194.7 per 100,000 population by April 20, one month following the order. We further find that California's SIPO led to as many as 1,566 fewer COVID-19 deaths during this period. Back-of-the-envelope calculations suggest that there were about 649 to 703 job losses per life saved, and about 14 to16 job losses per case averted during this post-treatment period.","container-title":"Journal of Policy Analysis and Management","DOI":"10.1002/pam.22267","ISSN":"1520-6688","issue":"1","language":"en","note":"_eprint: https://onlinelibrary.wiley.com/doi/pdf/10.1002/pam.22267","page":"258-283","source":"Wiley Online Library","title":"Shelter-in-Place Orders and Public Health: Evidence from California During the Covid-19 Pandemic","title-short":"Shelter-in-Place Orders and Public Health","volume":"40","author":[{"family":"Friedson","given":"Andrew I."},{"family":"McNichols","given":"Drew"},{"family":"Sabia","given":"Joseph J."},{"family":"Dave","given":"Dhaval"}],"issued":{"date-parts":[["2021",12,11]]}}}],"schema":"https://github.com/citation-style-language/schema/raw/master/csl-citation.json"} </w:instrText>
      </w:r>
      <w:r w:rsidRPr="004D3031">
        <w:rPr>
          <w:lang w:val="en-US"/>
        </w:rPr>
        <w:fldChar w:fldCharType="separate"/>
      </w:r>
      <w:r w:rsidR="00BE2E7B" w:rsidRPr="00BE2E7B">
        <w:rPr>
          <w:rFonts w:cs="Calibri"/>
          <w:lang w:val="en-US"/>
        </w:rPr>
        <w:t>Friedson et al. (2021)</w:t>
      </w:r>
      <w:r w:rsidRPr="004D3031">
        <w:rPr>
          <w:lang w:val="en-US"/>
        </w:rPr>
        <w:fldChar w:fldCharType="end"/>
      </w:r>
      <w:r w:rsidRPr="004D3031">
        <w:rPr>
          <w:lang w:val="en-US"/>
        </w:rPr>
        <w:t xml:space="preserve"> </w:t>
      </w:r>
      <w:bookmarkEnd w:id="32"/>
      <w:r w:rsidRPr="004D3031">
        <w:rPr>
          <w:lang w:val="en-US"/>
        </w:rPr>
        <w:t>examine the effect of SIPO in California. They find a large but insignificant</w:t>
      </w:r>
      <w:r w:rsidRPr="004D3031">
        <w:rPr>
          <w:rStyle w:val="FootnoteReference"/>
          <w:lang w:val="en-US"/>
        </w:rPr>
        <w:footnoteReference w:id="9"/>
      </w:r>
      <w:r w:rsidRPr="004D3031">
        <w:rPr>
          <w:lang w:val="en-US"/>
        </w:rPr>
        <w:t xml:space="preserve"> effect of California’s SIPO on mortality of 35% to 56% fewer COVID-19 deaths.</w:t>
      </w:r>
      <w:bookmarkStart w:id="33" w:name="_Ref135858043"/>
      <w:r w:rsidRPr="004D3031">
        <w:rPr>
          <w:rStyle w:val="FootnoteReference"/>
          <w:lang w:val="en-US"/>
        </w:rPr>
        <w:footnoteReference w:id="10"/>
      </w:r>
      <w:bookmarkEnd w:id="33"/>
    </w:p>
    <w:p w14:paraId="3E51866C" w14:textId="4A00EA9C" w:rsidR="0065098B" w:rsidRPr="004D3031" w:rsidRDefault="0065098B" w:rsidP="0065098B">
      <w:pPr>
        <w:rPr>
          <w:lang w:val="en-US"/>
        </w:rPr>
      </w:pPr>
      <w:bookmarkStart w:id="35" w:name="_Hlk122336532"/>
      <w:r w:rsidRPr="004D3031">
        <w:rPr>
          <w:lang w:val="en-US"/>
        </w:rPr>
        <w:t>Their reason for choosing California reveals a potential source for bias: “With California being the first state in the nation to issue a statewide SIPO at a time when the COVID epidemic was still new,</w:t>
      </w:r>
      <w:r w:rsidRPr="004D3031">
        <w:rPr>
          <w:b/>
          <w:bCs/>
          <w:lang w:val="en-US"/>
        </w:rPr>
        <w:t xml:space="preserve"> </w:t>
      </w:r>
      <w:r w:rsidRPr="004D3031">
        <w:rPr>
          <w:lang w:val="en-US"/>
        </w:rPr>
        <w:t>cases in the early periods, by definition, were low</w:t>
      </w:r>
      <w:r w:rsidR="00802EE4" w:rsidRPr="004D3031">
        <w:rPr>
          <w:lang w:val="en-US"/>
        </w:rPr>
        <w:t>.</w:t>
      </w:r>
      <w:r w:rsidRPr="004D3031">
        <w:rPr>
          <w:lang w:val="en-US"/>
        </w:rPr>
        <w:t xml:space="preserve">” </w:t>
      </w:r>
    </w:p>
    <w:p w14:paraId="589E9FC5" w14:textId="77777777" w:rsidR="0065098B" w:rsidRPr="004D3031" w:rsidRDefault="0065098B" w:rsidP="0065098B">
      <w:pPr>
        <w:rPr>
          <w:lang w:val="en-US"/>
        </w:rPr>
      </w:pPr>
      <w:r w:rsidRPr="004D3031">
        <w:rPr>
          <w:lang w:val="en-US"/>
        </w:rPr>
        <w:t>They also write that “matching on these relatively small values of pre-treatment COVID-19 cases may not fully leverage the construction of a valid counterfactual and end up minimizing meaningful differences prior to policy adoption relative to post-treatment differences.” Indeed, their matching is based on a total of just 793 COVID-19 cases in California prior to SIPO, corresponding to 20 cases per million.</w:t>
      </w:r>
    </w:p>
    <w:bookmarkEnd w:id="35"/>
    <w:p w14:paraId="58642DCB" w14:textId="30C749D3" w:rsidR="0065098B" w:rsidRPr="004D3031" w:rsidRDefault="0065098B" w:rsidP="0065098B">
      <w:pPr>
        <w:rPr>
          <w:lang w:val="en-US"/>
        </w:rPr>
      </w:pPr>
      <w:r w:rsidRPr="004D3031">
        <w:rPr>
          <w:lang w:val="en-US"/>
        </w:rPr>
        <w:t xml:space="preserve">While this does not in itself reveal any biases of concern, </w:t>
      </w:r>
      <w:r w:rsidRPr="004D3031">
        <w:rPr>
          <w:lang w:val="en-US"/>
        </w:rPr>
        <w:fldChar w:fldCharType="begin"/>
      </w:r>
      <w:r w:rsidR="00BE2E7B">
        <w:rPr>
          <w:lang w:val="en-US"/>
        </w:rPr>
        <w:instrText xml:space="preserve"> ADDIN ZOTERO_ITEM CSL_CITATION {"citationID":"znlgCPuQ","properties":{"formattedCitation":"Friedson et al. (2021)","plainCitation":"Friedson et al. (2021)","noteIndex":0},"citationItems":[{"id":3711,"uris":["http://zotero.org/groups/2170464/items/F92QXFZH"],"itemData":{"id":3711,"type":"article-journal","abstract":"A shelter-in-place order (SIPO) is one of the most restrictive non-pharmaceutical interventions designed to curb the spread of COVID-19. On March 19, 2020, California Governor Gavin Newsom issued the first statewide SIPO in the United States. The order closed non-essential businesses and required residents to shelter in place for all but essential activities such as grocery shopping, retrieving prescriptions from a pharmacy, or caring for relatives. This study is the first in the economics literature to estimate the effect of a statewide SIPO on public health. Using daily state-level coronavirus data and a synthetic control research design, we find that California's statewide SIPO reduced COVID-19 cases by 160.9 to 194.7 per 100,000 population by April 20, one month following the order. We further find that California's SIPO led to as many as 1,566 fewer COVID-19 deaths during this period. Back-of-the-envelope calculations suggest that there were about 649 to 703 job losses per life saved, and about 14 to16 job losses per case averted during this post-treatment period.","container-title":"Journal of Policy Analysis and Management","DOI":"10.1002/pam.22267","ISSN":"1520-6688","issue":"1","language":"en","note":"_eprint: https://onlinelibrary.wiley.com/doi/pdf/10.1002/pam.22267","page":"258-283","source":"Wiley Online Library","title":"Shelter-in-Place Orders and Public Health: Evidence from California During the Covid-19 Pandemic","title-short":"Shelter-in-Place Orders and Public Health","volume":"40","author":[{"family":"Friedson","given":"Andrew I."},{"family":"McNichols","given":"Drew"},{"family":"Sabia","given":"Joseph J."},{"family":"Dave","given":"Dhaval"}],"issued":{"date-parts":[["2021",12,11]]}}}],"schema":"https://github.com/citation-style-language/schema/raw/master/csl-citation.json"} </w:instrText>
      </w:r>
      <w:r w:rsidRPr="004D3031">
        <w:rPr>
          <w:lang w:val="en-US"/>
        </w:rPr>
        <w:fldChar w:fldCharType="separate"/>
      </w:r>
      <w:r w:rsidR="00BE2E7B" w:rsidRPr="00BE2E7B">
        <w:rPr>
          <w:rFonts w:cs="Calibri"/>
          <w:lang w:val="en-US"/>
        </w:rPr>
        <w:t>Friedson et al. (2021)</w:t>
      </w:r>
      <w:r w:rsidRPr="004D3031">
        <w:rPr>
          <w:lang w:val="en-US"/>
        </w:rPr>
        <w:fldChar w:fldCharType="end"/>
      </w:r>
      <w:r w:rsidRPr="004D3031">
        <w:rPr>
          <w:lang w:val="en-US"/>
        </w:rPr>
        <w:t xml:space="preserve"> is a perfect case to illustrate the inherent problems related to using SCM to evaluate the effect of lockdowns on COVID-19.</w:t>
      </w:r>
    </w:p>
    <w:p w14:paraId="163DADCC" w14:textId="4C8D6F2A" w:rsidR="0065098B" w:rsidRPr="004D3031" w:rsidRDefault="0065098B" w:rsidP="0065098B">
      <w:pPr>
        <w:rPr>
          <w:lang w:val="en-US"/>
        </w:rPr>
      </w:pPr>
      <w:r w:rsidRPr="004D3031">
        <w:rPr>
          <w:lang w:val="en-US"/>
        </w:rPr>
        <w:fldChar w:fldCharType="begin"/>
      </w:r>
      <w:r w:rsidRPr="004D3031">
        <w:rPr>
          <w:lang w:val="en-US"/>
        </w:rPr>
        <w:instrText xml:space="preserve"> REF _Ref122217258 \h </w:instrText>
      </w:r>
      <w:r w:rsidRPr="004D3031">
        <w:rPr>
          <w:lang w:val="en-US"/>
        </w:rPr>
      </w:r>
      <w:r w:rsidRPr="004D3031">
        <w:rPr>
          <w:lang w:val="en-US"/>
        </w:rPr>
        <w:fldChar w:fldCharType="separate"/>
      </w:r>
      <w:r w:rsidR="0041377D" w:rsidRPr="004D3031">
        <w:rPr>
          <w:lang w:val="en-US"/>
        </w:rPr>
        <w:t xml:space="preserve">Figure </w:t>
      </w:r>
      <w:r w:rsidR="0041377D" w:rsidRPr="004D3031">
        <w:rPr>
          <w:noProof/>
          <w:lang w:val="en-US"/>
        </w:rPr>
        <w:t>2</w:t>
      </w:r>
      <w:r w:rsidRPr="004D3031">
        <w:rPr>
          <w:lang w:val="en-US"/>
        </w:rPr>
        <w:fldChar w:fldCharType="end"/>
      </w:r>
      <w:r w:rsidRPr="004D3031">
        <w:rPr>
          <w:lang w:val="en-US"/>
        </w:rPr>
        <w:t xml:space="preserve"> below illustrates basic information about </w:t>
      </w:r>
      <w:r w:rsidRPr="004D3031">
        <w:rPr>
          <w:lang w:val="en-US"/>
        </w:rPr>
        <w:fldChar w:fldCharType="begin"/>
      </w:r>
      <w:r w:rsidR="00BE2E7B">
        <w:rPr>
          <w:lang w:val="en-US"/>
        </w:rPr>
        <w:instrText xml:space="preserve"> ADDIN ZOTERO_ITEM CSL_CITATION {"citationID":"sa08wkWO","properties":{"formattedCitation":"Friedson et al. (2021)","plainCitation":"Friedson et al. (2021)","noteIndex":0},"citationItems":[{"id":3711,"uris":["http://zotero.org/groups/2170464/items/F92QXFZH"],"itemData":{"id":3711,"type":"article-journal","abstract":"A shelter-in-place order (SIPO) is one of the most restrictive non-pharmaceutical interventions designed to curb the spread of COVID-19. On March 19, 2020, California Governor Gavin Newsom issued the first statewide SIPO in the United States. The order closed non-essential businesses and required residents to shelter in place for all but essential activities such as grocery shopping, retrieving prescriptions from a pharmacy, or caring for relatives. This study is the first in the economics literature to estimate the effect of a statewide SIPO on public health. Using daily state-level coronavirus data and a synthetic control research design, we find that California's statewide SIPO reduced COVID-19 cases by 160.9 to 194.7 per 100,000 population by April 20, one month following the order. We further find that California's SIPO led to as many as 1,566 fewer COVID-19 deaths during this period. Back-of-the-envelope calculations suggest that there were about 649 to 703 job losses per life saved, and about 14 to16 job losses per case averted during this post-treatment period.","container-title":"Journal of Policy Analysis and Management","DOI":"10.1002/pam.22267","ISSN":"1520-6688","issue":"1","language":"en","note":"_eprint: https://onlinelibrary.wiley.com/doi/pdf/10.1002/pam.22267","page":"258-283","source":"Wiley Online Library","title":"Shelter-in-Place Orders and Public Health: Evidence from California During the Covid-19 Pandemic","title-short":"Shelter-in-Place Orders and Public Health","volume":"40","author":[{"family":"Friedson","given":"Andrew I."},{"family":"McNichols","given":"Drew"},{"family":"Sabia","given":"Joseph J."},{"family":"Dave","given":"Dhaval"}],"issued":{"date-parts":[["2021",12,11]]}}}],"schema":"https://github.com/citation-style-language/schema/raw/master/csl-citation.json"} </w:instrText>
      </w:r>
      <w:r w:rsidRPr="004D3031">
        <w:rPr>
          <w:lang w:val="en-US"/>
        </w:rPr>
        <w:fldChar w:fldCharType="separate"/>
      </w:r>
      <w:r w:rsidR="00BE2E7B" w:rsidRPr="00BE2E7B">
        <w:rPr>
          <w:rFonts w:cs="Calibri"/>
          <w:lang w:val="en-US"/>
        </w:rPr>
        <w:t>Friedson et al. (2021)</w:t>
      </w:r>
      <w:r w:rsidRPr="004D3031">
        <w:rPr>
          <w:lang w:val="en-US"/>
        </w:rPr>
        <w:fldChar w:fldCharType="end"/>
      </w:r>
      <w:r w:rsidRPr="004D3031">
        <w:rPr>
          <w:lang w:val="en-US"/>
        </w:rPr>
        <w:t>. First, it illustrates that the Synthetic</w:t>
      </w:r>
      <w:r w:rsidR="0078377C" w:rsidRPr="004D3031">
        <w:rPr>
          <w:lang w:val="en-US"/>
        </w:rPr>
        <w:t xml:space="preserve"> California</w:t>
      </w:r>
      <w:r w:rsidRPr="004D3031">
        <w:rPr>
          <w:lang w:val="en-US"/>
        </w:rPr>
        <w:t xml:space="preserve"> is based on a very short pre-intervention window, March 11 to March 18, 2022, before California imposed</w:t>
      </w:r>
      <w:r w:rsidR="00802EE4" w:rsidRPr="004D3031">
        <w:rPr>
          <w:lang w:val="en-US"/>
        </w:rPr>
        <w:t xml:space="preserve"> its</w:t>
      </w:r>
      <w:r w:rsidRPr="004D3031">
        <w:rPr>
          <w:lang w:val="en-US"/>
        </w:rPr>
        <w:t xml:space="preserve"> SIPO. </w:t>
      </w:r>
    </w:p>
    <w:p w14:paraId="574137E9" w14:textId="11389475" w:rsidR="0065098B" w:rsidRPr="004D3031" w:rsidRDefault="0065098B" w:rsidP="0065098B">
      <w:pPr>
        <w:rPr>
          <w:lang w:val="en-US"/>
        </w:rPr>
      </w:pPr>
      <w:r w:rsidRPr="004D3031">
        <w:rPr>
          <w:lang w:val="en-US"/>
        </w:rPr>
        <w:t xml:space="preserve">Second, it illustrates that the short pre-intervention window may affect the results. After </w:t>
      </w:r>
      <w:r w:rsidR="005F5B2A" w:rsidRPr="004D3031">
        <w:rPr>
          <w:lang w:val="en-US"/>
        </w:rPr>
        <w:t>7</w:t>
      </w:r>
      <w:r w:rsidR="00C86D12" w:rsidRPr="004D3031">
        <w:rPr>
          <w:lang w:val="en-US"/>
        </w:rPr>
        <w:t xml:space="preserve"> </w:t>
      </w:r>
      <w:r w:rsidR="005F5B2A" w:rsidRPr="004D3031">
        <w:rPr>
          <w:lang w:val="en-US"/>
        </w:rPr>
        <w:t xml:space="preserve">(14) </w:t>
      </w:r>
      <w:r w:rsidRPr="004D3031">
        <w:rPr>
          <w:lang w:val="en-US"/>
        </w:rPr>
        <w:t xml:space="preserve">days, Synthetic California in </w:t>
      </w:r>
      <w:bookmarkStart w:id="36" w:name="_Hlk122217759"/>
      <w:r w:rsidRPr="004D3031">
        <w:rPr>
          <w:lang w:val="en-US"/>
        </w:rPr>
        <w:fldChar w:fldCharType="begin"/>
      </w:r>
      <w:r w:rsidRPr="004D3031">
        <w:rPr>
          <w:lang w:val="en-US"/>
        </w:rPr>
        <w:instrText xml:space="preserve"> REF _Ref122217258 \h </w:instrText>
      </w:r>
      <w:r w:rsidRPr="004D3031">
        <w:rPr>
          <w:lang w:val="en-US"/>
        </w:rPr>
      </w:r>
      <w:r w:rsidRPr="004D3031">
        <w:rPr>
          <w:lang w:val="en-US"/>
        </w:rPr>
        <w:fldChar w:fldCharType="separate"/>
      </w:r>
      <w:r w:rsidR="0041377D" w:rsidRPr="004D3031">
        <w:rPr>
          <w:lang w:val="en-US"/>
        </w:rPr>
        <w:t xml:space="preserve">Figure </w:t>
      </w:r>
      <w:r w:rsidR="0041377D" w:rsidRPr="004D3031">
        <w:rPr>
          <w:noProof/>
          <w:lang w:val="en-US"/>
        </w:rPr>
        <w:t>2</w:t>
      </w:r>
      <w:r w:rsidRPr="004D3031">
        <w:rPr>
          <w:lang w:val="en-US"/>
        </w:rPr>
        <w:fldChar w:fldCharType="end"/>
      </w:r>
      <w:r w:rsidRPr="004D3031">
        <w:rPr>
          <w:lang w:val="en-US"/>
        </w:rPr>
        <w:t xml:space="preserve"> </w:t>
      </w:r>
      <w:bookmarkEnd w:id="36"/>
      <w:r w:rsidRPr="004D3031">
        <w:rPr>
          <w:lang w:val="en-US"/>
        </w:rPr>
        <w:t xml:space="preserve">has </w:t>
      </w:r>
      <w:r w:rsidR="005F5B2A" w:rsidRPr="004D3031">
        <w:rPr>
          <w:lang w:val="en-US"/>
        </w:rPr>
        <w:t>23</w:t>
      </w:r>
      <w:r w:rsidRPr="004D3031">
        <w:rPr>
          <w:lang w:val="en-US"/>
        </w:rPr>
        <w:t xml:space="preserve">% </w:t>
      </w:r>
      <w:r w:rsidR="005F5B2A" w:rsidRPr="004D3031">
        <w:rPr>
          <w:lang w:val="en-US"/>
        </w:rPr>
        <w:t>(</w:t>
      </w:r>
      <w:r w:rsidR="007F431B" w:rsidRPr="004D3031">
        <w:rPr>
          <w:lang w:val="en-US"/>
        </w:rPr>
        <w:t xml:space="preserve">49%) </w:t>
      </w:r>
      <w:r w:rsidRPr="004D3031">
        <w:rPr>
          <w:lang w:val="en-US"/>
        </w:rPr>
        <w:t xml:space="preserve">fewer deaths compared to California. </w:t>
      </w:r>
      <w:r w:rsidR="007F431B" w:rsidRPr="004D3031">
        <w:rPr>
          <w:lang w:val="en-US"/>
        </w:rPr>
        <w:t>G</w:t>
      </w:r>
      <w:r w:rsidR="00760ADF" w:rsidRPr="004D3031">
        <w:rPr>
          <w:lang w:val="en-US"/>
        </w:rPr>
        <w:t xml:space="preserve">iven the lag between infection and death it is very unlikely that one should see </w:t>
      </w:r>
      <w:r w:rsidR="00DC63E3" w:rsidRPr="004D3031">
        <w:rPr>
          <w:lang w:val="en-US"/>
        </w:rPr>
        <w:t xml:space="preserve">such </w:t>
      </w:r>
      <w:r w:rsidR="00760ADF" w:rsidRPr="004D3031">
        <w:rPr>
          <w:lang w:val="en-US"/>
        </w:rPr>
        <w:t xml:space="preserve">large effects after just </w:t>
      </w:r>
      <w:r w:rsidR="007F431B" w:rsidRPr="004D3031">
        <w:rPr>
          <w:lang w:val="en-US"/>
        </w:rPr>
        <w:t>7</w:t>
      </w:r>
      <w:r w:rsidR="0077627E" w:rsidRPr="004D3031">
        <w:rPr>
          <w:lang w:val="en-US"/>
        </w:rPr>
        <w:t xml:space="preserve"> and 14 </w:t>
      </w:r>
      <w:r w:rsidR="00760ADF" w:rsidRPr="004D3031">
        <w:rPr>
          <w:lang w:val="en-US"/>
        </w:rPr>
        <w:t xml:space="preserve">days </w:t>
      </w:r>
      <w:r w:rsidR="0077627E" w:rsidRPr="004D3031">
        <w:rPr>
          <w:lang w:val="en-US"/>
        </w:rPr>
        <w:t xml:space="preserve">respectively </w:t>
      </w:r>
      <w:r w:rsidR="00760ADF" w:rsidRPr="004D3031">
        <w:rPr>
          <w:lang w:val="en-US"/>
        </w:rPr>
        <w:t>even if the SIPO was highly effective</w:t>
      </w:r>
      <w:r w:rsidR="005E0AF6" w:rsidRPr="004D3031">
        <w:rPr>
          <w:lang w:val="en-US"/>
        </w:rPr>
        <w:t xml:space="preserve"> (see the appendix to this supplementary material)</w:t>
      </w:r>
      <w:r w:rsidRPr="004D3031">
        <w:rPr>
          <w:lang w:val="en-US"/>
        </w:rPr>
        <w:t xml:space="preserve">. </w:t>
      </w:r>
      <w:r w:rsidR="00BD7A84" w:rsidRPr="004D3031">
        <w:rPr>
          <w:lang w:val="en-US"/>
        </w:rPr>
        <w:t xml:space="preserve">The </w:t>
      </w:r>
      <w:r w:rsidR="0077627E" w:rsidRPr="004D3031">
        <w:rPr>
          <w:lang w:val="en-US"/>
        </w:rPr>
        <w:t>49</w:t>
      </w:r>
      <w:r w:rsidR="00BD7A84" w:rsidRPr="004D3031">
        <w:rPr>
          <w:lang w:val="en-US"/>
        </w:rPr>
        <w:t xml:space="preserve">% </w:t>
      </w:r>
      <w:r w:rsidRPr="004D3031">
        <w:rPr>
          <w:lang w:val="en-US"/>
        </w:rPr>
        <w:t xml:space="preserve">almost corresponds to the estimated effect of </w:t>
      </w:r>
      <w:r w:rsidR="00802EE4" w:rsidRPr="004D3031">
        <w:rPr>
          <w:lang w:val="en-US"/>
        </w:rPr>
        <w:t xml:space="preserve">the </w:t>
      </w:r>
      <w:r w:rsidRPr="004D3031">
        <w:rPr>
          <w:lang w:val="en-US"/>
        </w:rPr>
        <w:t>SIPO</w:t>
      </w:r>
      <w:r w:rsidR="00FE5F2D" w:rsidRPr="004D3031">
        <w:rPr>
          <w:lang w:val="en-US"/>
        </w:rPr>
        <w:t xml:space="preserve"> (54%, cf. footnote </w:t>
      </w:r>
      <w:r w:rsidR="00FE5F2D" w:rsidRPr="004D3031">
        <w:rPr>
          <w:lang w:val="en-US"/>
        </w:rPr>
        <w:fldChar w:fldCharType="begin"/>
      </w:r>
      <w:r w:rsidR="00FE5F2D" w:rsidRPr="004D3031">
        <w:rPr>
          <w:lang w:val="en-US"/>
        </w:rPr>
        <w:instrText xml:space="preserve"> NOTEREF _Ref135858043 \h </w:instrText>
      </w:r>
      <w:r w:rsidR="00FE5F2D" w:rsidRPr="004D3031">
        <w:rPr>
          <w:lang w:val="en-US"/>
        </w:rPr>
      </w:r>
      <w:r w:rsidR="00FE5F2D" w:rsidRPr="004D3031">
        <w:rPr>
          <w:lang w:val="en-US"/>
        </w:rPr>
        <w:fldChar w:fldCharType="separate"/>
      </w:r>
      <w:r w:rsidR="0041377D" w:rsidRPr="004D3031">
        <w:rPr>
          <w:lang w:val="en-US"/>
        </w:rPr>
        <w:t>8</w:t>
      </w:r>
      <w:r w:rsidR="00FE5F2D" w:rsidRPr="004D3031">
        <w:rPr>
          <w:lang w:val="en-US"/>
        </w:rPr>
        <w:fldChar w:fldCharType="end"/>
      </w:r>
      <w:r w:rsidR="00FE5F2D" w:rsidRPr="004D3031">
        <w:rPr>
          <w:lang w:val="en-US"/>
        </w:rPr>
        <w:t>)</w:t>
      </w:r>
      <w:r w:rsidRPr="004D3031">
        <w:rPr>
          <w:lang w:val="en-US"/>
        </w:rPr>
        <w:t>. Hence, there is a high risk that a flaw in matching the synthetic control – caused by a very short pre-intervention window – drives the results, not the SIPO.</w:t>
      </w:r>
    </w:p>
    <w:p w14:paraId="7C0AC673" w14:textId="0B0E6CD7" w:rsidR="0065098B" w:rsidRPr="004D3031" w:rsidRDefault="0065098B" w:rsidP="0065098B">
      <w:pPr>
        <w:rPr>
          <w:lang w:val="en-US"/>
        </w:rPr>
      </w:pPr>
      <w:r w:rsidRPr="004D3031">
        <w:rPr>
          <w:lang w:val="en-US"/>
        </w:rPr>
        <w:t xml:space="preserve">Interestingly, South Carolina (shown with dashed line in </w:t>
      </w:r>
      <w:r w:rsidRPr="004D3031">
        <w:rPr>
          <w:lang w:val="en-US"/>
        </w:rPr>
        <w:fldChar w:fldCharType="begin"/>
      </w:r>
      <w:r w:rsidRPr="004D3031">
        <w:rPr>
          <w:lang w:val="en-US"/>
        </w:rPr>
        <w:instrText xml:space="preserve"> REF _Ref122217258 \h </w:instrText>
      </w:r>
      <w:r w:rsidRPr="004D3031">
        <w:rPr>
          <w:lang w:val="en-US"/>
        </w:rPr>
      </w:r>
      <w:r w:rsidRPr="004D3031">
        <w:rPr>
          <w:lang w:val="en-US"/>
        </w:rPr>
        <w:fldChar w:fldCharType="separate"/>
      </w:r>
      <w:r w:rsidR="0041377D" w:rsidRPr="004D3031">
        <w:rPr>
          <w:lang w:val="en-US"/>
        </w:rPr>
        <w:t xml:space="preserve">Figure </w:t>
      </w:r>
      <w:r w:rsidR="0041377D" w:rsidRPr="004D3031">
        <w:rPr>
          <w:noProof/>
          <w:lang w:val="en-US"/>
        </w:rPr>
        <w:t>2</w:t>
      </w:r>
      <w:r w:rsidRPr="004D3031">
        <w:rPr>
          <w:lang w:val="en-US"/>
        </w:rPr>
        <w:fldChar w:fldCharType="end"/>
      </w:r>
      <w:r w:rsidRPr="004D3031">
        <w:rPr>
          <w:lang w:val="en-US"/>
        </w:rPr>
        <w:t xml:space="preserve">), which matches California almost 1:1 during the first three weeks after California’s SIPO, and did not impose </w:t>
      </w:r>
      <w:r w:rsidR="00802EE4" w:rsidRPr="004D3031">
        <w:rPr>
          <w:lang w:val="en-US"/>
        </w:rPr>
        <w:t xml:space="preserve">a </w:t>
      </w:r>
      <w:r w:rsidRPr="004D3031">
        <w:rPr>
          <w:lang w:val="en-US"/>
        </w:rPr>
        <w:t>SIPO until April 7</w:t>
      </w:r>
      <w:r w:rsidRPr="004D3031">
        <w:rPr>
          <w:vertAlign w:val="superscript"/>
          <w:lang w:val="en-US"/>
        </w:rPr>
        <w:t>th</w:t>
      </w:r>
      <w:r w:rsidRPr="004D3031">
        <w:rPr>
          <w:lang w:val="en-US"/>
        </w:rPr>
        <w:t>, 2020</w:t>
      </w:r>
      <w:r w:rsidRPr="004D3031">
        <w:rPr>
          <w:rStyle w:val="FootnoteReference"/>
          <w:lang w:val="en-US"/>
        </w:rPr>
        <w:footnoteReference w:id="11"/>
      </w:r>
      <w:r w:rsidRPr="004D3031">
        <w:rPr>
          <w:lang w:val="en-US"/>
        </w:rPr>
        <w:t>, ha</w:t>
      </w:r>
      <w:r w:rsidR="00FC42C5" w:rsidRPr="004D3031">
        <w:rPr>
          <w:lang w:val="en-US"/>
        </w:rPr>
        <w:t>d</w:t>
      </w:r>
      <w:r w:rsidRPr="004D3031">
        <w:rPr>
          <w:lang w:val="en-US"/>
        </w:rPr>
        <w:t xml:space="preserve"> almost the exact same cumulative COVID-19 mortality rate by June 30, 2020.</w:t>
      </w:r>
    </w:p>
    <w:p w14:paraId="446C1DB1" w14:textId="5F029A3D" w:rsidR="0065098B" w:rsidRPr="004D3031" w:rsidRDefault="0065098B" w:rsidP="0065098B">
      <w:pPr>
        <w:pStyle w:val="Caption"/>
      </w:pPr>
      <w:bookmarkStart w:id="37" w:name="_Ref122217258"/>
      <w:bookmarkStart w:id="38" w:name="_Toc125059417"/>
      <w:r w:rsidRPr="004D3031">
        <w:lastRenderedPageBreak/>
        <w:t xml:space="preserve">Figure </w:t>
      </w:r>
      <w:r w:rsidRPr="004D3031">
        <w:fldChar w:fldCharType="begin"/>
      </w:r>
      <w:r w:rsidRPr="004D3031">
        <w:instrText xml:space="preserve"> SEQ Figure \* ARABIC </w:instrText>
      </w:r>
      <w:r w:rsidRPr="004D3031">
        <w:fldChar w:fldCharType="separate"/>
      </w:r>
      <w:r w:rsidR="0041377D" w:rsidRPr="004D3031">
        <w:rPr>
          <w:noProof/>
        </w:rPr>
        <w:t>2</w:t>
      </w:r>
      <w:r w:rsidRPr="004D3031">
        <w:rPr>
          <w:noProof/>
        </w:rPr>
        <w:fldChar w:fldCharType="end"/>
      </w:r>
      <w:bookmarkEnd w:id="37"/>
      <w:r w:rsidRPr="004D3031">
        <w:t xml:space="preserve"> COVID-19 mortality in California, Synthetic California, and donor states</w:t>
      </w:r>
      <w:bookmarkEnd w:id="38"/>
    </w:p>
    <w:p w14:paraId="02BBE925" w14:textId="5C8A06D0" w:rsidR="0065098B" w:rsidRPr="004D3031" w:rsidRDefault="00CA1BCC" w:rsidP="0065098B">
      <w:pPr>
        <w:rPr>
          <w:lang w:val="en-US"/>
        </w:rPr>
      </w:pPr>
      <w:r w:rsidRPr="004D3031">
        <w:rPr>
          <w:noProof/>
          <w:lang w:val="en-US"/>
        </w:rPr>
        <w:drawing>
          <wp:inline distT="0" distB="0" distL="0" distR="0" wp14:anchorId="69E62DF7" wp14:editId="2C914829">
            <wp:extent cx="5212715" cy="3956685"/>
            <wp:effectExtent l="0" t="0" r="6985" b="5715"/>
            <wp:docPr id="122863554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212715" cy="3956685"/>
                    </a:xfrm>
                    <a:prstGeom prst="rect">
                      <a:avLst/>
                    </a:prstGeom>
                    <a:noFill/>
                  </pic:spPr>
                </pic:pic>
              </a:graphicData>
            </a:graphic>
          </wp:inline>
        </w:drawing>
      </w:r>
    </w:p>
    <w:p w14:paraId="7DEBDBBF" w14:textId="14519628" w:rsidR="0065098B" w:rsidRPr="004D3031" w:rsidRDefault="0065098B" w:rsidP="00D97497">
      <w:pPr>
        <w:pStyle w:val="Undertekstfigur"/>
      </w:pPr>
      <w:r w:rsidRPr="004D3031">
        <w:t xml:space="preserve">Source: Own calculations based on data from </w:t>
      </w:r>
      <w:r w:rsidRPr="004D3031">
        <w:fldChar w:fldCharType="begin"/>
      </w:r>
      <w:r w:rsidR="00BE2E7B">
        <w:instrText xml:space="preserve"> ADDIN ZOTERO_ITEM CSL_CITATION {"citationID":"l0kmGNRL","properties":{"formattedCitation":"Our World in Data (2022)","plainCitation":"Our World in Data (2022)","noteIndex":0},"citationItems":[{"id":4176,"uris":["http://zotero.org/groups/2170464/items/DRP6KTIY"],"itemData":{"id":4176,"type":"webpage","abstract":"Research and data to make progress against the world’s largest problems","container-title":"Our World in Data","title":"COVID-19 Data Explorer","URL":"https://ourworldindata.org/coronavirus-data-explorer","author":[{"literal":"Our World in Data"}],"accessed":{"date-parts":[["2022",4,7]]},"issued":{"date-parts":[["2022"]]}}}],"schema":"https://github.com/citation-style-language/schema/raw/master/csl-citation.json"} </w:instrText>
      </w:r>
      <w:r w:rsidRPr="004D3031">
        <w:fldChar w:fldCharType="separate"/>
      </w:r>
      <w:r w:rsidR="00BE2E7B" w:rsidRPr="00BE2E7B">
        <w:rPr>
          <w:rFonts w:cs="Calibri"/>
        </w:rPr>
        <w:t>Our World in Data (2022)</w:t>
      </w:r>
      <w:r w:rsidRPr="004D3031">
        <w:fldChar w:fldCharType="end"/>
      </w:r>
      <w:r w:rsidRPr="004D3031">
        <w:t xml:space="preserve"> and </w:t>
      </w:r>
      <w:r w:rsidRPr="004D3031">
        <w:fldChar w:fldCharType="begin"/>
      </w:r>
      <w:r w:rsidR="00BE2E7B">
        <w:instrText xml:space="preserve"> ADDIN ZOTERO_ITEM CSL_CITATION {"citationID":"uckHlmiE","properties":{"formattedCitation":"Friedson et al. (2021)","plainCitation":"Friedson et al. (2021)","noteIndex":0},"citationItems":[{"id":3711,"uris":["http://zotero.org/groups/2170464/items/F92QXFZH"],"itemData":{"id":3711,"type":"article-journal","abstract":"A shelter-in-place order (SIPO) is one of the most restrictive non-pharmaceutical interventions designed to curb the spread of COVID-19. On March 19, 2020, California Governor Gavin Newsom issued the first statewide SIPO in the United States. The order closed non-essential businesses and required residents to shelter in place for all but essential activities such as grocery shopping, retrieving prescriptions from a pharmacy, or caring for relatives. This study is the first in the economics literature to estimate the effect of a statewide SIPO on public health. Using daily state-level coronavirus data and a synthetic control research design, we find that California's statewide SIPO reduced COVID-19 cases by 160.9 to 194.7 per 100,000 population by April 20, one month following the order. We further find that California's SIPO led to as many as 1,566 fewer COVID-19 deaths during this period. Back-of-the-envelope calculations suggest that there were about 649 to 703 job losses per life saved, and about 14 to16 job losses per case averted during this post-treatment period.","container-title":"Journal of Policy Analysis and Management","DOI":"10.1002/pam.22267","ISSN":"1520-6688","issue":"1","language":"en","note":"_eprint: https://onlinelibrary.wiley.com/doi/pdf/10.1002/pam.22267","page":"258-283","source":"Wiley Online Library","title":"Shelter-in-Place Orders and Public Health: Evidence from California During the Covid-19 Pandemic","title-short":"Shelter-in-Place Orders and Public Health","volume":"40","author":[{"family":"Friedson","given":"Andrew I."},{"family":"McNichols","given":"Drew"},{"family":"Sabia","given":"Joseph J."},{"family":"Dave","given":"Dhaval"}],"issued":{"date-parts":[["2021",12,11]]}}}],"schema":"https://github.com/citation-style-language/schema/raw/master/csl-citation.json"} </w:instrText>
      </w:r>
      <w:r w:rsidRPr="004D3031">
        <w:fldChar w:fldCharType="separate"/>
      </w:r>
      <w:r w:rsidR="00BE2E7B" w:rsidRPr="00BE2E7B">
        <w:rPr>
          <w:rFonts w:cs="Calibri"/>
        </w:rPr>
        <w:t>Friedson et al. (2021)</w:t>
      </w:r>
      <w:r w:rsidRPr="004D3031">
        <w:fldChar w:fldCharType="end"/>
      </w:r>
      <w:r w:rsidRPr="004D3031">
        <w:t>.</w:t>
      </w:r>
    </w:p>
    <w:p w14:paraId="5C5A2E24" w14:textId="05BACA36" w:rsidR="0065098B" w:rsidRPr="004D3031" w:rsidRDefault="0065098B" w:rsidP="00D97497">
      <w:pPr>
        <w:pStyle w:val="Undertekstfigur"/>
      </w:pPr>
      <w:r w:rsidRPr="004D3031">
        <w:t xml:space="preserve">Note: The figure is based on the weights from model 1 (see Table A1, Panel II(1)) in </w:t>
      </w:r>
      <w:r w:rsidRPr="004D3031">
        <w:fldChar w:fldCharType="begin"/>
      </w:r>
      <w:r w:rsidR="00BE2E7B">
        <w:instrText xml:space="preserve"> ADDIN ZOTERO_ITEM CSL_CITATION {"citationID":"ldLx7qif","properties":{"formattedCitation":"Friedson et al. (2021)","plainCitation":"Friedson et al. (2021)","noteIndex":0},"citationItems":[{"id":3711,"uris":["http://zotero.org/groups/2170464/items/F92QXFZH"],"itemData":{"id":3711,"type":"article-journal","abstract":"A shelter-in-place order (SIPO) is one of the most restrictive non-pharmaceutical interventions designed to curb the spread of COVID-19. On March 19, 2020, California Governor Gavin Newsom issued the first statewide SIPO in the United States. The order closed non-essential businesses and required residents to shelter in place for all but essential activities such as grocery shopping, retrieving prescriptions from a pharmacy, or caring for relatives. This study is the first in the economics literature to estimate the effect of a statewide SIPO on public health. Using daily state-level coronavirus data and a synthetic control research design, we find that California's statewide SIPO reduced COVID-19 cases by 160.9 to 194.7 per 100,000 population by April 20, one month following the order. We further find that California's SIPO led to as many as 1,566 fewer COVID-19 deaths during this period. Back-of-the-envelope calculations suggest that there were about 649 to 703 job losses per life saved, and about 14 to16 job losses per case averted during this post-treatment period.","container-title":"Journal of Policy Analysis and Management","DOI":"10.1002/pam.22267","ISSN":"1520-6688","issue":"1","language":"en","note":"_eprint: https://onlinelibrary.wiley.com/doi/pdf/10.1002/pam.22267","page":"258-283","source":"Wiley Online Library","title":"Shelter-in-Place Orders and Public Health: Evidence from California During the Covid-19 Pandemic","title-short":"Shelter-in-Place Orders and Public Health","volume":"40","author":[{"family":"Friedson","given":"Andrew I."},{"family":"McNichols","given":"Drew"},{"family":"Sabia","given":"Joseph J."},{"family":"Dave","given":"Dhaval"}],"issued":{"date-parts":[["2021",12,11]]}}}],"schema":"https://github.com/citation-style-language/schema/raw/master/csl-citation.json"} </w:instrText>
      </w:r>
      <w:r w:rsidRPr="004D3031">
        <w:fldChar w:fldCharType="separate"/>
      </w:r>
      <w:r w:rsidR="00BE2E7B" w:rsidRPr="00BE2E7B">
        <w:rPr>
          <w:rFonts w:cs="Calibri"/>
        </w:rPr>
        <w:t>Friedson et al. (2021)</w:t>
      </w:r>
      <w:r w:rsidRPr="004D3031">
        <w:fldChar w:fldCharType="end"/>
      </w:r>
      <w:r w:rsidRPr="004D3031">
        <w:t>.</w:t>
      </w:r>
    </w:p>
    <w:p w14:paraId="0AA9004F" w14:textId="77777777" w:rsidR="0065098B" w:rsidRPr="004D3031" w:rsidRDefault="0065098B" w:rsidP="0065098B">
      <w:pPr>
        <w:rPr>
          <w:lang w:val="en-US"/>
        </w:rPr>
      </w:pPr>
    </w:p>
    <w:bookmarkStart w:id="39" w:name="_Hlk122336441"/>
    <w:p w14:paraId="107D9963" w14:textId="0BA1FACC" w:rsidR="0065098B" w:rsidRPr="004D3031" w:rsidRDefault="0065098B" w:rsidP="00992AE3">
      <w:pPr>
        <w:pStyle w:val="Heading4"/>
        <w:rPr>
          <w:lang w:val="en-US"/>
        </w:rPr>
      </w:pPr>
      <w:r w:rsidRPr="004D3031">
        <w:rPr>
          <w:lang w:val="en-US"/>
        </w:rPr>
        <w:fldChar w:fldCharType="begin"/>
      </w:r>
      <w:r w:rsidR="00BE2E7B">
        <w:rPr>
          <w:lang w:val="en-US"/>
        </w:rPr>
        <w:instrText xml:space="preserve"> ADDIN ZOTERO_ITEM CSL_CITATION {"citationID":"wj7vxKRa","properties":{"formattedCitation":"Neidh\\uc0\\u246{}fer and Neidh\\uc0\\u246{}fer (2020)","plainCitation":"Neidhöfer and Neidhöfer (2020)","noteIndex":0},"citationItems":[{"id":3702,"uris":["http://zotero.org/groups/2170464/items/JTIY3VWC"],"itemData":{"id":3702,"type":"article-journal","abstract":"The rapid spread of COVID-19 forced policy-makers to swiftly ﬁnd solutions to reduce infection rates and keep mortality as low as possible. Empirical analyses on the eﬀectiveness of control measures are hereby of primary importance. School closures were among the earliest measures enacted by the governments of most countries. However, while schools are now reopening in many countries, the impact of school closures on the course of the epidemic is still an open question. Adopting parametric and non-parametric synthetic control methods we estimate the eﬀectiveness of pro-active school closures, and other early social distancing interventions, in three countries that reacted relatively early during the course of the pandemic. Our ﬁndings suggest that these interventions were eﬀective at reducing the mortality rate of COVID-19, especially when enacted early.","container-title":"SSRN Electronic Journal","DOI":"10.2139/ssrn.3649953","ISSN":"1556-5068","journalAbbreviation":"SSRN Journal","language":"en","source":"DOI.org (Crossref)","title":"The Effectiveness of School Closures and Other Pre-Lockdown COVID-19 Mitigation Strategies in Argentina, Italy, and South Korea","URL":"https://www.ssrn.com/abstract=3649953","author":[{"family":"Neidhöfer","given":"Guido"},{"family":"Neidhöfer","given":"Claudio"}],"accessed":{"date-parts":[["2021",8,17]]},"issued":{"date-parts":[["2020",7,3]]}}}],"schema":"https://github.com/citation-style-language/schema/raw/master/csl-citation.json"} </w:instrText>
      </w:r>
      <w:r w:rsidRPr="004D3031">
        <w:rPr>
          <w:lang w:val="en-US"/>
        </w:rPr>
        <w:fldChar w:fldCharType="separate"/>
      </w:r>
      <w:bookmarkStart w:id="40" w:name="_Toc124683298"/>
      <w:r w:rsidR="00BE2E7B" w:rsidRPr="00BE2E7B">
        <w:rPr>
          <w:rFonts w:cs="Calibri"/>
          <w:lang w:val="en-US"/>
        </w:rPr>
        <w:t>Neidhöfer and Neidhöfer (2020)</w:t>
      </w:r>
      <w:r w:rsidRPr="004D3031">
        <w:rPr>
          <w:lang w:val="en-US"/>
        </w:rPr>
        <w:fldChar w:fldCharType="end"/>
      </w:r>
      <w:bookmarkEnd w:id="39"/>
      <w:r w:rsidRPr="004D3031">
        <w:rPr>
          <w:lang w:val="en-US"/>
        </w:rPr>
        <w:t xml:space="preserve"> – School closures in Argentina</w:t>
      </w:r>
      <w:bookmarkEnd w:id="40"/>
    </w:p>
    <w:p w14:paraId="3D7237C4" w14:textId="40A14FB6" w:rsidR="0065098B" w:rsidRPr="004D3031" w:rsidRDefault="0065098B" w:rsidP="0065098B">
      <w:pPr>
        <w:rPr>
          <w:lang w:val="en-US"/>
        </w:rPr>
      </w:pPr>
      <w:r w:rsidRPr="004D3031">
        <w:rPr>
          <w:lang w:val="en-US"/>
        </w:rPr>
        <w:fldChar w:fldCharType="begin"/>
      </w:r>
      <w:r w:rsidR="00BE2E7B">
        <w:rPr>
          <w:lang w:val="en-US"/>
        </w:rPr>
        <w:instrText xml:space="preserve"> ADDIN ZOTERO_ITEM CSL_CITATION {"citationID":"xyN3ZRoe","properties":{"formattedCitation":"Neidh\\uc0\\u246{}fer and Neidh\\uc0\\u246{}fer (2020)","plainCitation":"Neidhöfer and Neidhöfer (2020)","noteIndex":0},"citationItems":[{"id":3702,"uris":["http://zotero.org/groups/2170464/items/JTIY3VWC"],"itemData":{"id":3702,"type":"article-journal","abstract":"The rapid spread of COVID-19 forced policy-makers to swiftly ﬁnd solutions to reduce infection rates and keep mortality as low as possible. Empirical analyses on the eﬀectiveness of control measures are hereby of primary importance. School closures were among the earliest measures enacted by the governments of most countries. However, while schools are now reopening in many countries, the impact of school closures on the course of the epidemic is still an open question. Adopting parametric and non-parametric synthetic control methods we estimate the eﬀectiveness of pro-active school closures, and other early social distancing interventions, in three countries that reacted relatively early during the course of the pandemic. Our ﬁndings suggest that these interventions were eﬀective at reducing the mortality rate of COVID-19, especially when enacted early.","container-title":"SSRN Electronic Journal","DOI":"10.2139/ssrn.3649953","ISSN":"1556-5068","journalAbbreviation":"SSRN Journal","language":"en","source":"DOI.org (Crossref)","title":"The Effectiveness of School Closures and Other Pre-Lockdown COVID-19 Mitigation Strategies in Argentina, Italy, and South Korea","URL":"https://www.ssrn.com/abstract=3649953","author":[{"family":"Neidhöfer","given":"Guido"},{"family":"Neidhöfer","given":"Claudio"}],"accessed":{"date-parts":[["2021",8,17]]},"issued":{"date-parts":[["2020",7,3]]}}}],"schema":"https://github.com/citation-style-language/schema/raw/master/csl-citation.json"} </w:instrText>
      </w:r>
      <w:r w:rsidRPr="004D3031">
        <w:rPr>
          <w:lang w:val="en-US"/>
        </w:rPr>
        <w:fldChar w:fldCharType="separate"/>
      </w:r>
      <w:r w:rsidR="00BE2E7B" w:rsidRPr="00BE2E7B">
        <w:rPr>
          <w:rFonts w:cs="Calibri"/>
          <w:lang w:val="en-US"/>
        </w:rPr>
        <w:t>Neidhöfer and Neidhöfer (2020)</w:t>
      </w:r>
      <w:r w:rsidRPr="004D3031">
        <w:rPr>
          <w:lang w:val="en-US"/>
        </w:rPr>
        <w:fldChar w:fldCharType="end"/>
      </w:r>
      <w:r w:rsidRPr="004D3031">
        <w:rPr>
          <w:lang w:val="en-US"/>
        </w:rPr>
        <w:t xml:space="preserve"> examine the effectiveness of proactive school closures and other early social distancing interventions in three countries that reacted relatively early during the pandemic. In the following, we focus on Argentina, as Italy is a special case (see above</w:t>
      </w:r>
      <w:proofErr w:type="gramStart"/>
      <w:r w:rsidRPr="004D3031">
        <w:rPr>
          <w:lang w:val="en-US"/>
        </w:rPr>
        <w:t>)</w:t>
      </w:r>
      <w:proofErr w:type="gramEnd"/>
      <w:r w:rsidRPr="004D3031">
        <w:rPr>
          <w:lang w:val="en-US"/>
        </w:rPr>
        <w:t xml:space="preserve"> and South Korea is excluded given the criteria in our protocol. </w:t>
      </w:r>
    </w:p>
    <w:p w14:paraId="61D23B02" w14:textId="70EA1EA1" w:rsidR="0065098B" w:rsidRPr="004D3031" w:rsidRDefault="0065098B" w:rsidP="0065098B">
      <w:pPr>
        <w:rPr>
          <w:lang w:val="en-US"/>
        </w:rPr>
      </w:pPr>
      <w:r w:rsidRPr="004D3031">
        <w:rPr>
          <w:lang w:val="en-US"/>
        </w:rPr>
        <w:t>The authors create synthetic controls based on COVID-19 cases and deaths in the 14-day period before school closures. They estimate that the “effect of the interventions ranges from a 63% to a 90% reduction in daily average deaths in Argentina</w:t>
      </w:r>
      <w:r w:rsidR="00802EE4" w:rsidRPr="004D3031">
        <w:rPr>
          <w:lang w:val="en-US"/>
        </w:rPr>
        <w:t>.</w:t>
      </w:r>
      <w:r w:rsidRPr="004D3031">
        <w:rPr>
          <w:lang w:val="en-US"/>
        </w:rPr>
        <w:t>”</w:t>
      </w:r>
    </w:p>
    <w:p w14:paraId="592EAFA4" w14:textId="3FDEC523" w:rsidR="0065098B" w:rsidRPr="004D3031" w:rsidRDefault="0065098B" w:rsidP="0065098B">
      <w:pPr>
        <w:rPr>
          <w:lang w:val="en-US"/>
        </w:rPr>
      </w:pPr>
      <w:r w:rsidRPr="004D3031">
        <w:rPr>
          <w:lang w:val="en-US"/>
        </w:rPr>
        <w:t xml:space="preserve">The very short pre-intervention window mirrors the same problems as does </w:t>
      </w:r>
      <w:r w:rsidRPr="004D3031">
        <w:rPr>
          <w:lang w:val="en-US"/>
        </w:rPr>
        <w:fldChar w:fldCharType="begin"/>
      </w:r>
      <w:r w:rsidR="00BE2E7B">
        <w:rPr>
          <w:lang w:val="en-US"/>
        </w:rPr>
        <w:instrText xml:space="preserve"> ADDIN ZOTERO_ITEM CSL_CITATION {"citationID":"e5dyuwwM","properties":{"formattedCitation":"Friedson et al. (2021)","plainCitation":"Friedson et al. (2021)","noteIndex":0},"citationItems":[{"id":3711,"uris":["http://zotero.org/groups/2170464/items/F92QXFZH"],"itemData":{"id":3711,"type":"article-journal","abstract":"A shelter-in-place order (SIPO) is one of the most restrictive non-pharmaceutical interventions designed to curb the spread of COVID-19. On March 19, 2020, California Governor Gavin Newsom issued the first statewide SIPO in the United States. The order closed non-essential businesses and required residents to shelter in place for all but essential activities such as grocery shopping, retrieving prescriptions from a pharmacy, or caring for relatives. This study is the first in the economics literature to estimate the effect of a statewide SIPO on public health. Using daily state-level coronavirus data and a synthetic control research design, we find that California's statewide SIPO reduced COVID-19 cases by 160.9 to 194.7 per 100,000 population by April 20, one month following the order. We further find that California's SIPO led to as many as 1,566 fewer COVID-19 deaths during this period. Back-of-the-envelope calculations suggest that there were about 649 to 703 job losses per life saved, and about 14 to16 job losses per case averted during this post-treatment period.","container-title":"Journal of Policy Analysis and Management","DOI":"10.1002/pam.22267","ISSN":"1520-6688","issue":"1","language":"en","note":"_eprint: https://onlinelibrary.wiley.com/doi/pdf/10.1002/pam.22267","page":"258-283","source":"Wiley Online Library","title":"Shelter-in-Place Orders and Public Health: Evidence from California During the Covid-19 Pandemic","title-short":"Shelter-in-Place Orders and Public Health","volume":"40","author":[{"family":"Friedson","given":"Andrew I."},{"family":"McNichols","given":"Drew"},{"family":"Sabia","given":"Joseph J."},{"family":"Dave","given":"Dhaval"}],"issued":{"date-parts":[["2021",12,11]]}}}],"schema":"https://github.com/citation-style-language/schema/raw/master/csl-citation.json"} </w:instrText>
      </w:r>
      <w:r w:rsidRPr="004D3031">
        <w:rPr>
          <w:lang w:val="en-US"/>
        </w:rPr>
        <w:fldChar w:fldCharType="separate"/>
      </w:r>
      <w:r w:rsidR="00BE2E7B" w:rsidRPr="00BE2E7B">
        <w:rPr>
          <w:rFonts w:cs="Calibri"/>
          <w:lang w:val="en-US"/>
        </w:rPr>
        <w:t>Friedson et al. (2021)</w:t>
      </w:r>
      <w:r w:rsidRPr="004D3031">
        <w:rPr>
          <w:lang w:val="en-US"/>
        </w:rPr>
        <w:fldChar w:fldCharType="end"/>
      </w:r>
      <w:r w:rsidRPr="004D3031">
        <w:rPr>
          <w:lang w:val="en-US"/>
        </w:rPr>
        <w:t xml:space="preserve"> (illustrated in </w:t>
      </w:r>
      <w:r w:rsidR="002635AF" w:rsidRPr="004D3031">
        <w:rPr>
          <w:lang w:val="en-US"/>
        </w:rPr>
        <w:fldChar w:fldCharType="begin"/>
      </w:r>
      <w:r w:rsidR="002635AF" w:rsidRPr="004D3031">
        <w:rPr>
          <w:lang w:val="en-US"/>
        </w:rPr>
        <w:instrText xml:space="preserve"> REF _Ref122217258 \h </w:instrText>
      </w:r>
      <w:r w:rsidR="002635AF" w:rsidRPr="004D3031">
        <w:rPr>
          <w:lang w:val="en-US"/>
        </w:rPr>
      </w:r>
      <w:r w:rsidR="002635AF" w:rsidRPr="004D3031">
        <w:rPr>
          <w:lang w:val="en-US"/>
        </w:rPr>
        <w:fldChar w:fldCharType="separate"/>
      </w:r>
      <w:r w:rsidR="002635AF" w:rsidRPr="004D3031">
        <w:rPr>
          <w:lang w:val="en-US"/>
        </w:rPr>
        <w:t xml:space="preserve">Figure </w:t>
      </w:r>
      <w:r w:rsidR="002635AF" w:rsidRPr="004D3031">
        <w:rPr>
          <w:noProof/>
          <w:lang w:val="en-US"/>
        </w:rPr>
        <w:t>2</w:t>
      </w:r>
      <w:r w:rsidR="002635AF" w:rsidRPr="004D3031">
        <w:rPr>
          <w:lang w:val="en-US"/>
        </w:rPr>
        <w:fldChar w:fldCharType="end"/>
      </w:r>
      <w:r w:rsidRPr="004D3031">
        <w:rPr>
          <w:lang w:val="en-US"/>
        </w:rPr>
        <w:t xml:space="preserve">). Indeed, they find an enormous </w:t>
      </w:r>
      <w:r w:rsidRPr="004D3031">
        <w:rPr>
          <w:i/>
          <w:iCs/>
          <w:lang w:val="en-US"/>
        </w:rPr>
        <w:t>and immediate</w:t>
      </w:r>
      <w:r w:rsidRPr="004D3031">
        <w:rPr>
          <w:lang w:val="en-US"/>
        </w:rPr>
        <w:t xml:space="preserve"> effect of nationwide school closures which is incompatible with the fact that there is a lag between infection and death, cf. </w:t>
      </w:r>
      <w:r w:rsidRPr="004D3031">
        <w:rPr>
          <w:lang w:val="en-US"/>
        </w:rPr>
        <w:fldChar w:fldCharType="begin"/>
      </w:r>
      <w:r w:rsidRPr="004D3031">
        <w:rPr>
          <w:lang w:val="en-US"/>
        </w:rPr>
        <w:instrText xml:space="preserve"> REF _Ref122337334 \h </w:instrText>
      </w:r>
      <w:r w:rsidRPr="004D3031">
        <w:rPr>
          <w:lang w:val="en-US"/>
        </w:rPr>
      </w:r>
      <w:r w:rsidRPr="004D3031">
        <w:rPr>
          <w:lang w:val="en-US"/>
        </w:rPr>
        <w:fldChar w:fldCharType="separate"/>
      </w:r>
      <w:r w:rsidR="0041377D" w:rsidRPr="004D3031">
        <w:rPr>
          <w:lang w:val="en-US"/>
        </w:rPr>
        <w:t xml:space="preserve">Figure </w:t>
      </w:r>
      <w:r w:rsidR="0041377D" w:rsidRPr="004D3031">
        <w:rPr>
          <w:noProof/>
          <w:lang w:val="en-US"/>
        </w:rPr>
        <w:t>3</w:t>
      </w:r>
      <w:r w:rsidRPr="004D3031">
        <w:rPr>
          <w:lang w:val="en-US"/>
        </w:rPr>
        <w:fldChar w:fldCharType="end"/>
      </w:r>
      <w:r w:rsidRPr="004D3031">
        <w:rPr>
          <w:lang w:val="en-US"/>
        </w:rPr>
        <w:t xml:space="preserve"> below, which is a replica of the authors’ Figure 1</w:t>
      </w:r>
      <w:r w:rsidR="009B717B" w:rsidRPr="004D3031">
        <w:rPr>
          <w:lang w:val="en-US"/>
        </w:rPr>
        <w:t xml:space="preserve"> (also see the appendix to this supplementary material)</w:t>
      </w:r>
      <w:r w:rsidRPr="004D3031">
        <w:rPr>
          <w:lang w:val="en-US"/>
        </w:rPr>
        <w:t>.</w:t>
      </w:r>
    </w:p>
    <w:p w14:paraId="6F150057" w14:textId="22AA3881" w:rsidR="0065098B" w:rsidRPr="004D3031" w:rsidRDefault="0065098B" w:rsidP="0065098B">
      <w:pPr>
        <w:pStyle w:val="Caption"/>
      </w:pPr>
      <w:bookmarkStart w:id="41" w:name="_Ref122337334"/>
      <w:bookmarkStart w:id="42" w:name="_Toc125059418"/>
      <w:bookmarkStart w:id="43" w:name="_Hlk122341752"/>
      <w:r w:rsidRPr="004D3031">
        <w:lastRenderedPageBreak/>
        <w:t xml:space="preserve">Figure </w:t>
      </w:r>
      <w:r w:rsidRPr="004D3031">
        <w:fldChar w:fldCharType="begin"/>
      </w:r>
      <w:r w:rsidRPr="004D3031">
        <w:instrText xml:space="preserve"> SEQ Figure \* ARABIC </w:instrText>
      </w:r>
      <w:r w:rsidRPr="004D3031">
        <w:fldChar w:fldCharType="separate"/>
      </w:r>
      <w:r w:rsidR="0041377D" w:rsidRPr="004D3031">
        <w:rPr>
          <w:noProof/>
        </w:rPr>
        <w:t>3</w:t>
      </w:r>
      <w:r w:rsidRPr="004D3031">
        <w:rPr>
          <w:noProof/>
        </w:rPr>
        <w:fldChar w:fldCharType="end"/>
      </w:r>
      <w:bookmarkEnd w:id="41"/>
      <w:r w:rsidRPr="004D3031">
        <w:t xml:space="preserve"> COVID-19 mortality in Argentina and Synthetic Argentina</w:t>
      </w:r>
      <w:bookmarkEnd w:id="42"/>
    </w:p>
    <w:bookmarkEnd w:id="43"/>
    <w:p w14:paraId="13BAFAAD" w14:textId="77777777" w:rsidR="0065098B" w:rsidRPr="004D3031" w:rsidRDefault="0065098B" w:rsidP="0065098B">
      <w:pPr>
        <w:pStyle w:val="Tabeltekst"/>
        <w:rPr>
          <w:lang w:val="en-US"/>
        </w:rPr>
      </w:pPr>
      <w:r w:rsidRPr="004D3031">
        <w:rPr>
          <w:noProof/>
          <w:lang w:val="en-US"/>
        </w:rPr>
        <w:drawing>
          <wp:inline distT="0" distB="0" distL="0" distR="0" wp14:anchorId="7F9FFECB" wp14:editId="37FEAE81">
            <wp:extent cx="4329404" cy="3097125"/>
            <wp:effectExtent l="0" t="0" r="0" b="8255"/>
            <wp:docPr id="15" name="Picture 15" descr="Chart, hist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hart, histogram&#10;&#10;Description automatically generated"/>
                    <pic:cNvPicPr/>
                  </pic:nvPicPr>
                  <pic:blipFill>
                    <a:blip r:embed="rId14"/>
                    <a:stretch>
                      <a:fillRect/>
                    </a:stretch>
                  </pic:blipFill>
                  <pic:spPr>
                    <a:xfrm>
                      <a:off x="0" y="0"/>
                      <a:ext cx="4333341" cy="3099941"/>
                    </a:xfrm>
                    <a:prstGeom prst="rect">
                      <a:avLst/>
                    </a:prstGeom>
                  </pic:spPr>
                </pic:pic>
              </a:graphicData>
            </a:graphic>
          </wp:inline>
        </w:drawing>
      </w:r>
      <w:r w:rsidRPr="004D3031">
        <w:rPr>
          <w:lang w:val="en-US"/>
        </w:rPr>
        <w:t>.</w:t>
      </w:r>
    </w:p>
    <w:p w14:paraId="072F7613" w14:textId="30AFB3F2" w:rsidR="0065098B" w:rsidRPr="004D3031" w:rsidRDefault="0065098B" w:rsidP="00D97497">
      <w:pPr>
        <w:pStyle w:val="Undertekstfigur"/>
      </w:pPr>
      <w:r w:rsidRPr="004D3031">
        <w:t xml:space="preserve">Source: Figure 1 in </w:t>
      </w:r>
      <w:r w:rsidRPr="004D3031">
        <w:fldChar w:fldCharType="begin"/>
      </w:r>
      <w:r w:rsidR="00BE2E7B">
        <w:instrText xml:space="preserve"> ADDIN ZOTERO_ITEM CSL_CITATION {"citationID":"OT7aFqYU","properties":{"formattedCitation":"Neidh\\uc0\\u246{}fer and Neidh\\uc0\\u246{}fer (2020)","plainCitation":"Neidhöfer and Neidhöfer (2020)","noteIndex":0},"citationItems":[{"id":3702,"uris":["http://zotero.org/groups/2170464/items/JTIY3VWC"],"itemData":{"id":3702,"type":"article-journal","abstract":"The rapid spread of COVID-19 forced policy-makers to swiftly ﬁnd solutions to reduce infection rates and keep mortality as low as possible. Empirical analyses on the eﬀectiveness of control measures are hereby of primary importance. School closures were among the earliest measures enacted by the governments of most countries. However, while schools are now reopening in many countries, the impact of school closures on the course of the epidemic is still an open question. Adopting parametric and non-parametric synthetic control methods we estimate the eﬀectiveness of pro-active school closures, and other early social distancing interventions, in three countries that reacted relatively early during the course of the pandemic. Our ﬁndings suggest that these interventions were eﬀective at reducing the mortality rate of COVID-19, especially when enacted early.","container-title":"SSRN Electronic Journal","DOI":"10.2139/ssrn.3649953","ISSN":"1556-5068","journalAbbreviation":"SSRN Journal","language":"en","source":"DOI.org (Crossref)","title":"The Effectiveness of School Closures and Other Pre-Lockdown COVID-19 Mitigation Strategies in Argentina, Italy, and South Korea","URL":"https://www.ssrn.com/abstract=3649953","author":[{"family":"Neidhöfer","given":"Guido"},{"family":"Neidhöfer","given":"Claudio"}],"accessed":{"date-parts":[["2021",8,17]]},"issued":{"date-parts":[["2020",7,3]]}}}],"schema":"https://github.com/citation-style-language/schema/raw/master/csl-citation.json"} </w:instrText>
      </w:r>
      <w:r w:rsidRPr="004D3031">
        <w:fldChar w:fldCharType="separate"/>
      </w:r>
      <w:r w:rsidR="00BE2E7B" w:rsidRPr="00BE2E7B">
        <w:rPr>
          <w:rFonts w:cs="Calibri"/>
          <w:sz w:val="22"/>
        </w:rPr>
        <w:t>Neidhöfer and Neidhöfer (2020)</w:t>
      </w:r>
      <w:r w:rsidRPr="004D3031">
        <w:fldChar w:fldCharType="end"/>
      </w:r>
    </w:p>
    <w:p w14:paraId="42D1655C" w14:textId="77777777" w:rsidR="0065098B" w:rsidRPr="004D3031" w:rsidRDefault="0065098B" w:rsidP="0065098B">
      <w:pPr>
        <w:rPr>
          <w:color w:val="FF0000"/>
          <w:lang w:val="en-US"/>
        </w:rPr>
      </w:pPr>
    </w:p>
    <w:p w14:paraId="762A4592" w14:textId="6587C161" w:rsidR="0065098B" w:rsidRPr="004D3031" w:rsidRDefault="0065098B" w:rsidP="00992AE3">
      <w:pPr>
        <w:pStyle w:val="Heading4"/>
        <w:rPr>
          <w:lang w:val="en-US"/>
        </w:rPr>
      </w:pPr>
      <w:r w:rsidRPr="004D3031">
        <w:rPr>
          <w:lang w:val="en-US"/>
        </w:rPr>
        <w:fldChar w:fldCharType="begin"/>
      </w:r>
      <w:r w:rsidR="00BE2E7B">
        <w:rPr>
          <w:lang w:val="en-US"/>
        </w:rPr>
        <w:instrText xml:space="preserve"> ADDIN ZOTERO_ITEM CSL_CITATION {"citationID":"xWXIBkgk","properties":{"formattedCitation":"Reinbold (2021)","plainCitation":"Reinbold (2021)","noteIndex":0},"citationItems":[{"id":3721,"uris":["http://zotero.org/groups/2170464/items/HLDHP4ZB"],"itemData":{"id":3721,"type":"article-journal","abstract":"&lt;h3&gt;Background&lt;/h3&gt;&lt;p&gt;One of the most difficult public policy decisions associated with the COVID-19 pandemic has been about how to offer K-12 instruction. We sought to determine whether differences in instruction types at the beginning of the 2020-2021 school year were related to differences in COVID-19 cases, hospitalizations, and deaths in Illinois counties during the first 3 weeks of the school year.&lt;/p&gt;&lt;h3&gt;Methods&lt;/h3&gt;&lt;p&gt;We divided Illinois counties into 3 groups based on the instruction type used for a majority of K-12 students at the start of the school year: in-person, hybrid, or online-only. We used synthetic control analysis to match counties between the 3 groups.&lt;/p&gt;&lt;h3&gt;Results&lt;/h3&gt;&lt;p&gt;Both majority hybrid and majority online-only counties had significantly fewer new cases than majority in-person counties. There were no significant differences in new cases between majority hybrid counties and majority online-only counties or in new hospital admissions or deaths between any of the 3 county groups.&lt;/p&gt;&lt;h3&gt;Conclusions&lt;/h3&gt;&lt;p&gt;This paper adds to the growing scientific consensus that at least some forms of in-person K-12 instruction have not contributed significantly to the spread of the pandemic. However, our results suggest that there may be an important difference between fully in-person instruction and hybrid instruction.&lt;/p&gt;","container-title":"American Journal of Infection Control","DOI":"10.1016/j.ajic.2021.05.011","ISSN":"0196-6553, 1527-3296","issue":"0","journalAbbreviation":"American Journal of Infection Control","language":"English","note":"publisher: Elsevier\nPMID: 34052313","source":"www.ajicjournal.org","title":"Effect of Fall 2020 K-12 instruction types on COVID-19 cases, hospital admissions, and deaths in Illinois counties","URL":"https://www.ajicjournal.org/article/S0196-6553(21)00380-1/abstract","volume":"0","author":[{"family":"Reinbold","given":"Gary W."}],"accessed":{"date-parts":[["2021",8,17]]},"issued":{"date-parts":[["2021",5,27]]}}}],"schema":"https://github.com/citation-style-language/schema/raw/master/csl-citation.json"} </w:instrText>
      </w:r>
      <w:r w:rsidRPr="004D3031">
        <w:rPr>
          <w:lang w:val="en-US"/>
        </w:rPr>
        <w:fldChar w:fldCharType="separate"/>
      </w:r>
      <w:bookmarkStart w:id="44" w:name="_Toc124683299"/>
      <w:r w:rsidR="00BE2E7B" w:rsidRPr="00BE2E7B">
        <w:rPr>
          <w:rFonts w:cs="Calibri"/>
          <w:lang w:val="en-US"/>
        </w:rPr>
        <w:t>Reinbold (2021)</w:t>
      </w:r>
      <w:r w:rsidRPr="004D3031">
        <w:rPr>
          <w:lang w:val="en-US"/>
        </w:rPr>
        <w:fldChar w:fldCharType="end"/>
      </w:r>
      <w:r w:rsidRPr="004D3031">
        <w:rPr>
          <w:lang w:val="en-US"/>
        </w:rPr>
        <w:t xml:space="preserve"> – School closures in Illinois</w:t>
      </w:r>
      <w:bookmarkEnd w:id="44"/>
      <w:r w:rsidRPr="004D3031">
        <w:rPr>
          <w:lang w:val="en-US"/>
        </w:rPr>
        <w:t xml:space="preserve"> </w:t>
      </w:r>
    </w:p>
    <w:p w14:paraId="4EBBF95C" w14:textId="69342111" w:rsidR="0065098B" w:rsidRPr="00F335EA" w:rsidRDefault="0065098B" w:rsidP="0065098B">
      <w:r w:rsidRPr="004D3031">
        <w:rPr>
          <w:lang w:val="en-US"/>
        </w:rPr>
        <w:fldChar w:fldCharType="begin"/>
      </w:r>
      <w:r w:rsidR="00BE2E7B">
        <w:rPr>
          <w:lang w:val="en-US"/>
        </w:rPr>
        <w:instrText xml:space="preserve"> ADDIN ZOTERO_ITEM CSL_CITATION {"citationID":"fuaMX85U","properties":{"formattedCitation":"Reinbold (2021)","plainCitation":"Reinbold (2021)","noteIndex":0},"citationItems":[{"id":3721,"uris":["http://zotero.org/groups/2170464/items/HLDHP4ZB"],"itemData":{"id":3721,"type":"article-journal","abstract":"&lt;h3&gt;Background&lt;/h3&gt;&lt;p&gt;One of the most difficult public policy decisions associated with the COVID-19 pandemic has been about how to offer K-12 instruction. We sought to determine whether differences in instruction types at the beginning of the 2020-2021 school year were related to differences in COVID-19 cases, hospitalizations, and deaths in Illinois counties during the first 3 weeks of the school year.&lt;/p&gt;&lt;h3&gt;Methods&lt;/h3&gt;&lt;p&gt;We divided Illinois counties into 3 groups based on the instruction type used for a majority of K-12 students at the start of the school year: in-person, hybrid, or online-only. We used synthetic control analysis to match counties between the 3 groups.&lt;/p&gt;&lt;h3&gt;Results&lt;/h3&gt;&lt;p&gt;Both majority hybrid and majority online-only counties had significantly fewer new cases than majority in-person counties. There were no significant differences in new cases between majority hybrid counties and majority online-only counties or in new hospital admissions or deaths between any of the 3 county groups.&lt;/p&gt;&lt;h3&gt;Conclusions&lt;/h3&gt;&lt;p&gt;This paper adds to the growing scientific consensus that at least some forms of in-person K-12 instruction have not contributed significantly to the spread of the pandemic. However, our results suggest that there may be an important difference between fully in-person instruction and hybrid instruction.&lt;/p&gt;","container-title":"American Journal of Infection Control","DOI":"10.1016/j.ajic.2021.05.011","ISSN":"0196-6553, 1527-3296","issue":"0","journalAbbreviation":"American Journal of Infection Control","language":"English","note":"publisher: Elsevier\nPMID: 34052313","source":"www.ajicjournal.org","title":"Effect of Fall 2020 K-12 instruction types on COVID-19 cases, hospital admissions, and deaths in Illinois counties","URL":"https://www.ajicjournal.org/article/S0196-6553(21)00380-1/abstract","volume":"0","author":[{"family":"Reinbold","given":"Gary W."}],"accessed":{"date-parts":[["2021",8,17]]},"issued":{"date-parts":[["2021",5,27]]}}}],"schema":"https://github.com/citation-style-language/schema/raw/master/csl-citation.json"} </w:instrText>
      </w:r>
      <w:r w:rsidRPr="004D3031">
        <w:rPr>
          <w:lang w:val="en-US"/>
        </w:rPr>
        <w:fldChar w:fldCharType="separate"/>
      </w:r>
      <w:r w:rsidR="00BE2E7B" w:rsidRPr="00BE2E7B">
        <w:rPr>
          <w:rFonts w:cs="Calibri"/>
          <w:lang w:val="en-US"/>
        </w:rPr>
        <w:t>Reinbold (2021)</w:t>
      </w:r>
      <w:r w:rsidRPr="004D3031">
        <w:rPr>
          <w:lang w:val="en-US"/>
        </w:rPr>
        <w:fldChar w:fldCharType="end"/>
      </w:r>
      <w:r w:rsidRPr="004D3031">
        <w:rPr>
          <w:lang w:val="en-US"/>
        </w:rPr>
        <w:t xml:space="preserve"> examines the effect of school closures in Illinois in August 2020 and thus does not suffer from the same “surprise”</w:t>
      </w:r>
      <w:r w:rsidR="00802EE4" w:rsidRPr="004D3031">
        <w:rPr>
          <w:lang w:val="en-US"/>
        </w:rPr>
        <w:t xml:space="preserve"> </w:t>
      </w:r>
      <w:r w:rsidRPr="004D3031">
        <w:rPr>
          <w:lang w:val="en-US"/>
        </w:rPr>
        <w:t xml:space="preserve">problems as </w:t>
      </w:r>
      <w:r w:rsidRPr="004D3031">
        <w:rPr>
          <w:lang w:val="en-US"/>
        </w:rPr>
        <w:fldChar w:fldCharType="begin"/>
      </w:r>
      <w:r w:rsidR="00BE2E7B">
        <w:rPr>
          <w:lang w:val="en-US"/>
        </w:rPr>
        <w:instrText xml:space="preserve"> ADDIN ZOTERO_ITEM CSL_CITATION {"citationID":"nVpAdXkq","properties":{"formattedCitation":"Friedson et al. (2021)","plainCitation":"Friedson et al. (2021)","noteIndex":0},"citationItems":[{"id":3711,"uris":["http://zotero.org/groups/2170464/items/F92QXFZH"],"itemData":{"id":3711,"type":"article-journal","abstract":"A shelter-in-place order (SIPO) is one of the most restrictive non-pharmaceutical interventions designed to curb the spread of COVID-19. On March 19, 2020, California Governor Gavin Newsom issued the first statewide SIPO in the United States. The order closed non-essential businesses and required residents to shelter in place</w:instrText>
      </w:r>
      <w:r w:rsidR="00BE2E7B" w:rsidRPr="00D265BE">
        <w:rPr>
          <w:lang w:val="en-US"/>
        </w:rPr>
        <w:instrText xml:space="preserve"> for all but essential activities such as grocery shopping, retrieving prescriptions from a pharmacy, or caring for relatives. This study is the first in the economics literature to estimate the effect of a statewide SIPO on public health. Using daily state-level coronavirus data and a synthetic control research design, we find that California's statewide SIPO reduced COVID-19 cases by 160.9 to 194.7 per 100,000 population by April 20, one month following the order. We further find that California's SIPO led to as many as 1,566 fewer COVID-19 deaths during this period. Back-of-the-envelope calculations suggest that there were about 649 to 703 job losses per life saved, and about 14 to16 job losses pe</w:instrText>
      </w:r>
      <w:r w:rsidR="00BE2E7B" w:rsidRPr="00BE2E7B">
        <w:instrText xml:space="preserve">r case averted during this post-treatment period.","container-title":"Journal of Policy Analysis and Management","DOI":"10.1002/pam.22267","ISSN":"1520-6688","issue":"1","language":"en","note":"_eprint: https://onlinelibrary.wiley.com/doi/pdf/10.1002/pam.22267","page":"258-283","source":"Wiley Online Library","title":"Shelter-in-Place Orders and Public Health: Evidence from California During the Covid-19 Pandemic","title-short":"Shelter-in-Place Orders and Public Health","volume":"40","author":[{"family":"Friedson","given":"Andrew I."},{"family":"McNichols","given":"Drew"},{"family":"Sabia","given":"Joseph J."},{"family":"Dave","given":"Dhaval"}],"issued":{"date-parts":[["2021",12,11]]}}}],"schema":"https://github.com/citation-style-language/schema/raw/master/csl-citation.json"} </w:instrText>
      </w:r>
      <w:r w:rsidRPr="004D3031">
        <w:rPr>
          <w:lang w:val="en-US"/>
        </w:rPr>
        <w:fldChar w:fldCharType="separate"/>
      </w:r>
      <w:r w:rsidR="00BE2E7B" w:rsidRPr="00BE2E7B">
        <w:rPr>
          <w:rFonts w:cs="Calibri"/>
        </w:rPr>
        <w:t>Friedson et al. (2021)</w:t>
      </w:r>
      <w:r w:rsidRPr="004D3031">
        <w:rPr>
          <w:lang w:val="en-US"/>
        </w:rPr>
        <w:fldChar w:fldCharType="end"/>
      </w:r>
      <w:r w:rsidRPr="00F335EA">
        <w:t xml:space="preserve"> and </w:t>
      </w:r>
      <w:r w:rsidRPr="004D3031">
        <w:rPr>
          <w:lang w:val="en-US"/>
        </w:rPr>
        <w:fldChar w:fldCharType="begin"/>
      </w:r>
      <w:r w:rsidR="00BE2E7B">
        <w:instrText xml:space="preserve"> ADDIN ZOTERO_ITEM CSL_CITATION {"citationID":"f8BSq1DN","properties":{"formattedCitation":"Neidh\\uc0\\u246{}fer and Neidh\\uc0\\u246{}fer (2020)","plainCitation":"Neidhöfer and Neidhöfer (2020)","noteIndex":0},"citationItems":[{"id":3702,"uris":["http://zotero.org/groups/2170464/items/JTIY3VWC"],"itemData":{"id":3702,"type":"article-journal","abstract":"The rapid spread of COVID-19 forced policy-makers to swiftly ﬁnd solutions to reduce infection rates and keep mortality as low as possible. Empirical analyses on the eﬀectiveness of control measures are hereby of primary importance. School closures were among the earliest measures enacted by the governments of most countries. However, while schools are now reopening in many countries, the impact of school closures on the course of the epidemic is still an open question. Adopting parametric and non-parametric synthetic control methods we estimate the eﬀectiveness of pro-active school closures, and other early social distancing interventions, in three countries that reacted relatively early during the course of the pandemic. Our ﬁndings suggest that these interventions were eﬀective at reducing the mortality rate of COVID-19, especially when enacted early.","container-title":"SSRN Electronic Journal","DOI":"10.2139/ssrn.3649953","ISSN":"1556-5068","journalAbbreviation":"SSRN Journal","language":"en","source":"DOI.org (Crossref)","title":"The Effectiveness of School Closures and Other Pre-Lockdown COVID-19 Mitigation Strategies in Argentina, Italy, and South Korea","URL":"https://www.ssrn.com/abstract=3649953","author":[{"family":"Neidhöfer","given":"Guido"},{"family":"Neidhöfer","given":"Claudio"}],"accessed":{"date-parts":[["2021",8,17]]},"issued":{"date-parts":[["2020",7,3]]}}}],"schema":"https://github.com/citation-style-language/schema/raw/master/csl-citation.json"} </w:instrText>
      </w:r>
      <w:r w:rsidRPr="004D3031">
        <w:rPr>
          <w:lang w:val="en-US"/>
        </w:rPr>
        <w:fldChar w:fldCharType="separate"/>
      </w:r>
      <w:r w:rsidR="00BE2E7B" w:rsidRPr="00BE2E7B">
        <w:rPr>
          <w:rFonts w:cs="Calibri"/>
        </w:rPr>
        <w:t>Neidhöfer and Neidhöfer (2020)</w:t>
      </w:r>
      <w:r w:rsidRPr="004D3031">
        <w:rPr>
          <w:lang w:val="en-US"/>
        </w:rPr>
        <w:fldChar w:fldCharType="end"/>
      </w:r>
      <w:r w:rsidRPr="00F335EA">
        <w:t>.</w:t>
      </w:r>
    </w:p>
    <w:p w14:paraId="1C5A1A10" w14:textId="1997AAA2" w:rsidR="0065098B" w:rsidRPr="004D3031" w:rsidRDefault="0065098B" w:rsidP="0065098B">
      <w:pPr>
        <w:rPr>
          <w:lang w:val="en-US"/>
        </w:rPr>
      </w:pPr>
      <w:r w:rsidRPr="004D3031">
        <w:rPr>
          <w:lang w:val="en-US"/>
        </w:rPr>
        <w:fldChar w:fldCharType="begin"/>
      </w:r>
      <w:r w:rsidR="00BE2E7B" w:rsidRPr="00D265BE">
        <w:rPr>
          <w:lang w:val="en-US"/>
        </w:rPr>
        <w:instrText xml:space="preserve"> ADDIN ZOTERO_ITEM CSL_CITATION {"citationID":"ABxQLxiA","properties":{"formattedCitation":"Reinbold (2021)","plainCitation":"Reinbold (2021)","noteIndex":0},"citationItems":[{"id":3721,"uris":["http://zotero.org/groups/2170464/items/HLDHP4ZB"],"itemData":{"id":3721,"type":"article-journal","abstract":"&lt;h3&gt;Background&lt;/h3&gt;&lt;p&gt;One of the most difficult public policy decisions associated with the COVID-19 pandemic has been about how to offer K-12 instruction. We sought to determine whether differences in instruction types at the beginning of the 2020-2021 school year were related to differences in COVID-19 cases, hospitalizations, and deaths in Illinois counties during the first 3 weeks of the school year.&lt;/p&gt;&lt;h3&gt;Methods&lt;/h3&gt;&lt;p&gt;We divided Illinois counties into 3 groups based on the instruction type used for a majority of K-12 students at the start of the school year: in-person, hybrid, or online-only. We used synthetic control analysis to match counties between the 3 groups.&lt;/p&gt;&lt;h3&gt;Results&lt;/h3&gt;&lt;p&gt;Both majority hybrid and majority online-only counties had significantly fewer new cases than majority in-person counties. There were no significant differences in new cases between majority hybrid counties and majority online-only counties or in new hospital admissions or deaths between any of the 3 county groups.&lt;/p&gt;&lt;h3&gt;Conclusions&lt;/h3&gt;&lt;p&gt;This paper adds to the growing scientific consensus that at least some forms of in-person K-12 instruction have not contributed significantly to the spread of the pandemic. However, our results suggest that there may be an important difference between fully in-person instruction and hybrid instruction.&lt;/p&gt;","container-title":"American Journal of Infection Control","DOI":"10.1016/j.ajic.2021.05.011","ISSN":"0196-6553, 1527-3296","issue":"0","journalAbbreviation":"American Journal of Infection Control","language":"English","note":"publisher: Elsevier\nPMID: 34052313","source":"www.ajicjournal.org","title":"Effect of Fall 2020 K-12 instruction types on COVID-19 cases, hospital admissions, and deaths in Illinois counties","URL":"https://www.ajicjournal.org/article/S0196-6553(21)00380-1/abstract","volume":"0","author":[{"family":"Reinbold","given":"Gary W."}],"accessed":{"date-parts":[["2021",8,17]]},"issued":{"date-parts":[["2021",5,27]]}}}],"schema":"https://github.com/citation-style-language/schema/raw/master/csl-citation.json"} </w:instrText>
      </w:r>
      <w:r w:rsidRPr="004D3031">
        <w:rPr>
          <w:lang w:val="en-US"/>
        </w:rPr>
        <w:fldChar w:fldCharType="separate"/>
      </w:r>
      <w:r w:rsidR="00BE2E7B" w:rsidRPr="00D265BE">
        <w:rPr>
          <w:rFonts w:cs="Calibri"/>
          <w:lang w:val="en-US"/>
        </w:rPr>
        <w:t>Reinbold (2021)</w:t>
      </w:r>
      <w:r w:rsidRPr="004D3031">
        <w:rPr>
          <w:lang w:val="en-US"/>
        </w:rPr>
        <w:fldChar w:fldCharType="end"/>
      </w:r>
      <w:r w:rsidRPr="00D265BE">
        <w:rPr>
          <w:lang w:val="en-US"/>
        </w:rPr>
        <w:t xml:space="preserve"> does not explain the reason for using data from Illinois. </w:t>
      </w:r>
      <w:r w:rsidRPr="004D3031">
        <w:rPr>
          <w:lang w:val="en-US"/>
        </w:rPr>
        <w:t xml:space="preserve">In the period examined (August 24, </w:t>
      </w:r>
      <w:proofErr w:type="gramStart"/>
      <w:r w:rsidRPr="004D3031">
        <w:rPr>
          <w:lang w:val="en-US"/>
        </w:rPr>
        <w:t>2020</w:t>
      </w:r>
      <w:proofErr w:type="gramEnd"/>
      <w:r w:rsidRPr="004D3031">
        <w:rPr>
          <w:lang w:val="en-US"/>
        </w:rPr>
        <w:t xml:space="preserve"> to September 13, 2020</w:t>
      </w:r>
      <w:r w:rsidR="00802EE4" w:rsidRPr="004D3031">
        <w:rPr>
          <w:lang w:val="en-US"/>
        </w:rPr>
        <w:t>)</w:t>
      </w:r>
      <w:r w:rsidRPr="004D3031">
        <w:rPr>
          <w:lang w:val="en-US"/>
        </w:rPr>
        <w:t xml:space="preserve">, the number of COVID-19 deaths were relatively stable in Illinois and the U.S. as a whole, and reveal no potential source for bias regarding the geographical coverage. </w:t>
      </w:r>
    </w:p>
    <w:p w14:paraId="47A690E8" w14:textId="259DC77A" w:rsidR="0065098B" w:rsidRPr="004D3031" w:rsidRDefault="0065098B" w:rsidP="0065098B">
      <w:pPr>
        <w:rPr>
          <w:lang w:val="en-US"/>
        </w:rPr>
      </w:pPr>
      <w:r w:rsidRPr="004D3031">
        <w:rPr>
          <w:lang w:val="en-US"/>
        </w:rPr>
        <w:fldChar w:fldCharType="begin"/>
      </w:r>
      <w:r w:rsidR="00BE2E7B">
        <w:rPr>
          <w:lang w:val="en-US"/>
        </w:rPr>
        <w:instrText xml:space="preserve"> ADDIN ZOTERO_ITEM CSL_CITATION {"citationID":"m0N7zUSe","properties":{"formattedCitation":"Reinbold (2021)","plainCitation":"Reinbold (2021)","noteIndex":0},"citationItems":[{"id":3721,"uris":["http://zotero.org/groups/2170464/items/HLDHP4ZB"],"itemData":{"id":3721,"type":"article-journal","abstract":"&lt;h3&gt;Background&lt;/h3&gt;&lt;p&gt;One of the most difficult public policy decisions associated with the COVID-19 pandemic has been about how to offer K-12 instruction. We sought to determine whether differences in instruction types at the beginning of the 2020-2021 school year were related to differences in COVID-19 cases, hospitalizations, and deaths in Illinois counties during the first 3 weeks of the school year.&lt;/p&gt;&lt;h3&gt;Methods&lt;/h3&gt;&lt;p&gt;We divided Illinois counties into 3 groups based on the instruction type used for a majority of K-12 students at the start of the school year: in-person, hybrid, or online-only. We used synthetic control analysis to match counties between the 3 groups.&lt;/p&gt;&lt;h3&gt;Results&lt;/h3&gt;&lt;p&gt;Both majority hybrid and majority online-only counties had significantly fewer new cases than majority in-person counties. There were no significant differences in new cases between majority hybrid counties and majority online-only counties or in new hospital admissions or deaths between any of the 3 county groups.&lt;/p&gt;&lt;h3&gt;Conclusions&lt;/h3&gt;&lt;p&gt;This paper adds to the growing scientific consensus that at least some forms of in-person K-12 instruction have not contributed significantly to the spread of the pandemic. However, our results suggest that there may be an important difference between fully in-person instruction and hybrid instruction.&lt;/p&gt;","container-title":"American Journal of Infection Control","DOI":"10.1016/j.ajic.2021.05.011","ISSN":"0196-6553, 1527-3296","issue":"0","journalAbbreviation":"American Journal of Infection Control","language":"English","note":"publisher: Elsevier\nPMID: 34052313","source":"www.ajicjournal.org","title":"Effect of Fall 2020 K-12 instruction types on COVID-19 cases, hospital admissions, and deaths in Illinois counties","URL":"https://www.ajicjournal.org/article/S0196-6553(21)00380-1/abstract","volume":"0","author":[{"family":"Reinbold","given":"Gary W."}],"accessed":{"date-parts":[["2021",8,17]]},"issued":{"date-parts":[["2021",5,27]]}}}],"schema":"https://github.com/citation-style-language/schema/raw/master/csl-citation.json"} </w:instrText>
      </w:r>
      <w:r w:rsidRPr="004D3031">
        <w:rPr>
          <w:lang w:val="en-US"/>
        </w:rPr>
        <w:fldChar w:fldCharType="separate"/>
      </w:r>
      <w:r w:rsidR="00BE2E7B" w:rsidRPr="00BE2E7B">
        <w:rPr>
          <w:rFonts w:cs="Calibri"/>
          <w:lang w:val="en-US"/>
        </w:rPr>
        <w:t>Reinbold (2021)</w:t>
      </w:r>
      <w:r w:rsidRPr="004D3031">
        <w:rPr>
          <w:lang w:val="en-US"/>
        </w:rPr>
        <w:fldChar w:fldCharType="end"/>
      </w:r>
      <w:r w:rsidRPr="004D3031">
        <w:rPr>
          <w:lang w:val="en-US"/>
        </w:rPr>
        <w:t xml:space="preserve"> finds “no significant differences in […] deaths between any of the 3 county groups” (majority hybrid, majority online-only</w:t>
      </w:r>
      <w:r w:rsidR="00802EE4" w:rsidRPr="004D3031">
        <w:rPr>
          <w:lang w:val="en-US"/>
        </w:rPr>
        <w:t>,</w:t>
      </w:r>
      <w:r w:rsidRPr="004D3031">
        <w:rPr>
          <w:lang w:val="en-US"/>
        </w:rPr>
        <w:t xml:space="preserve"> and majority in-person counties).</w:t>
      </w:r>
    </w:p>
    <w:p w14:paraId="5C11FDDB" w14:textId="0C43F5AD" w:rsidR="0065098B" w:rsidRPr="004D3031" w:rsidRDefault="004F767B" w:rsidP="0065098B">
      <w:pPr>
        <w:rPr>
          <w:lang w:val="en-US"/>
        </w:rPr>
      </w:pPr>
      <w:r w:rsidRPr="004D3031">
        <w:rPr>
          <w:lang w:val="en-US"/>
        </w:rPr>
        <w:t>One possible</w:t>
      </w:r>
      <w:r w:rsidR="0065098B" w:rsidRPr="004D3031">
        <w:rPr>
          <w:lang w:val="en-US"/>
        </w:rPr>
        <w:t xml:space="preserve"> concern is that the period studied is only three weeks, so any effect on deaths from the school closures is likely to be </w:t>
      </w:r>
      <w:r w:rsidR="009B717B" w:rsidRPr="004D3031">
        <w:rPr>
          <w:lang w:val="en-US"/>
        </w:rPr>
        <w:t xml:space="preserve">small </w:t>
      </w:r>
      <w:r w:rsidR="0065098B" w:rsidRPr="004D3031">
        <w:rPr>
          <w:lang w:val="en-US"/>
        </w:rPr>
        <w:t>because of the lag between infection and death</w:t>
      </w:r>
      <w:r w:rsidR="009B717B" w:rsidRPr="004D3031">
        <w:rPr>
          <w:lang w:val="en-US"/>
        </w:rPr>
        <w:t xml:space="preserve">, which is particularly long when the reproduction rate is close to 1 </w:t>
      </w:r>
      <w:r w:rsidR="001E5660" w:rsidRPr="004D3031">
        <w:rPr>
          <w:lang w:val="en-US"/>
        </w:rPr>
        <w:t>(see the appendix to this supplementary material)</w:t>
      </w:r>
      <w:r w:rsidR="0065098B" w:rsidRPr="004D3031">
        <w:rPr>
          <w:lang w:val="en-US"/>
        </w:rPr>
        <w:t xml:space="preserve">. This may explain why </w:t>
      </w:r>
      <w:r w:rsidR="0065098B" w:rsidRPr="004D3031">
        <w:rPr>
          <w:lang w:val="en-US"/>
        </w:rPr>
        <w:fldChar w:fldCharType="begin"/>
      </w:r>
      <w:r w:rsidR="00BE2E7B">
        <w:rPr>
          <w:lang w:val="en-US"/>
        </w:rPr>
        <w:instrText xml:space="preserve"> ADDIN ZOTERO_ITEM CSL_CITATION {"citationID":"ZreUYjxC","properties":{"formattedCitation":"Reinbold (2021)","plainCitation":"Reinbold (2021)","noteIndex":0},"citationItems":[{"id":3721,"uris":["http://zotero.org/groups/2170464/items/HLDHP4ZB"],"itemData":{"id":3721,"type":"article-journal","abstract":"&lt;h3&gt;Background&lt;/h3&gt;&lt;p&gt;One of the most difficult public policy decisions associated with the COVID-19 pandemic has been about how to offer K-12 instruction. We sought to determine whether differences in instruction types at the beginning of the 2020-2021 school year were related to differences in COVID-19 cases, hospitalizations, and deaths in Illinois counties during the first 3 weeks of the school year.&lt;/p&gt;&lt;h3&gt;Methods&lt;/h3&gt;&lt;p&gt;We divided Illinois counties into 3 groups based on the instruction type used for a majority of K-12 students at the start of the school year: in-person, hybrid, or online-only. We used synthetic control analysis to match counties between the 3 groups.&lt;/p&gt;&lt;h3&gt;Results&lt;/h3&gt;&lt;p&gt;Both majority hybrid and majority online-only counties had significantly fewer new cases than majority in-person counties. There were no significant differences in new cases between majority hybrid counties and majority online-only counties or in new hospital admissions or deaths between any of the 3 county groups.&lt;/p&gt;&lt;h3&gt;Conclusions&lt;/h3&gt;&lt;p&gt;This paper adds to the growing scientific consensus that at least some forms of in-person K-12 instruction have not contributed significantly to the spread of the pandemic. However, our results suggest that there may be an important difference between fully in-person instruction and hybrid instruction.&lt;/p&gt;","container-title":"American Journal of Infection Control","DOI":"10.1016/j.ajic.2021.05.011","ISSN":"0196-6553, 1527-3296","issue":"0","journalAbbreviation":"American Journal of Infection Control","language":"English","note":"publisher: Elsevier\nPMID: 34052313","source":"www.ajicjournal.org","title":"Effect of Fall 2020 K-12 instruction types on COVID-19 cases, hospital admissions, and deaths in Illinois counties","URL":"https://www.ajicjournal.org/article/S0196-6553(21)00380-1/abstract","volume":"0","author":[{"family":"Reinbold","given":"Gary W."}],"accessed":{"date-parts":[["2021",8,17]]},"issued":{"date-parts":[["2021",5,27]]}}}],"schema":"https://github.com/citation-style-language/schema/raw/master/csl-citation.json"} </w:instrText>
      </w:r>
      <w:r w:rsidR="0065098B" w:rsidRPr="004D3031">
        <w:rPr>
          <w:lang w:val="en-US"/>
        </w:rPr>
        <w:fldChar w:fldCharType="separate"/>
      </w:r>
      <w:r w:rsidR="00BE2E7B" w:rsidRPr="00BE2E7B">
        <w:rPr>
          <w:rFonts w:cs="Calibri"/>
          <w:lang w:val="en-US"/>
        </w:rPr>
        <w:t>Reinbold (2021)</w:t>
      </w:r>
      <w:r w:rsidR="0065098B" w:rsidRPr="004D3031">
        <w:rPr>
          <w:lang w:val="en-US"/>
        </w:rPr>
        <w:fldChar w:fldCharType="end"/>
      </w:r>
      <w:r w:rsidR="0065098B" w:rsidRPr="004D3031">
        <w:rPr>
          <w:lang w:val="en-US"/>
        </w:rPr>
        <w:t xml:space="preserve"> finds no significant effect on mortality. </w:t>
      </w:r>
    </w:p>
    <w:bookmarkStart w:id="45" w:name="_Hlk122339450"/>
    <w:p w14:paraId="394491C7" w14:textId="489B2AAA" w:rsidR="0065098B" w:rsidRPr="00C23526" w:rsidRDefault="0065098B" w:rsidP="000668BF">
      <w:pPr>
        <w:pStyle w:val="Heading4"/>
      </w:pPr>
      <w:r w:rsidRPr="004D3031">
        <w:rPr>
          <w:lang w:val="en-US"/>
        </w:rPr>
        <w:fldChar w:fldCharType="begin"/>
      </w:r>
      <w:r w:rsidR="00BE2E7B">
        <w:instrText xml:space="preserve"> ADDIN ZOTERO_ITEM CSL_CITATION {"citationID":"NU0VyhVW","properties":{"formattedCitation":"Dave et al. (2020b)","plainCitation":"Dave et al. (2020b)","noteIndex":0},"citationItems":[{"id":4443,"uris":["http://zotero.org/groups/2170464/items/PJ7N4CCP"],"itemData":{"id":4443,"type":"article-journal","abstract":"Policymakers have explicitly linked sustained reductions in COVID-19 case growth to reopening policies, including the lifting of shelter-in-place orders (SIPOs). This “hardwired” policy endogeneity creates challenges in isolating the causal effect of lifting a statewide SIPO on COVID-19. To overcome simultaneity bias, we exploit a unique natural experiment generated by the Wisconsin Supreme Court when it abolished Wisconsin’s “Safer at Home” order on separation-of-powers grounds. We capitalize on this sudden, dramatic, and largely unanticipated termination of a statewide SIPO to estimate its effect on social distancing and COVID-19 case growth. First, using anonymized smartphone data from SafeGraph Inc. and a synthetic control design, we find that SIPO termination had little impact on social distancing. Then, using data on COVID-19 case and mortality rates, we find no evidence that the Wisconsin Supreme Court decision impacted COVID-19 growth up to a month following the repeal. We conclude that the impacts of SIPOs are likely not symmetric across enactment and lifting of orders, and this asymmetry sheds new light on the potential mechanisms underlying the effectiveness of these orders.","collection-title":"Working Paper Series","DOI":"10.3386/w27322","note":"DOI: 10.3386/w27322","source":"National Bureau of Economic Research","title":"Are the Effects of Adoption and Termination of Shelter-in-Place Orders Symmetric? Evidence from a Natural Experiment","title-short":"Are the Effects of Adoption and Termination of Shelter-in-Place Orders Symmetric?","URL":"https://www.nber.org/papers/w27322","author":[{"family":"Dave","given":"Dhaval"},{"family":"Friedson","given":"Andrew I."},{"family":"Matsuzawa","given":"Kyutaro"},{"family":"McNichols","given":"Drew"},{"family":"Sabia","given":"Joseph J."}],"accessed":{"date-parts":[["2022",12,19]]},"issued":{"date-parts":[["2020",6]]}}}],"schema":"https://github.com/citation-style-language/schema/raw/master/csl-citation.json"} </w:instrText>
      </w:r>
      <w:r w:rsidRPr="004D3031">
        <w:rPr>
          <w:lang w:val="en-US"/>
        </w:rPr>
        <w:fldChar w:fldCharType="separate"/>
      </w:r>
      <w:bookmarkStart w:id="46" w:name="_Toc124683300"/>
      <w:r w:rsidR="00BE2E7B" w:rsidRPr="00BE2E7B">
        <w:rPr>
          <w:rFonts w:cs="Calibri"/>
        </w:rPr>
        <w:t>Dave et al. (2020b)</w:t>
      </w:r>
      <w:r w:rsidRPr="004D3031">
        <w:rPr>
          <w:lang w:val="en-US"/>
        </w:rPr>
        <w:fldChar w:fldCharType="end"/>
      </w:r>
      <w:bookmarkEnd w:id="45"/>
      <w:r w:rsidRPr="00C23526">
        <w:t xml:space="preserve"> – Wisconsin</w:t>
      </w:r>
      <w:bookmarkEnd w:id="46"/>
    </w:p>
    <w:bookmarkStart w:id="47" w:name="_Hlk122341300"/>
    <w:p w14:paraId="16994341" w14:textId="779AD7BB" w:rsidR="0065098B" w:rsidRPr="00BE2E7B" w:rsidRDefault="0065098B" w:rsidP="0065098B">
      <w:pPr>
        <w:rPr>
          <w:lang w:val="en-US"/>
        </w:rPr>
      </w:pPr>
      <w:r w:rsidRPr="004D3031">
        <w:rPr>
          <w:lang w:val="en-US"/>
        </w:rPr>
        <w:fldChar w:fldCharType="begin"/>
      </w:r>
      <w:r w:rsidR="00BE2E7B">
        <w:rPr>
          <w:lang w:val="en-US"/>
        </w:rPr>
        <w:instrText xml:space="preserve"> ADDIN ZOTERO_ITEM CSL_CITATION {"citationID":"ZKLshVXd","properties":{"formattedCitation":"Dave et al. (2020b)","plainCitation":"Dave et al. (2020b)","noteIndex":0},"citationItems":[{"id":4443,"uris":["http://zotero.org/groups/2170464/items/PJ7N4CCP"],"itemData":{"id":4443,"type":"article-journal","abstract":"Policymakers have explicitly linked sustained reductions in COVID-19 case growth to reopening policies, including the lifting of shelter-in-place orders (SIPOs). This “hardwired” policy endogeneity creates challenges in isolating the causal effect of lifting a statewide SIPO on COVID-19. To overcome simultaneity bias, we exploit a unique natural experiment generated by the Wisconsin Supreme Court when it abolished Wisconsin’s “Safer at Home” order on separation-of-powers grounds. We capitalize on this sudden, dramatic, and largely unanticipated termination of a statewide SIPO to estimate its effect on social distancing and COVID-19 case growth. First, using anonymized smartphone data from SafeGraph Inc. and a synthetic control design, we find that SIPO termination had little impact on social distancing. Then, using data on COVID-19 case and mortality rates, we find no evidence that the Wisconsin Supreme Court decision impacted COVID-19 growth up to a month following the repeal. We conclude that the impacts of SIPOs are likely not symmetric across enactment and lifting of orders, and this asymmetry sheds new light on the potential mechanisms underlying the effectiveness of these orders.","collection-title":"Working Paper Series","DOI":"10.3386/w27322","note":"DOI: 10.3386/w27322","source":"National Bureau of Economic Research","title":"Are the Effects of Adoption and Termination of Shelter-in-Place Orders Symmetric? Evidence from a Natural Experiment","title-short":"Are the Effects of Adoption and Termination of Shelter-in-Place Orders Symmetric?","URL":"https://www.nber.org/papers/w27322","author":[{"family":"Dave","given":"Dhaval"},{"family":"Friedson","given":"Andrew I."},{"family":"Matsuzawa","given":"Kyutaro"},{"family":"McNichols","given":"Drew"},{"family":"Sabia","given":"Joseph J."}],"accessed":{"date-parts":[["2022",12,19]]},"issued":{"date-parts":[["2020",6]]}}}],"schema":"https://github.com/citation-style-language/schema/raw/master/csl-citation.json"} </w:instrText>
      </w:r>
      <w:r w:rsidRPr="004D3031">
        <w:rPr>
          <w:lang w:val="en-US"/>
        </w:rPr>
        <w:fldChar w:fldCharType="separate"/>
      </w:r>
      <w:r w:rsidR="00BE2E7B" w:rsidRPr="00BE2E7B">
        <w:rPr>
          <w:rFonts w:cs="Calibri"/>
          <w:lang w:val="en-US"/>
        </w:rPr>
        <w:t>Dave et al. (2020b)</w:t>
      </w:r>
      <w:r w:rsidRPr="004D3031">
        <w:rPr>
          <w:lang w:val="en-US"/>
        </w:rPr>
        <w:fldChar w:fldCharType="end"/>
      </w:r>
      <w:bookmarkEnd w:id="47"/>
      <w:r w:rsidRPr="004D3031">
        <w:rPr>
          <w:lang w:val="en-US"/>
        </w:rPr>
        <w:t xml:space="preserve"> examine the effect of </w:t>
      </w:r>
      <w:r w:rsidR="00832230" w:rsidRPr="004D3031">
        <w:rPr>
          <w:lang w:val="en-US"/>
        </w:rPr>
        <w:t xml:space="preserve">Wisconsin’s </w:t>
      </w:r>
      <w:r w:rsidRPr="004D3031">
        <w:rPr>
          <w:lang w:val="en-US"/>
        </w:rPr>
        <w:t xml:space="preserve">SIPO, exploiting a natural experiment arising when the Wisconsin </w:t>
      </w:r>
      <w:bookmarkStart w:id="48" w:name="_Hlk122340594"/>
      <w:r w:rsidRPr="004D3031">
        <w:rPr>
          <w:lang w:val="en-US"/>
        </w:rPr>
        <w:t xml:space="preserve">Supreme Court </w:t>
      </w:r>
      <w:bookmarkEnd w:id="48"/>
      <w:r w:rsidRPr="004D3031">
        <w:rPr>
          <w:lang w:val="en-US"/>
        </w:rPr>
        <w:t>abolished the state’s “Safer at Home” order [SIPO] on May 13, 2020 and thus do not suffer from the same “surprise”</w:t>
      </w:r>
      <w:r w:rsidR="00832230" w:rsidRPr="004D3031">
        <w:rPr>
          <w:lang w:val="en-US"/>
        </w:rPr>
        <w:t xml:space="preserve"> </w:t>
      </w:r>
      <w:r w:rsidRPr="004D3031">
        <w:rPr>
          <w:lang w:val="en-US"/>
        </w:rPr>
        <w:t xml:space="preserve">problems as </w:t>
      </w:r>
      <w:r w:rsidRPr="004D3031">
        <w:rPr>
          <w:lang w:val="en-US"/>
        </w:rPr>
        <w:fldChar w:fldCharType="begin"/>
      </w:r>
      <w:r w:rsidR="00BE2E7B">
        <w:rPr>
          <w:lang w:val="en-US"/>
        </w:rPr>
        <w:instrText xml:space="preserve"> ADDIN ZOTERO_ITEM CSL_CITATION {"citationID":"5WesnnKT","properties":{"formattedCitation":"Friedson et al. (2021)","plainCitation":"Friedson et al. (2021)","noteIndex":0},"citationItems":[{"id":3711,"uris":["http://zotero.org/groups/2170464/items/F92QXFZH"],"itemData":{"id":3711,"type":"article-journal","abstract":"A shelter-in-place order (SIPO) is one of the most restrictive non-pharmaceutical interventions designed to curb the spread of COVID-19. On March 19, 2020, California Governor Gavin Newsom issued the first statewide SIPO in the United States. The order closed non-essential businesses and required residents to shelter in place</w:instrText>
      </w:r>
      <w:r w:rsidR="00BE2E7B" w:rsidRPr="00E50C80">
        <w:instrText xml:space="preserve"> for all but essential activities such as grocery shopping, retrieving prescriptions from a pharmacy, or caring for relatives. This study is the first in the economics literature to estimate the effect of a statewide SIPO on public health. Using daily state-level coronavirus data and a synthetic control research design, we find that California's statewide SIPO reduced COVID-19 cases by 160.9 to 194.7 per 100,000 population by April 20, one month following the order. We further find that California's SIPO led to as many as 1,566 fewer COVID-19 deaths during this period. Back-of-the-envelope calculat</w:instrText>
      </w:r>
      <w:r w:rsidR="00BE2E7B" w:rsidRPr="00BE2E7B">
        <w:instrText xml:space="preserve">ions suggest that there were about 649 to 703 job losses per life saved, and about 14 to16 job losses per case averted during this post-treatment period.","container-title":"Journal of Policy Analysis and Management","DOI":"10.1002/pam.22267","ISSN":"1520-6688","issue":"1","language":"en","note":"_eprint: https://onlinelibrary.wiley.com/doi/pdf/10.1002/pam.22267","page":"258-283","source":"Wiley Online Library","title":"Shelter-in-Place Orders and Public Health: Evidence from California During the Covid-19 Pandemic","title-short":"Shelter-in-Place Orders and Public Health","volume":"40","author":[{"family":"Friedson","given":"Andrew I."},{"family":"McNichols","given":"Drew"},{"family":"Sabia","given":"Joseph J."},{"family":"Dave","given":"Dhaval"}],"issued":{"date-parts":[["2021",12,11]]}}}],"schema":"https://github.com/citation-style-language/schema/raw/master/csl-citation.json"} </w:instrText>
      </w:r>
      <w:r w:rsidRPr="004D3031">
        <w:rPr>
          <w:lang w:val="en-US"/>
        </w:rPr>
        <w:fldChar w:fldCharType="separate"/>
      </w:r>
      <w:r w:rsidR="00BE2E7B" w:rsidRPr="00BE2E7B">
        <w:rPr>
          <w:rFonts w:cs="Calibri"/>
        </w:rPr>
        <w:t>Friedson et al. (2021)</w:t>
      </w:r>
      <w:r w:rsidRPr="004D3031">
        <w:rPr>
          <w:lang w:val="en-US"/>
        </w:rPr>
        <w:fldChar w:fldCharType="end"/>
      </w:r>
      <w:r w:rsidRPr="0019047D">
        <w:t xml:space="preserve"> and </w:t>
      </w:r>
      <w:r w:rsidRPr="004D3031">
        <w:rPr>
          <w:lang w:val="en-US"/>
        </w:rPr>
        <w:fldChar w:fldCharType="begin"/>
      </w:r>
      <w:r w:rsidR="00BE2E7B">
        <w:instrText xml:space="preserve"> ADDIN ZOTERO_ITEM CSL_CITATION {"citationID":"vurl5ZdT","properties":{"formattedCitation":"Neidh\\uc0\\u246{}fer and Neidh\\uc0\\u246{}fer (2020)","plainCitation":"Neidhöfer and Neidhöfer (2020)","noteIndex":0},"citationItems":[{"id":3702,"uris":["http://zotero.org/groups/2170464/items/JTIY3VWC"],"itemData":{"id":3702,"type":"article-journal","abstract":"The rapid spread of COVID-19 forced policy-makers to swiftly ﬁnd solutions to reduce infection rates and keep mortality as low as possible. Empirical analyses on the eﬀectiveness of control measures are hereby of primary importance. School closures were among the earliest measures enacted by the governments of most countries. However, while schools are now reopening in many countries, the impact of school closures on the course of the epidemic is still an open question. Adopting parametric and non-parametric synthetic control methods we estimate the eﬀectiveness of pro-active school closures, and other early social distancing interventions, in three countries that reacted relatively early during the course of the pandemic. Our ﬁndings suggest that these interventions were eﬀective at reducing the mortality rate of COVID-19, especially when enacted early.","container-title":"SSRN Electronic Journal","DOI":"10.2139/ssrn.3649953","ISSN":"1556-5068","journalAbbreviation":"SSRN Journal","language":"en","source":"DOI.org (Crossref)","title":"The Effectiveness of School Closures and Other Pre-Lockdown COVID-19 Mitigation Strategies in Argentina, Italy, and South Korea","URL":"https://www.ssrn.com/abstract=3649953","author":[{"family":"Neidhöfer","given":"Guido"},{"family":"Neidhöfer","given":"Claudio"}],"accessed":{"date-parts":[["2021",8,17]]},"issued":{"date-parts":[["2020",7,3]]}}}],"schema":"https://github.com/citation-style-language/schema/raw/master/csl-citation.json"} </w:instrText>
      </w:r>
      <w:r w:rsidRPr="004D3031">
        <w:rPr>
          <w:lang w:val="en-US"/>
        </w:rPr>
        <w:fldChar w:fldCharType="separate"/>
      </w:r>
      <w:r w:rsidR="00BE2E7B" w:rsidRPr="00BE2E7B">
        <w:rPr>
          <w:rFonts w:cs="Calibri"/>
        </w:rPr>
        <w:t>Neidhöfer and Neidhöfer (2020)</w:t>
      </w:r>
      <w:r w:rsidRPr="004D3031">
        <w:rPr>
          <w:lang w:val="en-US"/>
        </w:rPr>
        <w:fldChar w:fldCharType="end"/>
      </w:r>
      <w:r w:rsidRPr="0019047D">
        <w:t xml:space="preserve">. </w:t>
      </w:r>
      <w:proofErr w:type="spellStart"/>
      <w:r w:rsidRPr="0019047D">
        <w:t>Since</w:t>
      </w:r>
      <w:proofErr w:type="spellEnd"/>
      <w:r w:rsidRPr="0019047D">
        <w:t xml:space="preserve"> </w:t>
      </w:r>
      <w:r w:rsidRPr="004D3031">
        <w:rPr>
          <w:lang w:val="en-US"/>
        </w:rPr>
        <w:fldChar w:fldCharType="begin"/>
      </w:r>
      <w:r w:rsidR="00BE2E7B">
        <w:instrText xml:space="preserve"> ADDIN ZOTERO_ITEM CSL_CITATION {"citationID":"eKeFwE4i","properties":{"formattedCitation":"Dave et al. (2020b)","plainCitation":"Dave et al. (2020b)","noteIndex":0},"citationItems":[{"id":4443,"uris":["http://zotero.org/groups/2170464/items/PJ7N4CCP"],"itemData":{"id":4443,"type":"article-journal","abstract":"Policymakers have explicitly linked sustained reductions in COVID-19 case growth to reopening policies, including the lifting of shelter-in-place orders (SIPOs). This “hardwired” policy endogeneity creates challenges in isolating the causal effect of lifting a statewide SIPO on COVID-19. To overcome simultaneity bias, we exploit a unique natural experiment generated by the Wisconsin Supreme Court when it abolished Wisconsin’s “Safer at Home” order on separation-of-powers grounds. We capitalize on this sudden, dramatic, and largely unanticipated termination of a statewide SIPO to estimate its effect on social distancing and COVID-19 case growth. First, using anonymized smartphone data from SafeGraph Inc. and a synthetic control design, we find that SIPO termination had little impact on social distancing. Then, using data on COVID-19 case and mortality rates, we find no evidence that the Wisconsin Supreme Court decision impacted COVID-19 growth up to a month following the repeal. We conclude that the impacts of SIPOs are likely not symmetric across enactment and lifting of orders, and this asymmetry sheds new light on the potential mechanisms underlying the effectiveness of these orders.","collection-title":"Working Paper Series","DOI":"10.3386/w27322","note":"DOI: 10.3386/w27322","source":"National Bureau of Economic Research","title":"Are the Effects of Adoption and Termination of Shelter-in-Place Orders Symmetric? Evidence from a Natural Experiment","title-short":"Are the Effects of Adoption and Termination of Shelter-in-Place Orders Symmetric?","URL":"https://www.nber.org/papers/w27322","author":[{"family":"Dave","given":"Dhaval"},{"family":"Friedson","given":"Andrew I."},{"family":"Matsuzawa","given":"Kyutaro"},{"family":"McNichols","given":"Drew"},{"family":"Sabia","given":"Joseph J."}],"accessed":{"date-parts":[["2022",12,19]]},"issued":{"date-parts":[["2020",6]]}}}],"schema":"https://github.com/citation-style-language/schema/raw/master/csl-citation.json"} </w:instrText>
      </w:r>
      <w:r w:rsidRPr="004D3031">
        <w:rPr>
          <w:lang w:val="en-US"/>
        </w:rPr>
        <w:fldChar w:fldCharType="separate"/>
      </w:r>
      <w:r w:rsidR="00BE2E7B" w:rsidRPr="00BE2E7B">
        <w:rPr>
          <w:rFonts w:cs="Calibri"/>
        </w:rPr>
        <w:t xml:space="preserve">Dave et al. </w:t>
      </w:r>
      <w:r w:rsidR="00BE2E7B" w:rsidRPr="00BE2E7B">
        <w:rPr>
          <w:rFonts w:cs="Calibri"/>
          <w:lang w:val="en-US"/>
        </w:rPr>
        <w:t>(2020b)</w:t>
      </w:r>
      <w:r w:rsidRPr="004D3031">
        <w:rPr>
          <w:lang w:val="en-US"/>
        </w:rPr>
        <w:fldChar w:fldCharType="end"/>
      </w:r>
      <w:r w:rsidRPr="00BE2E7B">
        <w:rPr>
          <w:lang w:val="en-US"/>
        </w:rPr>
        <w:t xml:space="preserve"> rely on a natural experiment, there is no reason to believe that the selection of Wisconsin as a case was biased.</w:t>
      </w:r>
    </w:p>
    <w:p w14:paraId="10B5E4CA" w14:textId="21DAB36B" w:rsidR="0065098B" w:rsidRPr="004D3031" w:rsidRDefault="0065098B" w:rsidP="0065098B">
      <w:pPr>
        <w:rPr>
          <w:lang w:val="en-US"/>
        </w:rPr>
      </w:pPr>
      <w:r w:rsidRPr="004D3031">
        <w:rPr>
          <w:lang w:val="en-US"/>
        </w:rPr>
        <w:t xml:space="preserve">In their first version, </w:t>
      </w:r>
      <w:r w:rsidRPr="004D3031">
        <w:rPr>
          <w:lang w:val="en-US"/>
        </w:rPr>
        <w:fldChar w:fldCharType="begin"/>
      </w:r>
      <w:r w:rsidR="00BE2E7B">
        <w:rPr>
          <w:lang w:val="en-US"/>
        </w:rPr>
        <w:instrText xml:space="preserve"> ADDIN ZOTERO_ITEM CSL_CITATION {"citationID":"L3C7D9TY","properties":{"formattedCitation":"Dave et al. (2020a)","plainCitation":"Dave et al. (2020a)","noteIndex":0},"citationItems":[{"id":4512,"uris":["http://zotero.org/groups/2170464/items/8GNKV8KU"],"itemData":{"id":4512,"type":"article-journal","container-title":"SSRN Electronic Journal","DOI":"10.2139/ssrn.3620628","ISSN":"1556-5068","journalAbbreviation":"SSRN Journal","language":"en","source":"DOI.org (Crossref)","title":"Did the Wisconsin Supreme Court Restart a Covid-19 Epidemic? Evidence from a Natural Experiment","title-short":"Did the Wisconsin Supreme Court Restart a Covid-19 Epidemic?","URL":"https://www.ssrn.com/abstract=3620628","author":[{"family":"Dave","given":"Dhaval"},{"family":"Friedson","given":"Andrew I."},{"family":"Matsuzawa","given":"Kyutaro"},{"family":"McNichols","given":"Drew"},{"family":"Sabia","given":"Joseph J."}],"accessed":{"date-parts":[["2021",12,16]]},"issued":{"date-parts":[["2020"]]}}}],"schema":"https://github.com/citation-style-language/schema/raw/master/csl-citation.json"} </w:instrText>
      </w:r>
      <w:r w:rsidRPr="004D3031">
        <w:rPr>
          <w:lang w:val="en-US"/>
        </w:rPr>
        <w:fldChar w:fldCharType="separate"/>
      </w:r>
      <w:r w:rsidR="00BE2E7B" w:rsidRPr="00BE2E7B">
        <w:rPr>
          <w:rFonts w:cs="Calibri"/>
          <w:lang w:val="en-US"/>
        </w:rPr>
        <w:t>Dave et al. (2020a)</w:t>
      </w:r>
      <w:r w:rsidRPr="004D3031">
        <w:rPr>
          <w:lang w:val="en-US"/>
        </w:rPr>
        <w:fldChar w:fldCharType="end"/>
      </w:r>
      <w:r w:rsidRPr="004D3031">
        <w:rPr>
          <w:lang w:val="en-US"/>
        </w:rPr>
        <w:t xml:space="preserve">, the authors only examine a two week period following the Supreme Court decision, but in the authors’ updated version, </w:t>
      </w:r>
      <w:r w:rsidRPr="004D3031">
        <w:rPr>
          <w:lang w:val="en-US"/>
        </w:rPr>
        <w:fldChar w:fldCharType="begin"/>
      </w:r>
      <w:r w:rsidR="00BE2E7B">
        <w:rPr>
          <w:lang w:val="en-US"/>
        </w:rPr>
        <w:instrText xml:space="preserve"> ADDIN ZOTERO_ITEM CSL_CITATION {"citationID":"y81yTFVm","properties":{"formattedCitation":"Dave et al. (2020b)","plainCitation":"Dave et al. (2020b)","noteIndex":0},"citationItems":[{"id":4443,"uris":["http://zotero.org/groups/2170464/items/PJ7N4CCP"],"itemData":{"id":4443,"type":"article-journal","abstract":"Policymakers have explicitly linked sustained reductions in COVID-19 case growth to reopening policies, including the lifting of shelter-in-place orders (SIPOs). This “hardwired” policy endogeneity creates challenges in isolating the causal effect of lifting a statewide SIPO on COVID-19. To overcome simultaneity bias, we exploit a unique natural experiment generated by the Wisconsin Supreme Court when it abolished Wisconsin’s “Safer at Home” order on separation-of-powers grounds. We capitalize on this sudden, dramatic, and largely unanticipated termination of a statewide SIPO to estimate its effect on social distancing and COVID-19 case growth. First, using anonymized smartphone data from SafeGraph Inc. and a synthetic control design, we find that SIPO termination had little impact on social distancing. Then, using data on COVID-19 case and mortality rates, we find no evidence that the Wisconsin Supreme Court decision impacted COVID-19 growth up to a month following the repeal. We conclude that the impacts of SIPOs are likely not symmetric across enactment and lifting of orders, and this asymmetry sheds new light on the potential mechanisms underlying the effectiveness of these orders.","collection-title":"Working Paper Series","DOI":"10.3386/w27322","note":"DOI: 10.3386/w27322","source":"National Bureau of Economic Research","title":"Are the Effects of Adoption and Termination of Shelter-in-Place Orders Symmetric? Evidence from a Natural Experiment","title-short":"Are the Effects of Adoption and Termination of Shelter-in-Place Orders Symmetric?","URL":"https://www.nber.org/papers/w27322","author":[{"family":"Dave","given":"Dhaval"},{"family":"Friedson","given":"Andrew I."},{"family":"Matsuzawa","given":"Kyutaro"},{"family":"McNichols","given":"Drew"},{"family":"Sabia","given":"Joseph J."}],"accessed":{"date-parts":[["2022",12,19]]},"issued":{"date-parts":[["2020",6]]}}}],"schema":"https://github.com/citation-style-language/schema/raw/master/csl-citation.json"} </w:instrText>
      </w:r>
      <w:r w:rsidRPr="004D3031">
        <w:rPr>
          <w:lang w:val="en-US"/>
        </w:rPr>
        <w:fldChar w:fldCharType="separate"/>
      </w:r>
      <w:r w:rsidR="00BE2E7B" w:rsidRPr="00BE2E7B">
        <w:rPr>
          <w:rFonts w:cs="Calibri"/>
        </w:rPr>
        <w:t>Dave et al. (2020b)</w:t>
      </w:r>
      <w:r w:rsidRPr="004D3031">
        <w:rPr>
          <w:lang w:val="en-US"/>
        </w:rPr>
        <w:fldChar w:fldCharType="end"/>
      </w:r>
      <w:r w:rsidRPr="004D3031">
        <w:rPr>
          <w:lang w:val="en-US"/>
        </w:rPr>
        <w:t>, they examine one full month. They conclude that “we find no evidence that the Wisconsin Supreme Court decision impacted COVID-19 growth up to a month following the repeal</w:t>
      </w:r>
      <w:r w:rsidR="00832230" w:rsidRPr="004D3031">
        <w:rPr>
          <w:lang w:val="en-US"/>
        </w:rPr>
        <w:t>.</w:t>
      </w:r>
      <w:r w:rsidRPr="004D3031">
        <w:rPr>
          <w:lang w:val="en-US"/>
        </w:rPr>
        <w:t xml:space="preserve">” Although insignificant, their Figure </w:t>
      </w:r>
      <w:r w:rsidRPr="004D3031">
        <w:rPr>
          <w:lang w:val="en-US"/>
        </w:rPr>
        <w:lastRenderedPageBreak/>
        <w:t xml:space="preserve">7(a) shows that the total effect of </w:t>
      </w:r>
      <w:r w:rsidR="00832230" w:rsidRPr="004D3031">
        <w:rPr>
          <w:lang w:val="en-US"/>
        </w:rPr>
        <w:t xml:space="preserve">the </w:t>
      </w:r>
      <w:r w:rsidRPr="004D3031">
        <w:rPr>
          <w:lang w:val="en-US"/>
        </w:rPr>
        <w:t xml:space="preserve">SIPO on COVID-19 mortality after one month is approximately 8% fewer deaths, cf. </w:t>
      </w:r>
      <w:r w:rsidRPr="004D3031">
        <w:rPr>
          <w:lang w:val="en-US"/>
        </w:rPr>
        <w:fldChar w:fldCharType="begin"/>
      </w:r>
      <w:r w:rsidRPr="004D3031">
        <w:rPr>
          <w:lang w:val="en-US"/>
        </w:rPr>
        <w:instrText xml:space="preserve"> REF _Ref122341768 \h </w:instrText>
      </w:r>
      <w:r w:rsidRPr="004D3031">
        <w:rPr>
          <w:lang w:val="en-US"/>
        </w:rPr>
      </w:r>
      <w:r w:rsidRPr="004D3031">
        <w:rPr>
          <w:lang w:val="en-US"/>
        </w:rPr>
        <w:fldChar w:fldCharType="separate"/>
      </w:r>
      <w:r w:rsidR="0041377D" w:rsidRPr="004D3031">
        <w:rPr>
          <w:lang w:val="en-US"/>
        </w:rPr>
        <w:t xml:space="preserve">Figure </w:t>
      </w:r>
      <w:r w:rsidR="0041377D" w:rsidRPr="004D3031">
        <w:rPr>
          <w:noProof/>
          <w:lang w:val="en-US"/>
        </w:rPr>
        <w:t>4</w:t>
      </w:r>
      <w:r w:rsidRPr="004D3031">
        <w:rPr>
          <w:lang w:val="en-US"/>
        </w:rPr>
        <w:fldChar w:fldCharType="end"/>
      </w:r>
      <w:r w:rsidRPr="004D3031">
        <w:rPr>
          <w:lang w:val="en-US"/>
        </w:rPr>
        <w:t xml:space="preserve"> below.</w:t>
      </w:r>
    </w:p>
    <w:p w14:paraId="2D16DA7F" w14:textId="2E6A09DF" w:rsidR="0065098B" w:rsidRPr="004D3031" w:rsidRDefault="0065098B" w:rsidP="0065098B">
      <w:pPr>
        <w:pStyle w:val="Caption"/>
      </w:pPr>
      <w:bookmarkStart w:id="49" w:name="_Ref122341768"/>
      <w:bookmarkStart w:id="50" w:name="_Toc125059419"/>
      <w:r w:rsidRPr="004D3031">
        <w:t xml:space="preserve">Figure </w:t>
      </w:r>
      <w:r w:rsidRPr="004D3031">
        <w:fldChar w:fldCharType="begin"/>
      </w:r>
      <w:r w:rsidRPr="004D3031">
        <w:instrText xml:space="preserve"> SEQ Figure \* ARABIC </w:instrText>
      </w:r>
      <w:r w:rsidRPr="004D3031">
        <w:fldChar w:fldCharType="separate"/>
      </w:r>
      <w:r w:rsidR="0041377D" w:rsidRPr="004D3031">
        <w:rPr>
          <w:noProof/>
        </w:rPr>
        <w:t>4</w:t>
      </w:r>
      <w:r w:rsidRPr="004D3031">
        <w:rPr>
          <w:noProof/>
        </w:rPr>
        <w:fldChar w:fldCharType="end"/>
      </w:r>
      <w:bookmarkEnd w:id="49"/>
      <w:r w:rsidRPr="004D3031">
        <w:t xml:space="preserve"> Replication of Figure 7(a) in </w:t>
      </w:r>
      <w:r w:rsidRPr="004D3031">
        <w:fldChar w:fldCharType="begin"/>
      </w:r>
      <w:r w:rsidR="00BE2E7B">
        <w:instrText xml:space="preserve"> ADDIN ZOTERO_ITEM CSL_CITATION {"citationID":"MpNJCTIs","properties":{"formattedCitation":"Dave et al. (2020b)","plainCitation":"Dave et al. (2020b)","noteIndex":0},"citationItems":[{"id":4443,"uris":["http://zotero.org/groups/2170464/items/PJ7N4CCP"],"itemData":{"id":4443,"type":"article-journal","abstract":"Policymakers have explicitly linked sustained reductions in COVID-19 case growth to reopening policies, including the lifting of shelter-in-place orders (SIPOs). This “hardwired” policy endogeneity creates challenges in isolating the causal effect of lifting a statewide SIPO on COVID-19. To overcome simultaneity bias, we exploit a unique natural experiment generated by the Wisconsin Supreme Court when it abolished Wisconsin’s “Safer at Home” order on separation-of-powers grounds. We capitalize on this sudden, dramatic, and largely unanticipated termination of a statewide SIPO to estimate its effect on social distancing and COVID-19 case growth. First, using anonymized smartphone data from SafeGraph Inc. and a synthetic control design, we find that SIPO termination had little impact on social distancing. Then, using data on COVID-19 case and mortality rates, we find no evidence that the Wisconsin Supreme Court decision impacted COVID-19 growth up to a month following the repeal. We conclude that the impacts of SIPOs are likely not symmetric across enactment and lifting of orders, and this asymmetry sheds new light on the potential mechanisms underlying the effectiveness of these orders.","collection-title":"Working Paper Series","DOI":"10.3386/w27322","note":"DOI: 10.3386/w27322","source":"National Bureau of Economic Research","title":"Are the Effects of Adoption and Termination of Shelter-in-Place Orders Symmetric? Evidence from a Natural Experiment","title-short":"Are the Effects of Adoption and Termination of Shelter-in-Place Orders Symmetric?","URL":"https://www.nber.org/papers/w27322","author":[{"family":"Dave","given":"Dhaval"},{"family":"Friedson","given":"Andrew I."},{"family":"Matsuzawa","given":"Kyutaro"},{"family":"McNichols","given":"Drew"},{"family":"Sabia","given":"Joseph J."}],"accessed":{"date-parts":[["2022",12,19]]},"issued":{"date-parts":[["2020",6]]}}}],"schema":"https://github.com/citation-style-language/schema/raw/master/csl-citation.json"} </w:instrText>
      </w:r>
      <w:r w:rsidRPr="004D3031">
        <w:fldChar w:fldCharType="separate"/>
      </w:r>
      <w:bookmarkEnd w:id="50"/>
      <w:r w:rsidR="00BE2E7B" w:rsidRPr="00BE2E7B">
        <w:rPr>
          <w:rFonts w:cs="Calibri"/>
        </w:rPr>
        <w:t>Dave et al. (2020b)</w:t>
      </w:r>
      <w:r w:rsidRPr="004D3031">
        <w:fldChar w:fldCharType="end"/>
      </w:r>
    </w:p>
    <w:p w14:paraId="60C90E0E" w14:textId="77777777" w:rsidR="0065098B" w:rsidRPr="004D3031" w:rsidRDefault="0065098B" w:rsidP="0065098B">
      <w:pPr>
        <w:rPr>
          <w:lang w:val="en-US"/>
        </w:rPr>
      </w:pPr>
      <w:r w:rsidRPr="004D3031">
        <w:rPr>
          <w:noProof/>
          <w:lang w:val="en-US"/>
        </w:rPr>
        <w:drawing>
          <wp:inline distT="0" distB="0" distL="0" distR="0" wp14:anchorId="40794EF9" wp14:editId="08D78492">
            <wp:extent cx="5760720" cy="3112135"/>
            <wp:effectExtent l="0" t="0" r="0" b="0"/>
            <wp:docPr id="18" name="Picture 18"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Chart, line chart&#10;&#10;Description automatically generated"/>
                    <pic:cNvPicPr/>
                  </pic:nvPicPr>
                  <pic:blipFill>
                    <a:blip r:embed="rId15"/>
                    <a:stretch>
                      <a:fillRect/>
                    </a:stretch>
                  </pic:blipFill>
                  <pic:spPr>
                    <a:xfrm>
                      <a:off x="0" y="0"/>
                      <a:ext cx="5760720" cy="3112135"/>
                    </a:xfrm>
                    <a:prstGeom prst="rect">
                      <a:avLst/>
                    </a:prstGeom>
                  </pic:spPr>
                </pic:pic>
              </a:graphicData>
            </a:graphic>
          </wp:inline>
        </w:drawing>
      </w:r>
    </w:p>
    <w:p w14:paraId="1C2D19B6" w14:textId="4F5FD34F" w:rsidR="0065098B" w:rsidRPr="004D3031" w:rsidRDefault="0065098B" w:rsidP="00D97497">
      <w:pPr>
        <w:pStyle w:val="Undertekstfigur"/>
      </w:pPr>
      <w:r w:rsidRPr="004D3031">
        <w:t xml:space="preserve">Source: Figure 7(a) in </w:t>
      </w:r>
      <w:r w:rsidRPr="004D3031">
        <w:fldChar w:fldCharType="begin"/>
      </w:r>
      <w:r w:rsidR="00BE2E7B">
        <w:instrText xml:space="preserve"> ADDIN ZOTERO_ITEM CSL_CITATION {"citationID":"SK1HcLMB","properties":{"formattedCitation":"Dave et al. (2020b)","plainCitation":"Dave et al. (2020b)","noteIndex":0},"citationItems":[{"id":4443,"uris":["http://zotero.org/groups/2170464/items/PJ7N4CCP"],"itemData":{"id":4443,"type":"article-journal","abstract":"Policymakers have explicitly linked sustained reductions in COVID-19 case growth to reopening policies, including the lifting of shelter-in-place orders (SIPOs). This “hardwired” policy endogeneity creates challenges in isolating the causal effect of lifting a statewide SIPO on COVID-19. To overcome simultaneity bias, we exploit a unique natural experiment generated by the Wisconsin Supreme Court when it abolished Wisconsin’s “Safer at Home” order on separation-of-powers grounds. We capitalize on this sudden, dramatic, and largely unanticipated termination of a statewide SIPO to estimate its effect on social distancing and COVID-19 case growth. First, using anonymized smartphone data from SafeGraph Inc. and a synthetic control design, we find that SIPO termination had little impact on social distancing. Then, using data on COVID-19 case and mortality rates, we find no evidence that the Wisconsin Supreme Court decision impacted COVID-19 growth up to a month following the repeal. We conclude that the impacts of SIPOs are likely not symmetric across enactment and lifting of orders, and this asymmetry sheds new light on the potential mechanisms underlying the effectiveness of these orders.","collection-title":"Working Paper Series","DOI":"10.3386/w27322","note":"DOI: 10.3386/w27322","source":"National Bureau of Economic Research","title":"Are the Effects of Adoption and Termination of Shelter-in-Place Orders Symmetric? Evidence from a Natural Experiment","title-short":"Are the Effects of Adoption and Termination of Shelter-in-Place Orders Symmetric?","URL":"https://www.nber.org/papers/w27322","author":[{"family":"Dave","given":"Dhaval"},{"family":"Friedson","given":"Andrew I."},{"family":"Matsuzawa","given":"Kyutaro"},{"family":"McNichols","given":"Drew"},{"family":"Sabia","given":"Joseph J."}],"accessed":{"date-parts":[["2022",12,19]]},"issued":{"date-parts":[["2020",6]]}}}],"schema":"https://github.com/citation-style-language/schema/raw/master/csl-citation.json"} </w:instrText>
      </w:r>
      <w:r w:rsidRPr="004D3031">
        <w:fldChar w:fldCharType="separate"/>
      </w:r>
      <w:r w:rsidR="00BE2E7B" w:rsidRPr="00BE2E7B">
        <w:rPr>
          <w:rFonts w:cs="Calibri"/>
        </w:rPr>
        <w:t>Dave et al. (2020b)</w:t>
      </w:r>
      <w:r w:rsidRPr="004D3031">
        <w:fldChar w:fldCharType="end"/>
      </w:r>
      <w:r w:rsidRPr="004D3031">
        <w:t>.</w:t>
      </w:r>
    </w:p>
    <w:p w14:paraId="094020CE" w14:textId="77777777" w:rsidR="0065098B" w:rsidRPr="004D3031" w:rsidRDefault="0065098B" w:rsidP="00D97497">
      <w:pPr>
        <w:pStyle w:val="Undertekstfigur"/>
      </w:pPr>
      <w:r w:rsidRPr="004D3031">
        <w:t>Note: Synthetic WI is comprised of ME (.539), HI (.209) CA (.08) &amp; PA (.048).</w:t>
      </w:r>
    </w:p>
    <w:p w14:paraId="7C372F76" w14:textId="77777777" w:rsidR="0065098B" w:rsidRPr="004D3031" w:rsidRDefault="0065098B" w:rsidP="000668BF">
      <w:pPr>
        <w:pStyle w:val="Heading3"/>
        <w:rPr>
          <w:lang w:val="en-US"/>
        </w:rPr>
      </w:pPr>
      <w:bookmarkStart w:id="51" w:name="_Toc124683301"/>
      <w:r w:rsidRPr="004D3031">
        <w:rPr>
          <w:lang w:val="en-US"/>
        </w:rPr>
        <w:t xml:space="preserve">The </w:t>
      </w:r>
      <w:bookmarkStart w:id="52" w:name="_Hlk122344488"/>
      <w:r w:rsidRPr="004D3031">
        <w:rPr>
          <w:lang w:val="en-US"/>
        </w:rPr>
        <w:t>Generalized</w:t>
      </w:r>
      <w:bookmarkEnd w:id="52"/>
      <w:r w:rsidRPr="004D3031">
        <w:rPr>
          <w:lang w:val="en-US"/>
        </w:rPr>
        <w:t xml:space="preserve"> Synthetic Control Method (GSCM)</w:t>
      </w:r>
      <w:bookmarkEnd w:id="51"/>
    </w:p>
    <w:p w14:paraId="6C24BDA5" w14:textId="6F26E023" w:rsidR="0065098B" w:rsidRPr="004D3031" w:rsidRDefault="0065098B" w:rsidP="000668BF">
      <w:pPr>
        <w:pStyle w:val="Heading4"/>
        <w:rPr>
          <w:lang w:val="en-US"/>
        </w:rPr>
      </w:pPr>
      <w:r w:rsidRPr="004D3031">
        <w:rPr>
          <w:lang w:val="en-US"/>
        </w:rPr>
        <w:fldChar w:fldCharType="begin"/>
      </w:r>
      <w:r w:rsidR="00BE2E7B">
        <w:rPr>
          <w:lang w:val="en-US"/>
        </w:rPr>
        <w:instrText xml:space="preserve"> ADDIN ZOTERO_ITEM CSL_CITATION {"citationID":"WO9M2mQR","properties":{"formattedCitation":"Mader and R\\uc0\\u252{}ttenauer (2021)","plainCitation":"Mader and Rüttenauer (2021)","noteIndex":0},"citationItems":[{"id":3685,"uris":["http://zotero.org/groups/2170464/items/77UUP223"],"itemData":{"id":3685,"type":"report","abstract":"Background: Most governments have introduced various non-pharmaceutical interventions (NPIs) in response to the pandemic outbreak of Coronavirus disease (COVID-19) since early 2020. While NPIs aim at avoiding fatalities related to COVID-19, the previous literature on their efficacy has focused on infections and on data of the first half of 2020. Still, findings of early NPI studies may be subject to underreporting and missing timeliness of reporting of cases. Moreover, the low variation in treatment timing during the first wave makes identification of robust treatment effects difficult.\n\nMethods: To circumvent problems of reporting and treatment variation, we analyse data on daily confirmed COVID-19-related deaths per capita from Our World in Data, and on 10 different NPIs from the Oxford COVID-19 Government Response Tracker for 169 countries from 1st July 2020 to 31st May 2021. To identify the causal effects of introducing NPIs on COVID-19-related confirmed fatalities per capita, we apply the generalized synthetic control (GSC) method to each NPI, while controlling for the remaining NPIs, weather conditions, vaccinations, and NPI-residualized COVID-19 cases.\n\nFindings: We do not find substantial and consistent mitigating effects of any NPI under investigation on COVID-19-related deaths per capita. We see a tentative change in the trend of COVID-19-related deaths around 30 days after workplace closing, public transport closing, and stay at home rules have been implemented, but none of them exerts a statistically significant effect.\n\nInterpretation: The study enhances the literature on the effectivity of NPIs with respect to the time frame, the number of countries, and the analytical approach. The results provide further guidance to judge the proportionality of NPIs.","note":"DOI: 10.31235/osf.io/v2ef8\ntype: article","publisher":"SocArXiv","source":"OSF Preprints","title":"The effects of non-pharmaceutical interventions on COVID-19-related mortality: A generalized synthetic control approach across 169 countries","title-short":"The effects of non-pharmaceutical interventions on COVID-19-related mortality","URL":"https://osf.io/preprints/socarxiv/v2ef8/","author":[{"family":"Mader","given":"Sebastian"},{"family":"Rüttenauer","given":"Tobias"}],"accessed":{"date-parts":[["2021",8,18]]},"issued":{"date-parts":[["2021",6,11]]}}}],"schema":"https://github.com/citation-style-language/schema/raw/master/csl-citation.json"} </w:instrText>
      </w:r>
      <w:r w:rsidRPr="004D3031">
        <w:rPr>
          <w:lang w:val="en-US"/>
        </w:rPr>
        <w:fldChar w:fldCharType="separate"/>
      </w:r>
      <w:r w:rsidR="00BE2E7B" w:rsidRPr="00BE2E7B">
        <w:rPr>
          <w:rFonts w:cs="Calibri"/>
        </w:rPr>
        <w:t>Mader and Rüttenauer (2021)</w:t>
      </w:r>
      <w:r w:rsidRPr="004D3031">
        <w:rPr>
          <w:lang w:val="en-US"/>
        </w:rPr>
        <w:fldChar w:fldCharType="end"/>
      </w:r>
    </w:p>
    <w:p w14:paraId="588C65D7" w14:textId="2BBE3EFA" w:rsidR="0065098B" w:rsidRPr="004D3031" w:rsidRDefault="0065098B" w:rsidP="0065098B">
      <w:pPr>
        <w:rPr>
          <w:lang w:val="en-US"/>
        </w:rPr>
      </w:pPr>
      <w:r w:rsidRPr="004D3031">
        <w:rPr>
          <w:rFonts w:cs="Calibri"/>
          <w:lang w:val="en-US"/>
        </w:rPr>
        <w:fldChar w:fldCharType="begin"/>
      </w:r>
      <w:r w:rsidR="00BE2E7B">
        <w:rPr>
          <w:rFonts w:cs="Calibri"/>
          <w:lang w:val="en-US"/>
        </w:rPr>
        <w:instrText xml:space="preserve"> ADDIN ZOTERO_ITEM CSL_CITATION {"citationID":"omVCXgob","properties":{"formattedCitation":"Mader and R\\uc0\\u252{}ttenauer (2021)","plainCitation":"Mader and Rüttenauer (2021)","noteIndex":0},"citationItems":[{"id":3685,"uris":["http://zotero.org/groups/2170464/items/77UUP223"],"itemData":{"id":3685,"type":"report","abstract":"Background: Most governments have introduced various non-pharmaceutical interventions (NPIs) in response to the pandemic outbreak of Coronavirus disease (COVID-19) since early 2020. While NPIs aim at avoiding fatalities related to COVID-19, the previous literature on their efficacy has focused on infections and on data of the first half of 2020. Still, findings of early NPI studies may be subject to underreporting and missing timeliness of reporting of cases. Moreover, the low variation in treatment timing during the first wave makes identification of robust treatment effects difficult.\n\nMethods: To circumvent problems of reporting and treatment variation, we analyse data on daily confirmed COVID-19-related deaths per capita from Our World in Data, and on 10 different NPIs from the Oxford COVID-19 Government Response Tracker for 169 countries from 1st July 2020 to 31st May 2021. To identify the causal effects of introducing NPIs on COVID-19-related confirmed fatalities per capita, we apply the generalized synthetic control (GSC) method to each NPI, while controlling for the remaining NPIs, weather conditions, vaccinations, and NPI-residualized COVID-19 cases.\n\nFindings: We do not find substantial and consistent mitigating effects of any NPI under investigation on COVID-19-related deaths per capita. We see a tentative change in the trend of COVID-19-related deaths around 30 days after workplace closing, public transport closing, and stay at home rules have been implemented, but none of them exerts a statistically significant effect.\n\nInterpretation: The study enhances the literature on the effectivity of NPIs with respect to the time frame, the number of countries, and the analytical approach. The results provide further guidance to judge the proportionality of NPIs.","note":"DOI: 10.31235/osf.io/v2ef8\ntype: article","publisher":"SocArXiv","source":"OSF Preprints","title":"The effects of non-pharmaceutical interventions on COVID-19-related mortality: A generalized synthetic control approach across 169 countries","title-short":"The effects of non-pharmaceutical interventions on COVID-19-related mortality","URL":"https://osf.io/preprints/socarxiv/v2ef8/","author":[{"family":"Mader","given":"Sebastian"},{"family":"Rüttenauer","given":"Tobias"}],"accessed":{"date-parts":[["2021",8,18]]},"issued":{"date-parts":[["2021",6,11]]}}}],"schema":"https://github.com/citation-style-language/schema/raw/master/csl-citation.json"} </w:instrText>
      </w:r>
      <w:r w:rsidRPr="004D3031">
        <w:rPr>
          <w:rFonts w:cs="Calibri"/>
          <w:lang w:val="en-US"/>
        </w:rPr>
        <w:fldChar w:fldCharType="separate"/>
      </w:r>
      <w:r w:rsidR="00BE2E7B" w:rsidRPr="00BE2E7B">
        <w:rPr>
          <w:rFonts w:cs="Calibri"/>
          <w:lang w:val="en-US"/>
        </w:rPr>
        <w:t>Mader and Rüttenauer (2021)</w:t>
      </w:r>
      <w:r w:rsidRPr="004D3031">
        <w:rPr>
          <w:rFonts w:cs="Calibri"/>
          <w:lang w:val="en-US"/>
        </w:rPr>
        <w:fldChar w:fldCharType="end"/>
      </w:r>
      <w:r w:rsidRPr="004D3031">
        <w:rPr>
          <w:lang w:val="en-US"/>
        </w:rPr>
        <w:t xml:space="preserve"> analyze data on daily confirmed COVID-19-related deaths per capita from Our World in Data, and on 10 different NPIs from the Oxford COVID-19 Government Response Tracker for 169 countries from July 1</w:t>
      </w:r>
      <w:r w:rsidRPr="004D3031">
        <w:rPr>
          <w:vertAlign w:val="superscript"/>
          <w:lang w:val="en-US"/>
        </w:rPr>
        <w:t>st</w:t>
      </w:r>
      <w:r w:rsidRPr="004D3031">
        <w:rPr>
          <w:lang w:val="en-US"/>
        </w:rPr>
        <w:t xml:space="preserve">, </w:t>
      </w:r>
      <w:proofErr w:type="gramStart"/>
      <w:r w:rsidRPr="004D3031">
        <w:rPr>
          <w:lang w:val="en-US"/>
        </w:rPr>
        <w:t>2020</w:t>
      </w:r>
      <w:proofErr w:type="gramEnd"/>
      <w:r w:rsidRPr="004D3031">
        <w:rPr>
          <w:lang w:val="en-US"/>
        </w:rPr>
        <w:t xml:space="preserve"> to May 31</w:t>
      </w:r>
      <w:r w:rsidRPr="004D3031">
        <w:rPr>
          <w:vertAlign w:val="superscript"/>
          <w:lang w:val="en-US"/>
        </w:rPr>
        <w:t>st</w:t>
      </w:r>
      <w:r w:rsidRPr="004D3031">
        <w:rPr>
          <w:lang w:val="en-US"/>
        </w:rPr>
        <w:t xml:space="preserve">, 2021. </w:t>
      </w:r>
    </w:p>
    <w:p w14:paraId="1D2BCF89" w14:textId="77777777" w:rsidR="0065098B" w:rsidRPr="004D3031" w:rsidRDefault="0065098B" w:rsidP="0065098B">
      <w:pPr>
        <w:rPr>
          <w:lang w:val="en-US"/>
        </w:rPr>
      </w:pPr>
      <w:r w:rsidRPr="004D3031">
        <w:rPr>
          <w:lang w:val="en-US"/>
        </w:rPr>
        <w:t>They use GSCM thereby effectively avoiding any potential selection bias.</w:t>
      </w:r>
    </w:p>
    <w:p w14:paraId="34C579DC" w14:textId="5ED6BEE3" w:rsidR="0065098B" w:rsidRPr="004D3031" w:rsidRDefault="0065098B" w:rsidP="0065098B">
      <w:pPr>
        <w:rPr>
          <w:lang w:val="en-US"/>
        </w:rPr>
      </w:pPr>
      <w:r w:rsidRPr="004D3031">
        <w:rPr>
          <w:rFonts w:cs="Calibri"/>
          <w:lang w:val="en-US"/>
        </w:rPr>
        <w:fldChar w:fldCharType="begin"/>
      </w:r>
      <w:r w:rsidR="00BE2E7B">
        <w:rPr>
          <w:rFonts w:cs="Calibri"/>
          <w:lang w:val="en-US"/>
        </w:rPr>
        <w:instrText xml:space="preserve"> ADDIN ZOTERO_ITEM CSL_CITATION {"citationID":"2knDUSs4","properties":{"formattedCitation":"Mader and R\\uc0\\u252{}ttenauer (2021)","plainCitation":"Mader and Rüttenauer (2021)","noteIndex":0},"citationItems":[{"id":3685,"uris":["http://zotero.org/groups/2170464/items/77UUP223"],"itemData":{"id":3685,"type":"report","abstract":"Background: Most governments have introduced various non-pharmaceutical interventions (NPIs) in response to the pandemic outbreak of Coronavirus disease (COVID-19) since early 2020. While NPIs aim at avoiding fatalities related to COVID-19, the previous literature on their efficacy has focused on infections and on data of the first half of 2020. Still, findings of early NPI studies may be subject to underreporting and missing timeliness of reporting of cases. Moreover, the low variation in treatment timing during the first wave makes identification of robust treatment effects difficult.\n\nMethods: To circumvent problems of reporting and treatment variation, we analyse data on daily confirmed COVID-19-related deaths per capita from Our World in Data, and on 10 different NPIs from the Oxford COVID-19 Government Response Tracker for 169 countries from 1st July 2020 to 31st May 2021. To identify the causal effects of introducing NPIs on COVID-19-related confirmed fatalities per capita, we apply the generalized synthetic control (GSC) method to each NPI, while controlling for the remaining NPIs, weather conditions, vaccinations, and NPI-residualized COVID-19 cases.\n\nFindings: We do not find substantial and consistent mitigating effects of any NPI under investigation on COVID-19-related deaths per capita. We see a tentative change in the trend of COVID-19-related deaths around 30 days after workplace closing, public transport closing, and stay at home rules have been implemented, but none of them exerts a statistically significant effect.\n\nInterpretation: The study enhances the literature on the effectivity of NPIs with respect to the time frame, the number of countries, and the analytical approach. The results provide further guidance to judge the proportionality of NPIs.","note":"DOI: 10.31235/osf.io/v2ef8\ntype: article","publisher":"SocArXiv","source":"OSF Preprints","title":"The effects of non-pharmaceutical interventions on COVID-19-related mortality: A generalized synthetic control approach across 169 countries","title-short":"The effects of non-pharmaceutical interventions on COVID-19-related mortality","URL":"https://osf.io/preprints/socarxiv/v2ef8/","author":[{"family":"Mader","given":"Sebastian"},{"family":"Rüttenauer","given":"Tobias"}],"accessed":{"date-parts":[["2021",8,18]]},"issued":{"date-parts":[["2021",6,11]]}}}],"schema":"https://github.com/citation-style-language/schema/raw/master/csl-citation.json"} </w:instrText>
      </w:r>
      <w:r w:rsidRPr="004D3031">
        <w:rPr>
          <w:rFonts w:cs="Calibri"/>
          <w:lang w:val="en-US"/>
        </w:rPr>
        <w:fldChar w:fldCharType="separate"/>
      </w:r>
      <w:r w:rsidR="00BE2E7B" w:rsidRPr="00BE2E7B">
        <w:rPr>
          <w:rFonts w:cs="Calibri"/>
          <w:lang w:val="en-US"/>
        </w:rPr>
        <w:t>Mader and Rüttenauer (2021)</w:t>
      </w:r>
      <w:r w:rsidRPr="004D3031">
        <w:rPr>
          <w:rFonts w:cs="Calibri"/>
          <w:lang w:val="en-US"/>
        </w:rPr>
        <w:fldChar w:fldCharType="end"/>
      </w:r>
      <w:r w:rsidRPr="004D3031">
        <w:rPr>
          <w:lang w:val="en-US"/>
        </w:rPr>
        <w:t xml:space="preserve"> “do not find substantial and consistent mitigating effects of any NPI under investigation on COVID-19-related deaths per capita. We see a tentative change in the trend of COVID-19-related deaths around 30 days after workplace closing, public transport closing, and stay at home rules have been implemented, but none of them exerts a statistically significant effect.” Their results are summarized in </w:t>
      </w:r>
      <w:r w:rsidRPr="004D3031">
        <w:rPr>
          <w:lang w:val="en-US"/>
        </w:rPr>
        <w:fldChar w:fldCharType="begin"/>
      </w:r>
      <w:r w:rsidRPr="004D3031">
        <w:rPr>
          <w:lang w:val="en-US"/>
        </w:rPr>
        <w:instrText xml:space="preserve"> REF _Ref122344594 \h </w:instrText>
      </w:r>
      <w:r w:rsidRPr="004D3031">
        <w:rPr>
          <w:lang w:val="en-US"/>
        </w:rPr>
      </w:r>
      <w:r w:rsidRPr="004D3031">
        <w:rPr>
          <w:lang w:val="en-US"/>
        </w:rPr>
        <w:fldChar w:fldCharType="separate"/>
      </w:r>
      <w:r w:rsidR="0041377D" w:rsidRPr="004D3031">
        <w:rPr>
          <w:lang w:val="en-US"/>
        </w:rPr>
        <w:t xml:space="preserve">Figure </w:t>
      </w:r>
      <w:r w:rsidR="0041377D" w:rsidRPr="004D3031">
        <w:rPr>
          <w:noProof/>
          <w:lang w:val="en-US"/>
        </w:rPr>
        <w:t>5</w:t>
      </w:r>
      <w:r w:rsidRPr="004D3031">
        <w:rPr>
          <w:lang w:val="en-US"/>
        </w:rPr>
        <w:fldChar w:fldCharType="end"/>
      </w:r>
      <w:r w:rsidRPr="004D3031">
        <w:rPr>
          <w:lang w:val="en-US"/>
        </w:rPr>
        <w:t xml:space="preserve"> below.</w:t>
      </w:r>
    </w:p>
    <w:p w14:paraId="16E0C484" w14:textId="163ED384" w:rsidR="0065098B" w:rsidRPr="004D3031" w:rsidRDefault="0065098B" w:rsidP="0065098B">
      <w:pPr>
        <w:pStyle w:val="Caption"/>
      </w:pPr>
      <w:bookmarkStart w:id="53" w:name="_Ref122344594"/>
      <w:bookmarkStart w:id="54" w:name="_Toc125059420"/>
      <w:r w:rsidRPr="004D3031">
        <w:lastRenderedPageBreak/>
        <w:t xml:space="preserve">Figure </w:t>
      </w:r>
      <w:r w:rsidRPr="004D3031">
        <w:fldChar w:fldCharType="begin"/>
      </w:r>
      <w:r w:rsidRPr="004D3031">
        <w:instrText xml:space="preserve"> SEQ Figure \* ARABIC </w:instrText>
      </w:r>
      <w:r w:rsidRPr="004D3031">
        <w:fldChar w:fldCharType="separate"/>
      </w:r>
      <w:r w:rsidR="0041377D" w:rsidRPr="004D3031">
        <w:rPr>
          <w:noProof/>
        </w:rPr>
        <w:t>5</w:t>
      </w:r>
      <w:r w:rsidRPr="004D3031">
        <w:rPr>
          <w:noProof/>
        </w:rPr>
        <w:fldChar w:fldCharType="end"/>
      </w:r>
      <w:bookmarkEnd w:id="53"/>
      <w:r w:rsidRPr="004D3031">
        <w:t xml:space="preserve"> Effect on COVID-19 deaths of various NPIs in </w:t>
      </w:r>
      <w:bookmarkStart w:id="55" w:name="_Hlk122344648"/>
      <w:r w:rsidRPr="004D3031">
        <w:fldChar w:fldCharType="begin"/>
      </w:r>
      <w:r w:rsidR="00BE2E7B">
        <w:instrText xml:space="preserve"> ADDIN ZOTERO_ITEM CSL_CITATION {"citationID":"gk3QV9Z7","properties":{"formattedCitation":"Mader and R\\uc0\\u252{}ttenauer (2021)","plainCitation":"Mader and Rüttenauer (2021)","noteIndex":0},"citationItems":[{"id":3685,"uris":["http://zotero.org/groups/2170464/items/77UUP223"],"itemData":{"id":3685,"type":"report","abstract":"Background: Most governments have introduced various non-pharmaceutical interventions (NPIs) in response to the pandemic outbreak of Coronavirus disease (COVID-19) since early 2020. While NPIs aim at avoiding fatalities related to COVID-19, the previous literature on their efficacy has focused on infections and on data of the first half of 2020. Still, findings of early NPI studies may be subject to underreporting and missing timeliness of reporting of cases. Moreover, the low variation in treatment timing during the first wave makes identification of robust treatment effects difficult.\n\nMethods: To circumvent problems of reporting and treatment variation, we analyse data on daily confirmed COVID-19-related deaths per capita from Our World in Data, and on 10 different NPIs from the Oxford COVID-19 Government Response Tracker for 169 countries from 1st July 2020 to 31st May 2021. To identify the causal effects of introducing NPIs on COVID-19-related confirmed fatalities per capita, we apply the generalized synthetic control (GSC) method to each NPI, while controlling for the remaining NPIs, weather conditions, vaccinations, and NPI-residualized COVID-19 cases.\n\nFindings: We do not find substantial and consistent mitigating effects of any NPI under investigation on COVID-19-related deaths per capita. We see a tentative change in the trend of COVID-19-related deaths around 30 days after workplace closing, public transport closing, and stay at home rules have been implemented, but none of them exerts a statistically significant effect.\n\nInterpretation: The study enhances the literature on the effectivity of NPIs with respect to the time frame, the number of countries, and the analytical approach. The results provide further guidance to judge the proportionality of NPIs.","note":"DOI: 10.31235/osf.io/v2ef8\ntype: article","publisher":"SocArXiv","source":"OSF Preprints","title":"The effects of non-pharmaceutical interventions on COVID-19-related mortality: A generalized synthetic control approach across 169 countries","title-short":"The effects of non-pharmaceutical interventions on COVID-19-related mortality","URL":"https://osf.io/preprints/socarxiv/v2ef8/","author":[{"family":"Mader","given":"Sebastian"},{"family":"Rüttenauer","given":"Tobias"}],"accessed":{"date-parts":[["2021",8,18]]},"issued":{"date-parts":[["2021",6,11]]}}}],"schema":"https://github.com/citation-style-language/schema/raw/master/csl-citation.json"} </w:instrText>
      </w:r>
      <w:r w:rsidRPr="004D3031">
        <w:fldChar w:fldCharType="separate"/>
      </w:r>
      <w:bookmarkEnd w:id="54"/>
      <w:r w:rsidR="00BE2E7B" w:rsidRPr="00BE2E7B">
        <w:rPr>
          <w:rFonts w:cs="Calibri"/>
          <w:sz w:val="26"/>
        </w:rPr>
        <w:t>Mader and Rüttenauer (2021)</w:t>
      </w:r>
      <w:r w:rsidRPr="004D3031">
        <w:fldChar w:fldCharType="end"/>
      </w:r>
      <w:bookmarkEnd w:id="55"/>
    </w:p>
    <w:p w14:paraId="47DFBC64" w14:textId="77777777" w:rsidR="0065098B" w:rsidRPr="004D3031" w:rsidRDefault="0065098B" w:rsidP="0065098B">
      <w:pPr>
        <w:rPr>
          <w:lang w:val="en-US"/>
        </w:rPr>
      </w:pPr>
      <w:r w:rsidRPr="004D3031">
        <w:rPr>
          <w:noProof/>
          <w:lang w:val="en-US"/>
        </w:rPr>
        <w:drawing>
          <wp:inline distT="0" distB="0" distL="0" distR="0" wp14:anchorId="4F058DE9" wp14:editId="2321F851">
            <wp:extent cx="5760720" cy="5006975"/>
            <wp:effectExtent l="0" t="0" r="0" b="3175"/>
            <wp:docPr id="16" name="Picture 16"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Diagram&#10;&#10;Description automatically generated"/>
                    <pic:cNvPicPr/>
                  </pic:nvPicPr>
                  <pic:blipFill>
                    <a:blip r:embed="rId16"/>
                    <a:stretch>
                      <a:fillRect/>
                    </a:stretch>
                  </pic:blipFill>
                  <pic:spPr>
                    <a:xfrm>
                      <a:off x="0" y="0"/>
                      <a:ext cx="5760720" cy="5006975"/>
                    </a:xfrm>
                    <a:prstGeom prst="rect">
                      <a:avLst/>
                    </a:prstGeom>
                  </pic:spPr>
                </pic:pic>
              </a:graphicData>
            </a:graphic>
          </wp:inline>
        </w:drawing>
      </w:r>
    </w:p>
    <w:p w14:paraId="6D4B2A42" w14:textId="317B62FB" w:rsidR="0065098B" w:rsidRPr="004D3031" w:rsidRDefault="0065098B" w:rsidP="00D97497">
      <w:pPr>
        <w:pStyle w:val="Undertekstfigur"/>
      </w:pPr>
      <w:r w:rsidRPr="004D3031">
        <w:t xml:space="preserve">Source: Figure 1 in </w:t>
      </w:r>
      <w:r w:rsidRPr="004D3031">
        <w:fldChar w:fldCharType="begin"/>
      </w:r>
      <w:r w:rsidR="00BE2E7B">
        <w:instrText xml:space="preserve"> ADDIN ZOTERO_ITEM CSL_CITATION {"citationID":"4xWLQF8U","properties":{"formattedCitation":"Mader and R\\uc0\\u252{}ttenauer (2021)","plainCitation":"Mader and Rüttenauer (2021)","noteIndex":0},"citationItems":[{"id":3685,"uris":["http://zotero.org/groups/2170464/items/77UUP223"],"itemData":{"id":3685,"type":"report","abstract":"Background: Most governments have introduced various non-pharmaceutical interventions (NPIs) in response to the pandemic outbreak of Coronavirus disease (COVID-19) since early 2020. While NPIs aim at avoiding fatalities related to COVID-19, the previous literature on their efficacy has focused on infections and on data of the first half of 2020. Still, findings of early NPI studies may be subject to underreporting and missing timeliness of reporting of cases. Moreover, the low variation in treatment timing during the first wave makes identification of robust treatment effects difficult.\n\nMethods: To circumvent problems of reporting and treatment variation, we analyse data on daily confirmed COVID-19-related deaths per capita from Our World in Data, and on 10 different NPIs from the Oxford COVID-19 Government Response Tracker for 169 countries from 1st July 2020 to 31st May 2021. To identify the causal effects of introducing NPIs on COVID-19-related confirmed fatalities per capita, we apply the generalized synthetic control (GSC) method to each NPI, while controlling for the remaining NPIs, weather conditions, vaccinations, and NPI-residualized COVID-19 cases.\n\nFindings: We do not find substantial and consistent mitigating effects of any NPI under investigation on COVID-19-related deaths per capita. We see a tentative change in the trend of COVID-19-related deaths around 30 days after workplace closing, public transport closing, and stay at home rules have been implemented, but none of them exerts a statistically significant effect.\n\nInterpretation: The study enhances the literature on the effectivity of NPIs with respect to the time frame, the number of countries, and the analytical approach. The results provide further guidance to judge the proportionality of NPIs.","note":"DOI: 10.31235/osf.io/v2ef8\ntype: article","publisher":"SocArXiv","source":"OSF Preprints","title":"The effects of non-pharmaceutical interventions on COVID-19-related mortality: A generalized synthetic control approach across 169 countries","title-short":"The effects of non-pharmaceutical interventions on COVID-19-related mortality","URL":"https://osf.io/preprints/socarxiv/v2ef8/","author":[{"family":"Mader","given":"Sebastian"},{"family":"Rüttenauer","given":"Tobias"}],"accessed":{"date-parts":[["2021",8,18]]},"issued":{"date-parts":[["2021",6,11]]}}}],"schema":"https://github.com/citation-style-language/schema/raw/master/csl-citation.json"} </w:instrText>
      </w:r>
      <w:r w:rsidRPr="004D3031">
        <w:fldChar w:fldCharType="separate"/>
      </w:r>
      <w:r w:rsidR="00BE2E7B" w:rsidRPr="00BE2E7B">
        <w:rPr>
          <w:rFonts w:cs="Calibri"/>
        </w:rPr>
        <w:t>Mader and Rüttenauer (2021)</w:t>
      </w:r>
      <w:r w:rsidRPr="004D3031">
        <w:fldChar w:fldCharType="end"/>
      </w:r>
    </w:p>
    <w:p w14:paraId="77A10F53" w14:textId="77777777" w:rsidR="0065098B" w:rsidRPr="004D3031" w:rsidRDefault="0065098B" w:rsidP="0065098B">
      <w:pPr>
        <w:rPr>
          <w:b/>
          <w:bCs/>
          <w:lang w:val="en-US"/>
        </w:rPr>
      </w:pPr>
      <w:bookmarkStart w:id="56" w:name="_Toc124683303"/>
      <w:bookmarkStart w:id="57" w:name="_Hlk122353867"/>
      <w:r w:rsidRPr="004D3031">
        <w:rPr>
          <w:b/>
          <w:bCs/>
          <w:lang w:val="en-US"/>
        </w:rPr>
        <w:t>Conclusion on the SCM criteria</w:t>
      </w:r>
      <w:bookmarkEnd w:id="56"/>
    </w:p>
    <w:bookmarkEnd w:id="57"/>
    <w:p w14:paraId="78D5CBF9" w14:textId="795A6BF2" w:rsidR="0065098B" w:rsidRPr="004D3031" w:rsidRDefault="0065098B" w:rsidP="0065098B">
      <w:pPr>
        <w:rPr>
          <w:lang w:val="en-US"/>
        </w:rPr>
      </w:pPr>
      <w:r w:rsidRPr="004D3031">
        <w:rPr>
          <w:lang w:val="en-US"/>
        </w:rPr>
        <w:fldChar w:fldCharType="begin"/>
      </w:r>
      <w:r w:rsidR="00BE2E7B">
        <w:rPr>
          <w:lang w:val="en-US"/>
        </w:rPr>
        <w:instrText xml:space="preserve"> ADDIN ZOTERO_ITEM CSL_CITATION {"citationID":"q0oXmhMz","properties":{"formattedCitation":"Born et al. (2021)","plainCitation":"Born et al. (2021)","noteIndex":0},"citationItems":</w:instrText>
      </w:r>
      <w:r w:rsidR="00BE2E7B" w:rsidRPr="00BE2E7B">
        <w:instrText xml:space="preserve">[{"id":2957,"uris":["http://zotero.org/groups/2170464/items/D3EJAS72"],"itemData":{"id":2957,"type":"article-journal","abstract":"While most countries imposed a lockdown in response to the first wave of COVID-19 infections, Sweden did not. To quantify the lockdown effect, we approximate a counterfactual lockdown scenario for Sweden through the outcome in a synthetic control unit. We find, first, that a 9-week lockdown in the first half of 2020 would have reduced infections and deaths by about 75% and 38%, respectively. Second, the lockdown effect starts to materialize with a delay of 3–4 weeks only. Third, the actual adjustment of mobility patterns in Sweden suggests there has been substantial voluntary social restraint, although the adjustment was less strong than under the lockdown scenario. Lastly, we find that a lockdown would not have caused much additional output loss.","container-title":"PLOS ONE","DOI":"10.1371/journal.pone.0249732","ISSN":"1932-6203","issue":"4","journalAbbreviation":"PLOS ONE","language":"en","note":"publisher: Public Library of Science","page":"e0249732","source":"PLoS Journals","title":"The lockdown effect: A counterfactual for Sweden","title-short":"The lockdown effect","volume":"16","author":[{"family":"Born","given":"Benjamin"},{"family":"Dietrich","given":"Alexander M."},{"family":"Müller","given":"Gernot J."}],"issued":{"date-parts":[["2021",4,8]]}}}],"schema":"https://github.com/citation-style-language/schema/raw/master/csl-citation.json"} </w:instrText>
      </w:r>
      <w:r w:rsidRPr="004D3031">
        <w:rPr>
          <w:lang w:val="en-US"/>
        </w:rPr>
        <w:fldChar w:fldCharType="separate"/>
      </w:r>
      <w:r w:rsidR="00BE2E7B" w:rsidRPr="00BE2E7B">
        <w:rPr>
          <w:rFonts w:cs="Calibri"/>
        </w:rPr>
        <w:t>Born et al. (2021)</w:t>
      </w:r>
      <w:r w:rsidRPr="004D3031">
        <w:rPr>
          <w:lang w:val="en-US"/>
        </w:rPr>
        <w:fldChar w:fldCharType="end"/>
      </w:r>
      <w:r w:rsidRPr="0019047D">
        <w:t xml:space="preserve">, </w:t>
      </w:r>
      <w:r w:rsidRPr="004D3031">
        <w:rPr>
          <w:lang w:val="en-US"/>
        </w:rPr>
        <w:fldChar w:fldCharType="begin"/>
      </w:r>
      <w:r w:rsidR="00BE2E7B">
        <w:instrText xml:space="preserve"> ADDIN ZOTERO_ITEM CSL_CITATION {"citationID":"w0mekiWU","properties":{"formattedCitation":"Cerqueti et al. (2021)","plainCitation":"Cerqueti et al. (2021)","noteIndex":0},"citationItems":[{"id":3699,"uris":["http://zotero.org/groups/2170464/items/YE7SYZAB"],"itemData":{"id":3699,"type":"article-journal","abstract":"This paper estimates the effects of non-pharmaceutical interventions - mainly, the lockdown - on the COVID-19 mortality rate for the case of Italy, the first Western country to impose a national shelter-in-place order. We use a new estimator, the Augmented Synthetic Control Method (ASCM), that overcomes some limits of the standard Synthetic Control Method (SCM). The results are twofold. From a methodological point of view, the ASCM outperforms the SCM in that the latter cannot select a valid donor set, assigning all the weights to only one country (Spain) while placing zero weights to all the remaining. From an empirical point of view, we find strong evidence of the effectiveness of non-pharmaceutical interventions in avoiding losses of human lives in Italy: conservative estimates indicate that for each human life actually lost, in the absence of lockdown there would have been on average other 1.15, the policy saved in total 20,400 human lives.","container-title":"arXiv:2101.11901 [econ]","note":"arXiv: 2101.11901","source":"arXiv.org","title":"The sooner the better: lives saved by the lockdown during the COVID-19 outbreak. The case of Italy","title-short":"The sooner the better","URL":"http://arxiv.org/abs/2101.11901","author":[{"family":"Cerqueti","given":"Roy"},{"family":"Coppier","given":"Raffaella"},{"family":"Girardi","given":"Alessandro"},{"family":"Ventura","given":"Marco"}],"accessed":{"date-parts":[["2021",8,17]]},"issued":{"date-parts":[["2021",1,29]]}}}],"schema":"https://github.com/citation-style-language/schema/raw/master/csl-citation.json"} </w:instrText>
      </w:r>
      <w:r w:rsidRPr="004D3031">
        <w:rPr>
          <w:lang w:val="en-US"/>
        </w:rPr>
        <w:fldChar w:fldCharType="separate"/>
      </w:r>
      <w:r w:rsidR="00BE2E7B" w:rsidRPr="00BE2E7B">
        <w:rPr>
          <w:rFonts w:cs="Calibri"/>
        </w:rPr>
        <w:t>Cerqueti et al. (2021)</w:t>
      </w:r>
      <w:r w:rsidRPr="004D3031">
        <w:rPr>
          <w:lang w:val="en-US"/>
        </w:rPr>
        <w:fldChar w:fldCharType="end"/>
      </w:r>
      <w:r w:rsidRPr="0019047D">
        <w:t xml:space="preserve">, </w:t>
      </w:r>
      <w:r w:rsidRPr="004D3031">
        <w:rPr>
          <w:lang w:val="en-US"/>
        </w:rPr>
        <w:fldChar w:fldCharType="begin"/>
      </w:r>
      <w:r w:rsidR="00BE2E7B">
        <w:instrText xml:space="preserve"> ADDIN ZOTERO_ITEM CSL_CITATION {"citationID":"G8QD9LYt","properties":{"formattedCitation":"Cho (2020)","plainCitation":"Cho (2020)","noteIndex":0},"citationItems":[{"id":3712,"uris":["http://zotero.org/groups/2170464/items/M83ML629"],"itemData":{"id":3712,"type":"article-journal","abstract":"This paper estimates the effect of nonpharmaceutical intervention policies on public health during the COVID-19 outbreak by considering a counterfactual case for Sweden. Using a synthetic control approach, I find that strict initial lockdown measures play an important role in limiting the spread of the COVID-19 infection, as the infection cases in Sweden would have been reduced by almost 75 percent had its policymakers followed stricter containment policies. As people dynamically adjust their behaviour in response to information and policies, the impact of nonpharmaceutical interventions becomes visible, with a time lag of around 5 weeks. Supplementary robustness checks and an alternative difference-in-differences framework analysis do not fundamentally alter the main conclusions. Finally, extending the analysis to excess mortality, I find that the lockdown measures would have been associated with a lower excess mortality rate in Sweden by 25 percentage points, with a steep age gradient of 29 percentage points for the most vulnerable elderly cohort. The outcome of this study can assist policymakers in laying out future guidelines to further protect public health, as well as facilitate plans for economic recovery.","container-title":"The Econometrics Journal","DOI":"10.1093/ectj/utaa025","ISSN":"1368-4221","issue":"3","journalAbbreviation":"The Econometrics Journal","page":"323-344","source":"Silverchair","title":"Quantifying the impact of nonpharmaceutical interventions during the COVID-19 outbreak: The case of Sweden","title-short":"Quantifying the impact of nonpharmaceutical interventions during the COVID-19 outbreak","volume":"23","author":[{"family":"Cho","given":"Sang-Wook (Stanley)"}],"issued":{"date-parts":[["2020",9,1]]}}}],"schema":"https://github.com/citation-style-language/schema/raw/master/csl-citation.json"} </w:instrText>
      </w:r>
      <w:r w:rsidRPr="004D3031">
        <w:rPr>
          <w:lang w:val="en-US"/>
        </w:rPr>
        <w:fldChar w:fldCharType="separate"/>
      </w:r>
      <w:r w:rsidR="00BE2E7B" w:rsidRPr="00BE2E7B">
        <w:rPr>
          <w:rFonts w:cs="Calibri"/>
        </w:rPr>
        <w:t>Cho (2020)</w:t>
      </w:r>
      <w:r w:rsidRPr="004D3031">
        <w:rPr>
          <w:lang w:val="en-US"/>
        </w:rPr>
        <w:fldChar w:fldCharType="end"/>
      </w:r>
      <w:r w:rsidRPr="0019047D">
        <w:t xml:space="preserve">, </w:t>
      </w:r>
      <w:r w:rsidRPr="004D3031">
        <w:rPr>
          <w:lang w:val="en-US"/>
        </w:rPr>
        <w:fldChar w:fldCharType="begin"/>
      </w:r>
      <w:r w:rsidR="00BE2E7B">
        <w:instrText xml:space="preserve"> ADDIN ZOTERO_ITEM CSL_CITATION {"citationID":"Q9vPsVBS","properties":{"formattedCitation":"Conyon and Thomsen (2021)","plainCitation":"Conyon and Thomsen (2021)","noteIndex":0},"citationItems":[{"id":4444,"uris":["http://zotero.org/groups/2170464/items/F4CWQCKT"],"itemData":{"id":4444,"type":"article-journal","abstract":"We address two research questions. First, how did the COVID-19 disease progress in Scandinavia in 2020? Second, did Sweden’s unique public health care response lead to differential infection and mortality rates during 2020? We use synthetic control techniques to model COVID-19 dynamics, comparing Sweden to a synthetic control unit. We show that stricter lock-down policies are associated with fewer COVID-19 infections and deaths. This finding holds in the first and second waves experienced in Scandinavia. We document several important health care metrics including infection and mortality rates, reproduction rates, lockdown stringency, mobility of people, infection positivity rates, testing, and vaccination rates in Denmark, Norway, and Sweden.","DOI":"10.2139/ssrn.3793888","note":"type: article","source":"Europe PMC","title":"COVID-19 in Scandinavia","URL":"https://europepmc.org/article/PPR/PPR294675","author":[{"family":"Conyon","given":"Martin J."},{"family":"Thomsen","given":"Steen"}],"accessed":{"date-parts":[["2021",8,17]]},"issued":{"date-parts":[["2021",3,5]]}}}],"schema":"https://github.com/citation-style-language/schema/raw/master/csl-citation.json"} </w:instrText>
      </w:r>
      <w:r w:rsidRPr="004D3031">
        <w:rPr>
          <w:lang w:val="en-US"/>
        </w:rPr>
        <w:fldChar w:fldCharType="separate"/>
      </w:r>
      <w:r w:rsidR="00BE2E7B" w:rsidRPr="00BE2E7B">
        <w:rPr>
          <w:rFonts w:cs="Calibri"/>
        </w:rPr>
        <w:t>Conyon and Thomsen (2021)</w:t>
      </w:r>
      <w:r w:rsidRPr="004D3031">
        <w:rPr>
          <w:lang w:val="en-US"/>
        </w:rPr>
        <w:fldChar w:fldCharType="end"/>
      </w:r>
      <w:r w:rsidRPr="0019047D">
        <w:t xml:space="preserve">, and </w:t>
      </w:r>
      <w:r w:rsidRPr="004D3031">
        <w:rPr>
          <w:lang w:val="en-US"/>
        </w:rPr>
        <w:fldChar w:fldCharType="begin"/>
      </w:r>
      <w:r w:rsidR="00BE2E7B">
        <w:instrText xml:space="preserve"> ADDIN ZOTERO_ITEM CSL_CITATION {"citationID":"yKy0wRmf","properties":{"formattedCitation":"Ghosh et al. (2020)","plainCitation":"Ghosh et al. (2020)","noteIndex":0},"citationItems":[{"id":3727,"uris":["http://zotero.org/groups/2170464/items/PAAIJ63L"],"itemData":{"id":3727,"type":"article-journal","abstract":"The ongoing pandemic of coronavirus disease 2019-2020 (COVID-19) is caused by Severe Acute Respiratory Syndrome Coronavirus 2 (SARS-CoV-2). This pathogenic virus is able to spread asymptotically during its incubation stage through a vulnerable population. Given the state of healthcare, policymakers were urged to contain the spread of infection, minimize stress on the health systems and ensure public safety. Most effective tool that was at their disposal was to close non-essential business a</w:instrText>
      </w:r>
      <w:r w:rsidR="00BE2E7B" w:rsidRPr="00E50C80">
        <w:rPr>
          <w:lang w:val="en-US"/>
        </w:rPr>
        <w:instrText>nd issue a stay home order. In this paper we consider techniques to measure the effectiveness of stringency measures adopted by governments across the world. Analyzing effectiveness of control measures like lock-down allows us to understand whether the decisions made were optimal and resulted in a reduction of burden on the healthcare system. In specific we consider using a synthetic control to construct alternative scenarios and understand what would have been the effect on health if less stringent measures were adopted. We present analysis for The State of New York, United States, Italy and The Indian capital city Delhi and show how lock-down measure</w:instrText>
      </w:r>
      <w:r w:rsidR="00BE2E7B" w:rsidRPr="00BE2E7B">
        <w:rPr>
          <w:lang w:val="en-US"/>
        </w:rPr>
        <w:instrText xml:space="preserve">s has helped and what the counterfactual scenarios would have been in comparison to the current state of affairs. We show that in The State of New York the number of deaths could have been 6 times higher, and in Italy, the number of deaths could have been 3 times higher by 26th of June, 2020.","container-title":"arXiv:2008.05876 [physics]","note":"arXiv: 2008.05876","source":"arXiv.org","title":"A Study on the Effectiveness of Lock-down Measures to Control the Spread of COVID-19","URL":"http://arxiv.org/abs/2008.05876","author":[{"family":"Ghosh","given":"Subhas Kumar"},{"family":"Ghosh","given":"Sachchit"},{"family":"Narumanchi","given":"Sai Shanmukha"}],"accessed":{"date-parts":[["2021",8,17]]},"issued":{"date-parts":[["2020",8,8]]}}}],"schema":"https://github.com/citation-style-language/schema/raw/master/csl-citation.json"} </w:instrText>
      </w:r>
      <w:r w:rsidRPr="004D3031">
        <w:rPr>
          <w:lang w:val="en-US"/>
        </w:rPr>
        <w:fldChar w:fldCharType="separate"/>
      </w:r>
      <w:r w:rsidR="00BE2E7B" w:rsidRPr="00BE2E7B">
        <w:rPr>
          <w:rFonts w:cs="Calibri"/>
          <w:lang w:val="en-US"/>
        </w:rPr>
        <w:t>Ghosh et al. (2020)</w:t>
      </w:r>
      <w:r w:rsidRPr="004D3031">
        <w:rPr>
          <w:lang w:val="en-US"/>
        </w:rPr>
        <w:fldChar w:fldCharType="end"/>
      </w:r>
      <w:r w:rsidRPr="004D3031">
        <w:rPr>
          <w:lang w:val="en-US"/>
        </w:rPr>
        <w:t xml:space="preserve"> study special cases, i.e. jurisdictions which were hit early and surprised by the pandemic and would have experienced very high COVID-19 mortality even if they managed to reduce the reproduction number, R</w:t>
      </w:r>
      <w:r w:rsidRPr="004D3031">
        <w:rPr>
          <w:vertAlign w:val="subscript"/>
          <w:lang w:val="en-US"/>
        </w:rPr>
        <w:t>t</w:t>
      </w:r>
      <w:r w:rsidRPr="004D3031">
        <w:rPr>
          <w:lang w:val="en-US"/>
        </w:rPr>
        <w:t>, to the same level at the same time as other places.</w:t>
      </w:r>
    </w:p>
    <w:p w14:paraId="3CFF1428" w14:textId="69391CF6" w:rsidR="0065098B" w:rsidRPr="004D3031" w:rsidRDefault="0065098B" w:rsidP="0065098B">
      <w:pPr>
        <w:rPr>
          <w:lang w:val="en-US"/>
        </w:rPr>
      </w:pPr>
      <w:r w:rsidRPr="004D3031">
        <w:rPr>
          <w:lang w:val="en-US"/>
        </w:rPr>
        <w:fldChar w:fldCharType="begin"/>
      </w:r>
      <w:r w:rsidR="00BE2E7B">
        <w:rPr>
          <w:lang w:val="en-US"/>
        </w:rPr>
        <w:instrText xml:space="preserve"> ADDIN ZOTERO_ITEM CSL_CITATION {"citationID":"Qorg5iGx","properties":{"formattedCitation":"Friedson et al. (2021)","plainCitation":"Friedson et al. (2021)","noteIndex":0},"citationItems":[{"id":3711,"uris":["http://zotero.org/groups/2170464/items/F92QXFZH"],"itemData":{"id":3711,"type":"article-journal","abstract":"A shelter-in-place order (SIPO) is one of the most restrictive non-pharmaceutical interventions designed to curb the spread of COVID-19. On March 19, 2020, California Governor Gavin Newsom issued the first statewide SIPO in the United States. The order closed non-essential businesses and required residents to shelter in place</w:instrText>
      </w:r>
      <w:r w:rsidR="00BE2E7B" w:rsidRPr="00BE2E7B">
        <w:instrText xml:space="preserve"> for all but essential activities such as grocery shopping, retrieving prescriptions from a pharmacy, or caring for relatives. This study is the first in the economics literature to estimate the effect of a statewide SIPO on public health. Using daily state-level coronavirus data and a synthetic control research design, we find that California's statewide SIPO reduced COVID-19 cases by 160.9 to 194.7 per 100,000 population by April 20, one month following the order. We further find that California's SIPO led to as many as 1,566 fewer COVID-19 deaths during this period. Back-of-the-envelope calculations suggest that there were about 649 to 703 job losses per life saved, and about 14 to16 job losses per case averted during this post-treatment period.","container-title":"Journal of Policy Analysis and Management","DOI":"10.1002/pam.22267","ISSN":"1520-6688","issue":"1","language":"en","note":"_eprint: https://onlinelibrary.wiley.com/doi/pdf/10.1002/pam.22267","page":"258-283","source":"Wiley Online Library","title":"Shelter-in-Place Orders and Public Health: Evidence from California During the Covid-19 Pandemic","title-short":"Shelter-in-Place Orders and Public Health","volume":"40","author":[{"family":"Friedson","given":"Andrew I."},{"family":"McNichols","given":"Drew"},{"family":"Sabia","given":"Joseph J."},{"family":"Dave","given":"Dhaval"}],"issued":{"date-parts":[["2021",12,11]]}}}],"schema":"https://github.com/citation-style-language/schema/raw/master/csl-citation.json"} </w:instrText>
      </w:r>
      <w:r w:rsidRPr="004D3031">
        <w:rPr>
          <w:lang w:val="en-US"/>
        </w:rPr>
        <w:fldChar w:fldCharType="separate"/>
      </w:r>
      <w:r w:rsidR="00BE2E7B" w:rsidRPr="00E50C80">
        <w:rPr>
          <w:rFonts w:cs="Calibri"/>
          <w:lang w:val="en-US"/>
        </w:rPr>
        <w:t>Friedson et al. (2021)</w:t>
      </w:r>
      <w:r w:rsidRPr="004D3031">
        <w:rPr>
          <w:lang w:val="en-US"/>
        </w:rPr>
        <w:fldChar w:fldCharType="end"/>
      </w:r>
      <w:r w:rsidRPr="00E50C80">
        <w:rPr>
          <w:lang w:val="en-US"/>
        </w:rPr>
        <w:t xml:space="preserve"> and </w:t>
      </w:r>
      <w:r w:rsidRPr="004D3031">
        <w:rPr>
          <w:lang w:val="en-US"/>
        </w:rPr>
        <w:fldChar w:fldCharType="begin"/>
      </w:r>
      <w:r w:rsidR="00BE2E7B" w:rsidRPr="00E50C80">
        <w:rPr>
          <w:lang w:val="en-US"/>
        </w:rPr>
        <w:instrText xml:space="preserve"> ADDIN ZOTERO_ITEM CSL_CITATION {"citationID":"4WvEcRXt","properties":{"formattedCitation":"Neidh\\uc0\\u246{}fer and Neidh\\uc0\\u246{}fer (2020)","plainCitation":"Neidhöfer and Neidhöfer (2020)","noteIndex":0},"citationItems":[{"id":3702,"uris":["http://zotero.org/groups/2170464/items/JTIY3VWC"],"itemData":{"id":3702,"type":"article-journal","abstract":"The rapid spread of COVID-19 forced policy-makers to swiftly </w:instrText>
      </w:r>
      <w:r w:rsidR="00BE2E7B">
        <w:instrText>ﬁ</w:instrText>
      </w:r>
      <w:r w:rsidR="00BE2E7B" w:rsidRPr="00E50C80">
        <w:rPr>
          <w:lang w:val="en-US"/>
        </w:rPr>
        <w:instrText>nd solutions to reduce infection rates and keep mortality as low as possible. Empirical analyses on the e</w:instrText>
      </w:r>
      <w:r w:rsidR="00BE2E7B">
        <w:instrText>ﬀ</w:instrText>
      </w:r>
      <w:r w:rsidR="00BE2E7B" w:rsidRPr="00E50C80">
        <w:rPr>
          <w:lang w:val="en-US"/>
        </w:rPr>
        <w:instrText>ectiveness of control measures are hereby of primary importance. School closures were among the earliest measures enacted by the governments of most countries. However, while schools are now reopening in many countries, the impact of school closures on the course of the epidemic is still an open question. Adopting parametric and non-parametric synthetic control methods we estimate the e</w:instrText>
      </w:r>
      <w:r w:rsidR="00BE2E7B">
        <w:instrText>ﬀ</w:instrText>
      </w:r>
      <w:r w:rsidR="00BE2E7B" w:rsidRPr="00E50C80">
        <w:rPr>
          <w:lang w:val="en-US"/>
        </w:rPr>
        <w:instrText xml:space="preserve">ectiveness of pro-active school closures, and other early social distancing interventions, in three countries that reacted relatively early during the course of the pandemic. Our </w:instrText>
      </w:r>
      <w:r w:rsidR="00BE2E7B">
        <w:instrText>ﬁ</w:instrText>
      </w:r>
      <w:r w:rsidR="00BE2E7B" w:rsidRPr="00E50C80">
        <w:rPr>
          <w:lang w:val="en-US"/>
        </w:rPr>
        <w:instrText>ndings suggest that these interventions were e</w:instrText>
      </w:r>
      <w:r w:rsidR="00BE2E7B">
        <w:instrText>ﬀ</w:instrText>
      </w:r>
      <w:r w:rsidR="00BE2E7B" w:rsidRPr="00E50C80">
        <w:rPr>
          <w:lang w:val="en-US"/>
        </w:rPr>
        <w:instrText xml:space="preserve">ective at reducing the mortality rate of COVID-19, especially when enacted early.","container-title":"SSRN Electronic Journal","DOI":"10.2139/ssrn.3649953","ISSN":"1556-5068","journalAbbreviation":"SSRN Journal","language":"en","source":"DOI.org (Crossref)","title":"The Effectiveness of School Closures and Other Pre-Lockdown COVID-19 Mitigation Strategies in Argentina, Italy, and South Korea","URL":"https://www.ssrn.com/abstract=3649953","author":[{"family":"Neidhöfer","given":"Guido"},{"family":"Neidhöfer","given":"Claudio"}],"accessed":{"date-parts":[["2021",8,17]]},"issued":{"date-parts":[["2020",7,3]]}}}],"schema":"https://github.com/citation-style-language/schema/raw/master/csl-citation.json"} </w:instrText>
      </w:r>
      <w:r w:rsidRPr="004D3031">
        <w:rPr>
          <w:lang w:val="en-US"/>
        </w:rPr>
        <w:fldChar w:fldCharType="separate"/>
      </w:r>
      <w:r w:rsidR="00BE2E7B" w:rsidRPr="00E50C80">
        <w:rPr>
          <w:rFonts w:cs="Calibri"/>
          <w:lang w:val="en-US"/>
        </w:rPr>
        <w:t>Neidhöfer and Neidhöfer (2020)</w:t>
      </w:r>
      <w:r w:rsidRPr="004D3031">
        <w:rPr>
          <w:lang w:val="en-US"/>
        </w:rPr>
        <w:fldChar w:fldCharType="end"/>
      </w:r>
      <w:r w:rsidRPr="00E50C80">
        <w:rPr>
          <w:lang w:val="en-US"/>
        </w:rPr>
        <w:t xml:space="preserve"> find very large and very early effects which indicate that their synthetic control is </w:t>
      </w:r>
      <w:bookmarkStart w:id="58" w:name="_Hlk122337688"/>
      <w:r w:rsidRPr="00E50C80">
        <w:rPr>
          <w:lang w:val="en-US"/>
        </w:rPr>
        <w:t xml:space="preserve">flawed. </w:t>
      </w:r>
      <w:r w:rsidRPr="004D3031">
        <w:rPr>
          <w:lang w:val="en-US"/>
        </w:rPr>
        <w:t xml:space="preserve">The explanation may lie in the </w:t>
      </w:r>
      <w:bookmarkEnd w:id="58"/>
      <w:r w:rsidRPr="004D3031">
        <w:rPr>
          <w:lang w:val="en-US"/>
        </w:rPr>
        <w:t xml:space="preserve">very short data period available for estimating the synthetic control which is exactly the problem discussed by </w:t>
      </w:r>
      <w:r w:rsidRPr="004D3031">
        <w:rPr>
          <w:lang w:val="en-US"/>
        </w:rPr>
        <w:fldChar w:fldCharType="begin"/>
      </w:r>
      <w:r w:rsidR="00BE2E7B">
        <w:rPr>
          <w:lang w:val="en-US"/>
        </w:rPr>
        <w:instrText xml:space="preserve"> ADDIN ZOTERO_ITEM CSL_CITATION {"citationID":"7Fd1lcUr","properties":{"formattedCitation":"Bj\\uc0\\u248{}rnskov (2021)","plainCitation":"Bjørnskov (2021)","noteIndex":0},"citationItems":[{"id":1110,"uris":["http://zotero.org/users/4473730/items/9SHZLCQD"],"itemData":{"id":1110,"type":"post-weblog","abstract":"Som opmærksomme læsere ved, er vi her på stedet kommet til konklusionen, at de voldsomme nedlukninger i den vestlige verden siden marts sidste år ikke har reddet liv. Lockdowns virkede ikke, men sk…","container-title":"Punditokraterne","title":"Born et al. om epidemien i Sverige – hvad er der galt og hvordan ser det ud nu?","URL":"http://punditokraterne.dk/2021/06/14/born-et-al-om-epidemien-i-sverige-hvad-er-der-galt-og-hvordan-ser-det-ud-nu/","author":[{"family":"Bjørnskov","given":"Christian"}],"accessed":{"date-parts":[["2021",8,23]]},"issued":{"date-parts":[["2021",6,14]]}}}],"schema":"https://github.com/citation-style-language/schema/raw/master/csl-citation.json"} </w:instrText>
      </w:r>
      <w:r w:rsidRPr="004D3031">
        <w:rPr>
          <w:lang w:val="en-US"/>
        </w:rPr>
        <w:fldChar w:fldCharType="separate"/>
      </w:r>
      <w:r w:rsidR="00BE2E7B" w:rsidRPr="00BE2E7B">
        <w:rPr>
          <w:rFonts w:cs="Calibri"/>
          <w:lang w:val="en-US"/>
        </w:rPr>
        <w:t>Bjørnskov (2021)</w:t>
      </w:r>
      <w:r w:rsidRPr="004D3031">
        <w:rPr>
          <w:lang w:val="en-US"/>
        </w:rPr>
        <w:fldChar w:fldCharType="end"/>
      </w:r>
      <w:r w:rsidRPr="004D3031">
        <w:rPr>
          <w:lang w:val="en-US"/>
        </w:rPr>
        <w:t xml:space="preserve"> and initially pointed out by </w:t>
      </w:r>
      <w:r w:rsidRPr="004D3031">
        <w:rPr>
          <w:lang w:val="en-US"/>
        </w:rPr>
        <w:fldChar w:fldCharType="begin"/>
      </w:r>
      <w:r w:rsidR="00BE2E7B">
        <w:rPr>
          <w:lang w:val="en-US"/>
        </w:rPr>
        <w:instrText xml:space="preserve"> ADDIN ZOTERO_ITEM CSL_CITATION {"citationID":"AaSpxJG4","properties":{"formattedCitation":"Abadie (2021)","plainCitation":"Abadie (2021)","noteIndex":0},"citationItems":[{"id":3939,"uris":["http://zotero.org/groups/2170464/items/LDI2VMKX"],"itemData":{"id":3939,"type":"article-journal","abstract":"Probably because of their interpretability and transparent nature, synthetic controls have become widely applied in empirical research in economics and the social sciences. This article aims to provide practical guidance to researchers employing synthetic control methods. The article starts with an overview and an introduction to synthetic control estimation. The main sections discuss the advantages of the synthetic control framework as a research design, and describe the settings where synthetic controls provide reliable estimates and those where they may fail. The article closes with a discussion of recent extensions, related methods, and avenues for future research. (JEL B41, C32, C54, E23, F15, O47)","container-title":"Journal of Economic Literature","DOI":"10.1257/jel.20191450","ISSN":"0022-0515","issue":"2","journalAbbreviation":"Journal of Economic Literature","language":"en","page":"391-425","source":"DOI.org (Crossref)","title":"Using Synthetic Controls: Feasibility, Data Requirements, and Methodological Aspects","title-short":"Using Synthetic Controls","volume":"59","author":[{"family":"Abadie","given":"Alberto"}],"issued":{"date-parts":[["2021",6,1]]}}}],"schema":"https://github.com/citation-style-language/schema/raw/master/csl-citation.json"} </w:instrText>
      </w:r>
      <w:r w:rsidRPr="004D3031">
        <w:rPr>
          <w:lang w:val="en-US"/>
        </w:rPr>
        <w:fldChar w:fldCharType="separate"/>
      </w:r>
      <w:r w:rsidR="00BE2E7B" w:rsidRPr="00BE2E7B">
        <w:rPr>
          <w:rFonts w:cs="Calibri"/>
          <w:lang w:val="en-US"/>
        </w:rPr>
        <w:t>Abadie (2021)</w:t>
      </w:r>
      <w:r w:rsidRPr="004D3031">
        <w:rPr>
          <w:lang w:val="en-US"/>
        </w:rPr>
        <w:fldChar w:fldCharType="end"/>
      </w:r>
      <w:r w:rsidRPr="004D3031">
        <w:rPr>
          <w:lang w:val="en-US"/>
        </w:rPr>
        <w:t>.</w:t>
      </w:r>
    </w:p>
    <w:p w14:paraId="20B51062" w14:textId="3D2402D9" w:rsidR="0065098B" w:rsidRPr="004D3031" w:rsidRDefault="0065098B" w:rsidP="0065098B">
      <w:pPr>
        <w:rPr>
          <w:lang w:val="en-US"/>
        </w:rPr>
      </w:pPr>
      <w:r w:rsidRPr="004D3031">
        <w:rPr>
          <w:lang w:val="en-US"/>
        </w:rPr>
        <w:fldChar w:fldCharType="begin"/>
      </w:r>
      <w:r w:rsidR="00BE2E7B">
        <w:rPr>
          <w:lang w:val="en-US"/>
        </w:rPr>
        <w:instrText xml:space="preserve"> ADDIN ZOTERO_ITEM CSL_CITATION {"citationID":"Mj1iZ2Cq","properties":{"formattedCitation":"Reinbold (2021)","plainCitation":"Reinbold (2021)","noteIndex":0},"citationItems":[{"id":3721,"uris":["http://zotero.org/groups/2170464/items/HLDHP4ZB"],"itemData":{"id":3721,"type":"article-journal","abstract":"&lt;h3&gt;Background&lt;/h3&gt;&lt;p&gt;One of the most difficult public policy decisions associated with the COVID-19 pandemic has been about how to offer K-12 instruction. We sought to determine whether differences in instruction types at the beginning of the 2020-2021 school year were related to differences in COVID-19 cases, hospitalizations, and deaths in Illinois counties during the first 3 weeks of the school year.&lt;/p&gt;&lt;h3&gt;Methods&lt;/h3&gt;&lt;p&gt;We divided Illinois counties into 3 groups based on the instruction type used for a majority of K-12 students at the start of the school year: in-person, hybrid, or online-only. We used synthetic control analysis to match counties between the 3 groups.&lt;/p&gt;&lt;h3&gt;Results&lt;/h3&gt;&lt;p&gt;Both majority hybrid and majority online-only counties had significantly fewer new cases than majority in-person counties. There were no significant differences in new cases between majority hybrid counties and majority online-only counties or in new hospital admissions or deaths between any of the 3 county groups.&lt;/p&gt;&lt;h3&gt;Conclusions&lt;/h3&gt;&lt;p&gt;This paper adds to the growing scientific consensus that at least some forms of in-person K-12 instruction have not contributed significantly to the spread of the pandemic. However, our results suggest that there may be an important difference between fully in-person instruction and hybrid instruction.&lt;/p&gt;","container-title":"American Journal of Infection Control","DOI":"10.1016/j.ajic.2021.05.011","ISSN":"0196-6553, 1527-3296","issue":"0","journalAbbreviation":"American Journal of Infection Control","language":"English","note":"publisher: Elsevier\nPMID: 34052313","source":"www.ajicjournal.org","title":"Effect of Fall 2020 K-12 instruction types on COVID-19 cases, hospital admissions, and deaths in Illinois counties","URL":"https://www.ajicjournal.org/article/S0196-6553(21)00380-1/abstract","volume":"0","author":[{"family":"Reinbold","given":"Gary W."}],"accessed":{"date-parts":[["2021",8,17]]},"issued":{"date-parts":[["2021",5,27]]}}}],"schema":"https://github.com/citation-style-language/schema/raw/master/csl-citation.json"} </w:instrText>
      </w:r>
      <w:r w:rsidRPr="004D3031">
        <w:rPr>
          <w:lang w:val="en-US"/>
        </w:rPr>
        <w:fldChar w:fldCharType="separate"/>
      </w:r>
      <w:r w:rsidR="00BE2E7B" w:rsidRPr="00BE2E7B">
        <w:rPr>
          <w:rFonts w:cs="Calibri"/>
          <w:lang w:val="en-US"/>
        </w:rPr>
        <w:t>Reinbold (2021)</w:t>
      </w:r>
      <w:r w:rsidRPr="004D3031">
        <w:rPr>
          <w:lang w:val="en-US"/>
        </w:rPr>
        <w:fldChar w:fldCharType="end"/>
      </w:r>
      <w:r w:rsidRPr="004D3031">
        <w:rPr>
          <w:lang w:val="en-US"/>
        </w:rPr>
        <w:t xml:space="preserve"> does not find any effect on mortality but only looks at a three-week period after treatment, hiding any potential effect on mortality of school closures due to the delay between infection and death.</w:t>
      </w:r>
    </w:p>
    <w:p w14:paraId="5D424EE0" w14:textId="1A741205" w:rsidR="0065098B" w:rsidRPr="004D3031" w:rsidRDefault="0065098B" w:rsidP="0065098B">
      <w:pPr>
        <w:rPr>
          <w:lang w:val="en-US"/>
        </w:rPr>
      </w:pPr>
      <w:r w:rsidRPr="004D3031">
        <w:rPr>
          <w:lang w:val="en-US"/>
        </w:rPr>
        <w:fldChar w:fldCharType="begin"/>
      </w:r>
      <w:r w:rsidR="00BE2E7B">
        <w:rPr>
          <w:lang w:val="en-US"/>
        </w:rPr>
        <w:instrText xml:space="preserve"> ADDIN ZOTERO_ITEM CSL_CITATION {"citationID":"kvJe7i7t","properties":{"formattedCitation":"Dave et al. (2020b)","plainCitation":"Dave et al. (2020b)","noteIndex":0},"citationItems":[{"id":4443,"uris":["http://zotero.org/groups/2170464/items/PJ7N4CCP"],"itemData":{"id":4443,"type":"article-journal","abstract":"Policymakers have explicitly linked sustained reductions in COVID-19 case growth to reopening policies, including the lifting of shelter-in-place orders (SIPOs). This “hardwired” policy endogeneity creates challenges in isolating the causal effect of lifting a statewide SIPO on COVID-19. To overcome simultaneity bias, we exploit a unique natural experiment generated by the Wisconsin Supreme Court when it abolished Wisconsin’s “Safer at Home” order on separation-of-powers grounds. We capitalize on this sudden, dramatic, and largely unanticipated termination of a statewide SIPO to estimate its effect on social distancing and COVID-19 case growth. First, using anonymized smartphone data from SafeGraph Inc. and a synthetic control design, we find that SIPO termination had little impact on social distancing. Then, using data on COVID-19 case and mortality rates, we find no evidence that the Wisconsin Supreme Court decision impacted COVID-19 growth up to a month following the repeal. We conclude that the impacts of SIPOs are likely not symmetric across enactment and lifting of orders, and this asymmetry sheds new light on the potential mechanisms underlying the effectiveness of these orders.","collection-title":"Working Paper Series","DOI":"10.3386/w27322","note":"DOI: 10.3386/w27322","source":"National Bureau of Economic Research","title":"Are the Effects of Adoption and Termination of Shelter-in-Place Orders Symmetric? Evidence from a Natural Experiment","title-short":"Are the Effects of Adoption and Termination of Shelter-in-Place Orders Symmetric?","URL":"https://www.nber.org/papers/w27322","author":[{"family":"Dave","given":"Dhaval"},{"family":"Friedson","given":"Andrew I."},{"family":"Matsuzawa","given":"Kyutaro"},{"family":"McNichols","given":"Drew"},{"family":"Sabia","given":"Joseph J."}],"accessed":{"date-parts":[["2022",12,19]]},"issued":{"date-parts":[["2020",6]]}}}],"schema":"https://github.com/citation-style-language/schema/raw/master/csl-citation.json"} </w:instrText>
      </w:r>
      <w:r w:rsidRPr="004D3031">
        <w:rPr>
          <w:lang w:val="en-US"/>
        </w:rPr>
        <w:fldChar w:fldCharType="separate"/>
      </w:r>
      <w:r w:rsidR="00BE2E7B" w:rsidRPr="00BE2E7B">
        <w:rPr>
          <w:rFonts w:cs="Calibri"/>
          <w:lang w:val="en-US"/>
        </w:rPr>
        <w:t>Dave et al. (2020b)</w:t>
      </w:r>
      <w:r w:rsidRPr="004D3031">
        <w:rPr>
          <w:lang w:val="en-US"/>
        </w:rPr>
        <w:fldChar w:fldCharType="end"/>
      </w:r>
      <w:r w:rsidRPr="004D3031">
        <w:rPr>
          <w:lang w:val="en-US"/>
        </w:rPr>
        <w:t xml:space="preserve"> exploit a natural experiment to examine the repeal of SIPO in Wisconsin and find a small (approximately -8%) and insignificant effect of (repealing) SIPOs.</w:t>
      </w:r>
    </w:p>
    <w:p w14:paraId="53D8C7F5" w14:textId="1E3628D3" w:rsidR="0065098B" w:rsidRPr="004D3031" w:rsidRDefault="00992AE3" w:rsidP="00992AE3">
      <w:pPr>
        <w:pStyle w:val="Heading3"/>
        <w:rPr>
          <w:lang w:val="en-US"/>
        </w:rPr>
      </w:pPr>
      <w:r w:rsidRPr="004D3031">
        <w:rPr>
          <w:lang w:val="en-US"/>
        </w:rPr>
        <w:t>Conclusion on SCM-studies</w:t>
      </w:r>
    </w:p>
    <w:p w14:paraId="3E7BE103" w14:textId="689C3333" w:rsidR="0065098B" w:rsidRPr="004D3031" w:rsidRDefault="0065098B" w:rsidP="0065098B">
      <w:pPr>
        <w:rPr>
          <w:lang w:val="en-US"/>
        </w:rPr>
      </w:pPr>
      <w:r w:rsidRPr="004D3031">
        <w:rPr>
          <w:lang w:val="en-US"/>
        </w:rPr>
        <w:t xml:space="preserve">We conclude that the exclusion criteria in our protocol was well </w:t>
      </w:r>
      <w:proofErr w:type="gramStart"/>
      <w:r w:rsidRPr="004D3031">
        <w:rPr>
          <w:lang w:val="en-US"/>
        </w:rPr>
        <w:t>founded</w:t>
      </w:r>
      <w:proofErr w:type="gramEnd"/>
      <w:r w:rsidRPr="004D3031">
        <w:rPr>
          <w:lang w:val="en-US"/>
        </w:rPr>
        <w:t>. The SCM studies in general do not show “sufficient variation” but rather examination of special cases where the very short pre-</w:t>
      </w:r>
      <w:r w:rsidRPr="004D3031">
        <w:rPr>
          <w:lang w:val="en-US"/>
        </w:rPr>
        <w:lastRenderedPageBreak/>
        <w:t xml:space="preserve">intervention window is an important limitation of the SCM. Only two studies, </w:t>
      </w:r>
      <w:r w:rsidRPr="004D3031">
        <w:rPr>
          <w:rFonts w:cs="Calibri"/>
          <w:lang w:val="en-US"/>
        </w:rPr>
        <w:fldChar w:fldCharType="begin"/>
      </w:r>
      <w:r w:rsidR="00BE2E7B">
        <w:rPr>
          <w:rFonts w:cs="Calibri"/>
          <w:lang w:val="en-US"/>
        </w:rPr>
        <w:instrText xml:space="preserve"> ADDIN ZOTERO_ITEM CSL_CITATION {"citationID":"vWARzTlV","properties":{"formattedCitation":"Mader and R\\uc0\\u252{}ttenauer (2021)","plainCitation":"Mader and Rüttenauer (2021)","noteIndex":0},"citationItems":[{"id":3685,"uris":["http://zotero.org/groups/2170464/items/77UUP223"],"itemData":{"id":3685,"type":"report","abstract":"Background: Most governments have introduced various non-pharmaceutical interventions (NPIs) in response to the pandemic outbreak of Coronavirus disease (COVID-19) since early 2020. While NPIs aim at avoiding fatalities related to COVID-19, the previous literature on their efficacy has focused on infections and on data of the first half of 2020. Still, findings of early NPI studies may be subject to underreporting and missing timeliness of reporting of cases. Moreover, the low variation in treatment timing during the first wave makes identification of robust treatment effects difficult.\n\nMethods: To circumvent problems of reporting and treatment variation, we analyse data on daily confirmed COVID-19-related deaths per capita from Our World in Data, and on 10 different NPIs from the Oxford COVID-19 Government Response Tracker for 169 countries from 1st July 2020 to 31st May 2021. To identify the causal effects of introducing NPIs on COVID-19-related confirmed fatalities per capita, we apply the generalized synthetic control (GSC) method to each NPI, while controlling for the remaining NPIs, weather conditions, vaccinations, and NPI-residualized COVID-19 cases.\n\nFindings: We do not find substantial and consistent mitigating effects of any NPI under investigation on COVID-19-related deaths per capita. We see a tentative change in the trend of COVID-19-related deaths around 30 days after workplace closing, public transport closing, and stay at home rules have been implemented, but none of them exerts a statistically significant effect.\n\nInterpretation: The study enhances the literature on the effectivity of NPIs with respect to the time frame, the number of countries, and the analytical approach. The results provide further guidance to judge the proportionality of NPIs.","note":"DOI: 10.31235/osf.io/v2ef8\ntype: article","publisher":"SocArXiv","source":"OSF Preprints","title":"The effects of non-pharmaceutical interventions on COVID-19-related mortality: A generalized synthetic control approach across 169 countries","title-short":"The effects of non-pharmaceutical interventions on COVID-19-related mortality","URL":"https://osf.io/preprints/socarxiv/v2ef8/","author":[{"family":"Mader","given":"Sebastian"},{"family":"Rüttenauer","given":"Tobias"}],"accessed":{"date-parts":[["2021",8,18]]},"issued":{"date-parts":[["2021",6,11]]}}}],"schema":"https://github.com/citation-style-language/schema/raw/master/csl-citation.json"} </w:instrText>
      </w:r>
      <w:r w:rsidRPr="004D3031">
        <w:rPr>
          <w:rFonts w:cs="Calibri"/>
          <w:lang w:val="en-US"/>
        </w:rPr>
        <w:fldChar w:fldCharType="separate"/>
      </w:r>
      <w:r w:rsidR="00BE2E7B" w:rsidRPr="00BE2E7B">
        <w:rPr>
          <w:rFonts w:cs="Calibri"/>
          <w:lang w:val="en-US"/>
        </w:rPr>
        <w:t>Mader and Rüttenauer (2021)</w:t>
      </w:r>
      <w:r w:rsidRPr="004D3031">
        <w:rPr>
          <w:rFonts w:cs="Calibri"/>
          <w:lang w:val="en-US"/>
        </w:rPr>
        <w:fldChar w:fldCharType="end"/>
      </w:r>
      <w:r w:rsidRPr="004D3031">
        <w:rPr>
          <w:lang w:val="en-US"/>
        </w:rPr>
        <w:t xml:space="preserve"> and to some degree </w:t>
      </w:r>
      <w:r w:rsidRPr="004D3031">
        <w:rPr>
          <w:lang w:val="en-US"/>
        </w:rPr>
        <w:fldChar w:fldCharType="begin"/>
      </w:r>
      <w:r w:rsidR="00BE2E7B">
        <w:rPr>
          <w:lang w:val="en-US"/>
        </w:rPr>
        <w:instrText xml:space="preserve"> ADDIN ZOTERO_ITEM CSL_CITATION {"citationID":"vnPtjBIF","properties":{"formattedCitation":"Dave et al. (2020b)","plainCitation":"Dave et al. (2020b)","noteIndex":0},"citationItems":[{"id":4443,"uris":["http://zotero.org/groups/2170464/items/PJ7N4CCP"],"itemData":{"id":4443,"type":"article-journal","abstract":"Policymakers have explicitly linked sustained reductions in COVID-19 case growth to reopening policies, including the lifting of shelter-in-place orders (SIPOs). This “hardwired” policy endogeneity creates challenges in isolating the causal effect of lifting a statewide SIPO on COVID-19. To overcome simultaneity bias, we exploit a unique natural experiment generated by the Wisconsin Supreme Court when it abolished Wisconsin’s “Safer at Home” order on separation-of-powers grounds. We capitalize on this sudden, dramatic, and largely unanticipated termination of a statewide SIPO to estimate its effect on social distancing and COVID-19 case growth. First, using anonymized smartphone data from SafeGraph Inc. and a synthetic control design, we find that SIPO termination had little impact on social distancing. Then, using data on COVID-19 case and mortality rates, we find no evidence that the Wisconsin Supreme Court decision impacted COVID-19 growth up to a month following the repeal. We conclude that the impacts of SIPOs are likely not symmetric across enactment and lifting of orders, and this asymmetry sheds new light on the potential mechanisms underlying the effectiveness of these orders.","collection-title":"Working Paper Series","DOI":"10.3386/w27322","note":"DOI: 10.3386/w27322","source":"National Bureau of Economic Research","title":"Are the Effects of Adoption and Termination of Shelter-in-Place Orders Symmetric? Evidence from a Natural Experiment","title-short":"Are the Effects of Adoption and Termination of Shelter-in-Place Orders Symmetric?","URL":"https://www.nber.org/papers/w27322","author":[{"family":"Dave","given":"Dhaval"},{"family":"Friedson","given":"Andrew I."},{"family":"Matsuzawa","given":"Kyutaro"},{"family":"McNichols","given":"Drew"},{"family":"Sabia","given":"Joseph J."}],"accessed":{"date-parts":[["2022",12,19]]},"issued":{"date-parts":[["2020",6]]}}}],"schema":"https://github.com/citation-style-language/schema/raw/master/csl-citation.json"} </w:instrText>
      </w:r>
      <w:r w:rsidRPr="004D3031">
        <w:rPr>
          <w:lang w:val="en-US"/>
        </w:rPr>
        <w:fldChar w:fldCharType="separate"/>
      </w:r>
      <w:r w:rsidR="00BE2E7B" w:rsidRPr="00BE2E7B">
        <w:rPr>
          <w:rFonts w:cs="Calibri"/>
          <w:lang w:val="en-US"/>
        </w:rPr>
        <w:t>Dave et al. (2020b)</w:t>
      </w:r>
      <w:r w:rsidRPr="004D3031">
        <w:rPr>
          <w:lang w:val="en-US"/>
        </w:rPr>
        <w:fldChar w:fldCharType="end"/>
      </w:r>
      <w:r w:rsidRPr="004D3031">
        <w:rPr>
          <w:lang w:val="en-US"/>
        </w:rPr>
        <w:t xml:space="preserve">, do not suffer from the biases we expected when preparing our protocol. But, if these two studies would have been included in our meta-study, our meta-results would not have been significantly altered. </w:t>
      </w:r>
    </w:p>
    <w:p w14:paraId="31741638" w14:textId="38F37E02" w:rsidR="0065098B" w:rsidRPr="004D3031" w:rsidRDefault="0065098B" w:rsidP="0065098B">
      <w:pPr>
        <w:rPr>
          <w:lang w:val="en-US"/>
        </w:rPr>
      </w:pPr>
      <w:r w:rsidRPr="004D3031">
        <w:rPr>
          <w:lang w:val="en-US"/>
        </w:rPr>
        <w:t xml:space="preserve">Since it is prudent not to deviate from one’s research protocol ex-post-facto, we have adhered to our protocol </w:t>
      </w:r>
      <w:proofErr w:type="gramStart"/>
      <w:r w:rsidRPr="004D3031">
        <w:rPr>
          <w:lang w:val="en-US"/>
        </w:rPr>
        <w:t>with regard to</w:t>
      </w:r>
      <w:proofErr w:type="gramEnd"/>
      <w:r w:rsidRPr="004D3031">
        <w:rPr>
          <w:lang w:val="en-US"/>
        </w:rPr>
        <w:t xml:space="preserve"> the SCM studies. </w:t>
      </w:r>
    </w:p>
    <w:p w14:paraId="4D852BEC" w14:textId="2CD5D854" w:rsidR="0065098B" w:rsidRPr="004D3031" w:rsidRDefault="0065098B" w:rsidP="0065098B">
      <w:pPr>
        <w:rPr>
          <w:lang w:val="en-US"/>
        </w:rPr>
      </w:pPr>
      <w:r w:rsidRPr="004D3031">
        <w:rPr>
          <w:lang w:val="en-US"/>
        </w:rPr>
        <w:t>In the next section we look at the studies excluded based on our “too few observations”</w:t>
      </w:r>
      <w:r w:rsidR="00852467" w:rsidRPr="004D3031">
        <w:rPr>
          <w:lang w:val="en-US"/>
        </w:rPr>
        <w:t xml:space="preserve"> </w:t>
      </w:r>
      <w:r w:rsidRPr="004D3031">
        <w:rPr>
          <w:lang w:val="en-US"/>
        </w:rPr>
        <w:t>criteria.</w:t>
      </w:r>
    </w:p>
    <w:p w14:paraId="08F2E4D0" w14:textId="7DC4F7AE" w:rsidR="0065098B" w:rsidRPr="004D3031" w:rsidRDefault="0065098B" w:rsidP="00FF782A">
      <w:pPr>
        <w:pStyle w:val="Heading2"/>
      </w:pPr>
      <w:bookmarkStart w:id="59" w:name="_Toc125059371"/>
      <w:bookmarkStart w:id="60" w:name="_Toc126069767"/>
      <w:r w:rsidRPr="004D3031">
        <w:t>The “too few observations”</w:t>
      </w:r>
      <w:r w:rsidR="00852467" w:rsidRPr="004D3031">
        <w:t xml:space="preserve"> </w:t>
      </w:r>
      <w:r w:rsidRPr="004D3031">
        <w:t>criteria</w:t>
      </w:r>
      <w:bookmarkEnd w:id="59"/>
      <w:bookmarkEnd w:id="60"/>
    </w:p>
    <w:p w14:paraId="6940BE80" w14:textId="77356A81" w:rsidR="0065098B" w:rsidRPr="004D3031" w:rsidRDefault="0065098B" w:rsidP="0065098B">
      <w:pPr>
        <w:rPr>
          <w:lang w:val="en-US"/>
        </w:rPr>
      </w:pPr>
      <w:r w:rsidRPr="004D3031">
        <w:rPr>
          <w:lang w:val="en-US"/>
        </w:rPr>
        <w:t>We exclude the following 10 studies based on the “too few observations”</w:t>
      </w:r>
      <w:r w:rsidR="00852467" w:rsidRPr="004D3031">
        <w:rPr>
          <w:lang w:val="en-US"/>
        </w:rPr>
        <w:t xml:space="preserve"> </w:t>
      </w:r>
      <w:r w:rsidRPr="004D3031">
        <w:rPr>
          <w:lang w:val="en-US"/>
        </w:rPr>
        <w:t>criteria:</w:t>
      </w:r>
    </w:p>
    <w:bookmarkStart w:id="61" w:name="_Hlk122353469"/>
    <w:p w14:paraId="73D92484" w14:textId="0A87D663" w:rsidR="0065098B" w:rsidRPr="004D3031" w:rsidRDefault="0065098B" w:rsidP="0065098B">
      <w:pPr>
        <w:pStyle w:val="ListBullet"/>
        <w:rPr>
          <w:lang w:val="en-US"/>
        </w:rPr>
      </w:pPr>
      <w:r w:rsidRPr="004D3031">
        <w:rPr>
          <w:lang w:val="en-US"/>
        </w:rPr>
        <w:fldChar w:fldCharType="begin"/>
      </w:r>
      <w:r w:rsidR="00BE2E7B">
        <w:rPr>
          <w:lang w:val="en-US"/>
        </w:rPr>
        <w:instrText xml:space="preserve"> ADDIN ZOTERO_ITEM CSL_CITATION {"citationID":"kd5t59rT","properties":{"formattedCitation":"Bongaerts et al. (2021)","plainCitation":"Bongaerts et al. (2021)","noteIndex":0},"citationItems":[{"id":3736,"uris":["http://zotero.org/groups/2170464/items/P39ED997"],"itemData":{"id":3736,"type":"article-journal","abstract":"We investigate the effectiveness of business shutdowns to contain the Covid-19 disease. In March 2020, Italy shut down operations in selected sectors of its economy. Using a difference-in-differences approach, we find that municipalities with higher exposure to closed sectors experienced subsequently lower mortality rates. The implied life savings exceed 9,400 people over a period of less than a month. We also find that business closures exhibited rapidly diminishing returns and had large effects outside the closed businesses themselves, including spillovers to other municipalities. Overall, the results suggest business shutdowns are effective, but should be selectively implemented and centrally coordinated.","container-title":"PLOS ONE","DOI":"10.1371/journal.pone.0251373","ISSN":"1932-6203","issue":"5","journalAbbreviation":"PLOS ONE","language":"en","note":"publisher: Public Library of Science","page":"e0251373","source":"PLoS Journals","title":"Closed for business: The mortality impact of business closures during the Covid-19 pandemic","title-short":"Closed for business","volume":"16","author":[{"family":"Bongaerts","given":"Dion"},{"family":"Mazzola","given":"Francesco"},{"family":"Wagner","given":"Wolf"}],"issued":{"date-parts":[["2021",5,14]]}}}],"schema":"https://github.com/citation-style-language/schema/raw/master/csl-citation.json"} </w:instrText>
      </w:r>
      <w:r w:rsidRPr="004D3031">
        <w:rPr>
          <w:lang w:val="en-US"/>
        </w:rPr>
        <w:fldChar w:fldCharType="separate"/>
      </w:r>
      <w:r w:rsidR="00BE2E7B" w:rsidRPr="00BE2E7B">
        <w:rPr>
          <w:rFonts w:cs="Calibri"/>
        </w:rPr>
        <w:t>Bongaerts et al. (2021)</w:t>
      </w:r>
      <w:r w:rsidRPr="004D3031">
        <w:rPr>
          <w:lang w:val="en-US"/>
        </w:rPr>
        <w:fldChar w:fldCharType="end"/>
      </w:r>
    </w:p>
    <w:bookmarkStart w:id="62" w:name="_Hlk122353642"/>
    <w:bookmarkEnd w:id="61"/>
    <w:p w14:paraId="6C5ACAFF" w14:textId="3DFF05FC" w:rsidR="0065098B" w:rsidRPr="004D3031" w:rsidRDefault="0065098B" w:rsidP="0065098B">
      <w:pPr>
        <w:pStyle w:val="ListBullet"/>
        <w:rPr>
          <w:lang w:val="en-US"/>
        </w:rPr>
      </w:pPr>
      <w:r w:rsidRPr="004D3031">
        <w:rPr>
          <w:lang w:val="en-US"/>
        </w:rPr>
        <w:fldChar w:fldCharType="begin"/>
      </w:r>
      <w:r w:rsidR="00BE2E7B">
        <w:rPr>
          <w:lang w:val="en-US"/>
        </w:rPr>
        <w:instrText xml:space="preserve"> ADDIN ZOTERO_ITEM CSL_CITATION {"citationID":"WnWX3332","properties":{"formattedCitation":"Gordon et al. (2020)","plainCitation":"Gordon et al. (2020)","noteIndex":0},"citationItems":[{"id":2956,"uris":["http://zotero.org/groups/2170464/items/TQDFL7QN"],"itemData":{"id":2956,"type":"article-journal","abstract":"Aim To compare trends and undertake statistical analyses of differences in public health performance (confirmed cases and fatalities) of Nordic countries; Denmark, Finland, Norway and Sweden, and New Zealand, in response to the COVID-19 pandemic.\nMethods Per capita trends in total cases and per capita fatalities were analysed and difference-in-difference statistical tests undertaken to assess whether differences in stringency of mandated social distancing (SD) measures, testing rates and border closures explain cross-country differences.\nResults Sweden is a statistical outlier, relative to its Nordic neighbours, for both per capita cases and per capita fatalities associated with COVID-19 but not in terms of the reduction in economic growth. Sweden’s public health differences, compared to its Nordic neigbours, are partially explained by differences in terms of international border closures and the level of stringency of SD measures (including testing) implemented from early March to June 2020.\nConclusions We find that: one, early imposition of full international travel restrictions combined with high levels of government-mandated stringency of SD reduced the per capita cases and per capita fatalities associated with COVID-19 in 2020 in the selected countries and, two, in Nordic countries, less stringent government-mandated SD is not associated with higher quarterly economic growth.","DOI":"10.1101/2020.11.23.20236711","language":"en","license":"© 2020, Posted by Cold Spring Harbor Laboratory. The copyright holder for this pre-print is the author. All rights reserved. The material may not be redistributed, re-used or adapted without the author's permission.","note":"Company: Cold Spring Harbor Laboratory Press\nDistributor: Cold Spring Harbor Laboratory Press\nLabel: Cold Spring Harbor Laboratory Press\ntype: article","page":"2020.11.23.20236711","source":"medRxiv","title":"Statistical Analyses of the Public Health and Economic Performance of Nordic Countries in Response to the COVID-19 Pandemic","author":[{"family":"Gordon","given":"Daniel V."},{"family":"Grafton","given":"R. Quentin"},{"family":"Steinshamn","given":"Stein Ivar"}],"issued":{"date-parts":[["2020",11,24]]}}}],"schema":"https://github.com/citation-style-language/schema/raw/master/csl-citation.json"} </w:instrText>
      </w:r>
      <w:r w:rsidRPr="004D3031">
        <w:rPr>
          <w:lang w:val="en-US"/>
        </w:rPr>
        <w:fldChar w:fldCharType="separate"/>
      </w:r>
      <w:r w:rsidR="00BE2E7B" w:rsidRPr="00BE2E7B">
        <w:rPr>
          <w:rFonts w:cs="Calibri"/>
        </w:rPr>
        <w:t>Gordon et al. (2020)</w:t>
      </w:r>
      <w:r w:rsidRPr="004D3031">
        <w:rPr>
          <w:lang w:val="en-US"/>
        </w:rPr>
        <w:fldChar w:fldCharType="end"/>
      </w:r>
    </w:p>
    <w:bookmarkStart w:id="63" w:name="_Hlk122353487"/>
    <w:bookmarkEnd w:id="62"/>
    <w:p w14:paraId="722A79F7" w14:textId="3A1D2600" w:rsidR="0065098B" w:rsidRPr="004D3031" w:rsidRDefault="0065098B" w:rsidP="0065098B">
      <w:pPr>
        <w:pStyle w:val="ListBullet"/>
        <w:rPr>
          <w:lang w:val="en-US"/>
        </w:rPr>
      </w:pPr>
      <w:r w:rsidRPr="004D3031">
        <w:rPr>
          <w:lang w:val="en-US"/>
        </w:rPr>
        <w:fldChar w:fldCharType="begin"/>
      </w:r>
      <w:r w:rsidR="00BE2E7B">
        <w:rPr>
          <w:lang w:val="en-US"/>
        </w:rPr>
        <w:instrText xml:space="preserve"> ADDIN ZOTERO_ITEM CSL_CITATION {"citationID":"CaIxOALW","properties":{"formattedCitation":"Berardi et al. (2020)","plainCitation":"Berardi et al. (2020)","noteIndex":0},"citationItems":[{"id":3730,"uris":["http://zotero.org/groups/2170464/items/APSVPUFM"],"itemData":{"id":3730,"type":"article-journal","abstract":"•\n              The outbreak of COVID-19 significantly affected italy with severe health, social and economic consequences.\n            \n            \n              •\n              The strictness and timing of escalating and de-escalating containment and prevention measures played a major role on health and non-health outcomes.\n            \n            \n              •\n              Technological interventions are far from having any impact on the outcomes considered due to delayed implementation.\n            \n            \n              •\n              The production of evidence-based interventions is relevant for reducing uncertainty around the interventions, thereby maximising the resource and investment allocations.\n            \n            \n              •\n              Our findings are relevant not only for italy but for all countries worldwide.","container-title":"Health Policy and Technology","DOI":"10.1016/j.hlpt.2020.08.019","ISSN":"2211-8837","issue":"4","journalAbbreviation":"Health Policy Technol","note":"PMID: 32895626\nPMCID: PMC7467905","page":"454-487","source":"PubMed Central","title":"The COVID-19 pandemic in Italy: Policy and technology impact on health and non-health outcomes","title-short":"The COVID-19 pandemic in Italy","volume":"9","author":[{"family":"Berardi","given":"Chiara"},{"family":"Antonini","given":"Marcello"},{"family":"Genie","given":"Mesfin G."},{"family":"Cotugno","given":"Giovanni"},{"family":"Lanteri","given":"Alessandro"},{"family":"Melia","given":"Adrian"},{"family":"Paolucci","given":"Francesco"}],"issued":{"date-parts":[["2020",12]]}}}],"schema":"https://github.com/citation-style-language/schema/raw/master/csl-citation.json"} </w:instrText>
      </w:r>
      <w:r w:rsidRPr="004D3031">
        <w:rPr>
          <w:lang w:val="en-US"/>
        </w:rPr>
        <w:fldChar w:fldCharType="separate"/>
      </w:r>
      <w:r w:rsidR="00BE2E7B" w:rsidRPr="00BE2E7B">
        <w:rPr>
          <w:rFonts w:cs="Calibri"/>
        </w:rPr>
        <w:t>Berardi et al. (2020)</w:t>
      </w:r>
      <w:r w:rsidRPr="004D3031">
        <w:rPr>
          <w:lang w:val="en-US"/>
        </w:rPr>
        <w:fldChar w:fldCharType="end"/>
      </w:r>
      <w:bookmarkEnd w:id="63"/>
    </w:p>
    <w:bookmarkStart w:id="64" w:name="_Hlk122353133"/>
    <w:bookmarkStart w:id="65" w:name="_Hlk122353494"/>
    <w:p w14:paraId="6295F722" w14:textId="1E8F0CC9" w:rsidR="0065098B" w:rsidRPr="004D3031" w:rsidRDefault="0065098B" w:rsidP="0065098B">
      <w:pPr>
        <w:pStyle w:val="ListBullet"/>
        <w:rPr>
          <w:lang w:val="en-US"/>
        </w:rPr>
      </w:pPr>
      <w:r w:rsidRPr="004D3031">
        <w:rPr>
          <w:lang w:val="en-US"/>
        </w:rPr>
        <w:fldChar w:fldCharType="begin"/>
      </w:r>
      <w:r w:rsidR="00BE2E7B">
        <w:rPr>
          <w:lang w:val="en-US"/>
        </w:rPr>
        <w:instrText xml:space="preserve"> ADDIN ZOTERO_ITEM CSL_CITATION {"citationID":"ljaIh24l","properties":{"formattedCitation":"Alem\\uc0\\u225{}n et al. (2020)","plainCitation":"Alemán et al. (2020)","noteIndex":0},"citationItems":[{"id":2988,"uris":["http://zotero.org/groups/2170464/items/K2I355Y5"],"itemData":{"id":2988,"type":"report","abstract":"We develop a novel empirical approach to identify the eﬀectiveness of policies against a pandemic. The essence of our approach is the insight that epidemic dynamics are best tracked over stages, rather than over time. We use a normalization procedure that makes the pre-policy paths of the epidemic identical across regions. The procedure uncovers regional variation in the stage of the epidemic at the time of policy implementation. This variation delivers clean identiﬁcation of the policy eﬀect based on the epidemic path of a leading region that serves as a counterfactual for other regions. We apply our method to evaluate the eﬀectiveness of the nationwide stay-home policy enacted in Spain against the Covid-19 pandemic. We ﬁnd that the policy saved 15.9% of lives relative to the number of deaths that would have occurred had it not been for the policy intervention. Its eﬀectiveness evolves with the epidemic and is larger when implemented at earlier stages.","archive":"ZEW - Centre for European Economic Research Discussion Paper","language":"en","page":"36","source":"Zotero","title":"Evaluating the Effectiveness of Policies Against a Pandemic","author":[{"family":"Alemán","given":"Christian"},{"family":"Busch","given":"Christopher"},{"family":"Ludwig","given":"Alexander"},{"family":"Santàeulalia-Llopis","given":"Raül"}],"issued":{"date-parts":[["2020",11]]}}}],"schema":"https://github.com/citation-style-language/schema/raw/master/csl-citation.json"} </w:instrText>
      </w:r>
      <w:r w:rsidRPr="004D3031">
        <w:rPr>
          <w:lang w:val="en-US"/>
        </w:rPr>
        <w:fldChar w:fldCharType="separate"/>
      </w:r>
      <w:r w:rsidR="00BE2E7B" w:rsidRPr="00BE2E7B">
        <w:rPr>
          <w:rFonts w:cs="Calibri"/>
        </w:rPr>
        <w:t>Alemán et al. (2020)</w:t>
      </w:r>
      <w:r w:rsidRPr="004D3031">
        <w:rPr>
          <w:lang w:val="en-US"/>
        </w:rPr>
        <w:fldChar w:fldCharType="end"/>
      </w:r>
      <w:bookmarkEnd w:id="64"/>
    </w:p>
    <w:bookmarkStart w:id="66" w:name="_Hlk122353655"/>
    <w:bookmarkEnd w:id="65"/>
    <w:p w14:paraId="2E36BDAD" w14:textId="66DCCDEE" w:rsidR="0065098B" w:rsidRPr="004D3031" w:rsidRDefault="0065098B" w:rsidP="0065098B">
      <w:pPr>
        <w:pStyle w:val="ListBullet"/>
        <w:rPr>
          <w:lang w:val="en-US"/>
        </w:rPr>
      </w:pPr>
      <w:r w:rsidRPr="004D3031">
        <w:rPr>
          <w:lang w:val="en-US"/>
        </w:rPr>
        <w:fldChar w:fldCharType="begin"/>
      </w:r>
      <w:r w:rsidR="00BE2E7B">
        <w:rPr>
          <w:lang w:val="en-US"/>
        </w:rPr>
        <w:instrText xml:space="preserve"> ADDIN ZOTERO_ITEM CSL_CITATION {"citationID":"A3EUSmAl","properties":{"formattedCitation":"Conyon et al. (2020)","plainCitation":"Conyon et al. (2020)","noteIndex":0},"citationItems":[{"id":3903,"uris":["http://zotero.org/groups/2170464/items/WIW659V3"],"itemData":{"id":3903,"type":"article-journal","abstract":"We estimate the impact of non-pharmacological interventions (NPIs) on COVID19 deaths in Scandinavia. We exploit policy variation between Denmark and Norway on the one hand and Sweden on the other. The former deployed relatively more stringent lockdowns, the latter did not. Our difference-in-differences models show that stricter lockdown policies are associated with fewer COVID-19 deaths.","container-title":"SSRN Electronic Journal","DOI":"10.2139/ssrn.3616969","ISSN":"1556-5068","journalAbbreviation":"SSRN Journal","language":"en","source":"DOI.org (Crossref)","title":"Lockdowns and COVID-19 Deaths in Scandinavia","URL":"https://www.ssrn.com/abstract=3616969","author":[{"family":"Conyon","given":"Martin J."},{"family":"He","given":"Lerong"},{"family":"Thomsen","given":"Steen"}],"accessed":{"date-parts":[["2021",8,17]]},"issued":{"date-parts":[["2020",6,1]]}}}],"schema":"https://github.com/citation-style-language/schema/raw/master/csl-citation.json"} </w:instrText>
      </w:r>
      <w:r w:rsidRPr="004D3031">
        <w:rPr>
          <w:lang w:val="en-US"/>
        </w:rPr>
        <w:fldChar w:fldCharType="separate"/>
      </w:r>
      <w:r w:rsidR="00BE2E7B" w:rsidRPr="00BE2E7B">
        <w:rPr>
          <w:rFonts w:cs="Calibri"/>
        </w:rPr>
        <w:t>Conyon et al. (2020)</w:t>
      </w:r>
      <w:r w:rsidRPr="004D3031">
        <w:rPr>
          <w:lang w:val="en-US"/>
        </w:rPr>
        <w:fldChar w:fldCharType="end"/>
      </w:r>
    </w:p>
    <w:bookmarkStart w:id="67" w:name="_Hlk122353215"/>
    <w:p w14:paraId="05176606" w14:textId="6A3084A2" w:rsidR="0065098B" w:rsidRPr="004D3031" w:rsidRDefault="0065098B" w:rsidP="0065098B">
      <w:pPr>
        <w:pStyle w:val="ListBullet"/>
        <w:rPr>
          <w:lang w:val="en-US"/>
        </w:rPr>
      </w:pPr>
      <w:r w:rsidRPr="004D3031">
        <w:rPr>
          <w:lang w:val="en-US"/>
        </w:rPr>
        <w:fldChar w:fldCharType="begin"/>
      </w:r>
      <w:r w:rsidR="00BE2E7B">
        <w:rPr>
          <w:lang w:val="en-US"/>
        </w:rPr>
        <w:instrText xml:space="preserve"> ADDIN ZOTERO_ITEM CSL_CITATION {"citationID":"qLSNz7ac","properties":{"formattedCitation":"Juranek and Zoutman (2021)","plainCitation":"Juranek and Zoutman (2021)","noteIndex":0},"citationItems":[{"id":3687,"uris":["http://zotero.org/groups/2170464/items/89WBV4D2"],"itemData":{"id":3687,"type":"article-journal","abstract":"We study the effectiveness of non-pharmaceutical interventions (NPIs) against COVID-19 on the allocation of scarce resources in the hospital sector in Scandinavia. Denmark and Norway imposed strict NPIs, but Sweden followed an extraordinarily lenient approach. We use an event study to compare COVID-19 hospitalizations, intensive-care (ICU) patients, and deaths in Sweden with Denmark and Norway. The outcome variables initially follow a common trend, but diverge 2–3 weeks after lockdown. Both the timing of the effect and the similarity in the trend between Denmark and Norway are highly consistent with a causal effect of the lockdown. We use our event study to build a counterfactual model that predicts the outcome variables for Denmark and Norway if they had followed Sweden’s approach. In the absence of strict NPIs, the peak number of hospitalizations would have been 2.5 (3.5) times as large in Denmark (Norway). Overall, Denmark (Norway) would have had 334 (671) percent more hospital-patient days, 277 (379) percent more ICU-patient days, and 402 (1015) percent more deaths. The benefit of lockdown in terms of healthcare and mortality costs amounts to between 1 and 4 (0.9 and 3.5) percent of GDP in Denmark (Norway).","container-title":"Journal of Population Economics","DOI":"10.1007/s00148-021-00868-9","ISSN":"1432-1475","issue":"4","journalAbbreviation":"J Popul Econ","language":"en","page":"1299-1320","source":"Springer Link","title":"The effect of non-pharmaceutical interventions on the demand for health care and on mortality: evidence from COVID-19 in Scandinavia","title-short":"The effect of non-pharmaceutical interventions on the demand for health care and on mortality","volume":"34","author":[{"family":"Juranek","given":"Steffen"},{"family":"Zoutman","given":"Floris T."}],"issued":{"date-parts":[["2021",7,28]]}}}],"schema":"https://github.com/citation-style-language/schema/raw/master/csl-citation.json"} </w:instrText>
      </w:r>
      <w:r w:rsidRPr="004D3031">
        <w:rPr>
          <w:lang w:val="en-US"/>
        </w:rPr>
        <w:fldChar w:fldCharType="separate"/>
      </w:r>
      <w:r w:rsidR="00BE2E7B" w:rsidRPr="00BE2E7B">
        <w:rPr>
          <w:rFonts w:cs="Calibri"/>
        </w:rPr>
        <w:t>Juranek and Zoutman (2021)</w:t>
      </w:r>
      <w:r w:rsidRPr="004D3031">
        <w:rPr>
          <w:lang w:val="en-US"/>
        </w:rPr>
        <w:fldChar w:fldCharType="end"/>
      </w:r>
    </w:p>
    <w:bookmarkStart w:id="68" w:name="_Hlk122353229"/>
    <w:bookmarkEnd w:id="67"/>
    <w:p w14:paraId="6DB1B54A" w14:textId="7A700F74" w:rsidR="0065098B" w:rsidRPr="004D3031" w:rsidRDefault="0065098B" w:rsidP="0065098B">
      <w:pPr>
        <w:pStyle w:val="ListBullet"/>
        <w:rPr>
          <w:lang w:val="en-US"/>
        </w:rPr>
      </w:pPr>
      <w:r w:rsidRPr="004D3031">
        <w:rPr>
          <w:lang w:val="en-US"/>
        </w:rPr>
        <w:fldChar w:fldCharType="begin"/>
      </w:r>
      <w:r w:rsidR="00BE2E7B">
        <w:rPr>
          <w:lang w:val="en-US"/>
        </w:rPr>
        <w:instrText xml:space="preserve"> ADDIN ZOTERO_ITEM CSL_CITATION {"citationID":"ERS4cc1G","properties":{"formattedCitation":"Kapoor and Ravi (2020)","plainCitation":"Kapoor and Ravi (2020)","noteIndex":0},"citationItems":[{"id":3971,"uris":["http://zotero.org/groups/2170464/items/VQ2IIYTC"],"itemData":{"id":3971,"type":"article-journal","abstract":"In this paper, we estimate the impact of national lockdown on COVID-19 related total and daily deaths, per million people, in select European countries. In particular, we compare countries that imposed a nationwide lockdown (Treatment group); Belgium, Denmark, France, Germany, Italy, Norway, Spain, United Kingdom (UK), and the US, to Sweden (Control group) that did not impose national lockdown using a changes-in-changes (CIC) estimation model. The key advantage of the CIC model as compared to the standard difference-in-difference model is that CIC allows for mean and variance of the outcomes to change over time in the absence of any policy intervention, and CIC accounts for endogeneity in the choice of policy intervention. Our results indicate that in contrast to Sweden, which did not impose a national lockdown, Germany, and to some extent, the US were the two countries where nationwide lockdown had a significant impact on the reduction in COVID-19 related total and daily deaths per million people. In Norway and Denmark, there was no significant impact on total and daily deaths per million people relative to Sweden. Whereas in other countries; Belgium, France, Italy, Spain, and the UK, the effect of the lockdown was in the opposite direction, that is, they experienced significantly higher COVID-19 related total and daily deaths per million people, post the lockdown as compared to Sweden. Our results suggest that the impact of nationwide lockdown on COVID-19 related total and daily deaths per million people varied from one country to another.","container-title":"arXiv:2006.12251 [physics, q-bio, q-fin]","note":"arXiv: 2006.12251","source":"arXiv.org","title":"Impact of national lockdown on COVID-19 deaths in select European countries and the US using a Changes-in-Changes model","URL":"http://arxiv.org/abs/2006.12251","author":[{"family":"Kapoor","given":"Mudit"},{"family":"Ravi","given":"Shamika"}],"accessed":{"date-parts":[["2021",8,24]]},"issued":{"date-parts":[["2020",6,14]]}}}],"schema":"https://github.com/citation-style-language/schema/raw/master/csl-citation.json"} </w:instrText>
      </w:r>
      <w:r w:rsidRPr="004D3031">
        <w:rPr>
          <w:lang w:val="en-US"/>
        </w:rPr>
        <w:fldChar w:fldCharType="separate"/>
      </w:r>
      <w:r w:rsidR="00BE2E7B" w:rsidRPr="00BE2E7B">
        <w:rPr>
          <w:rFonts w:cs="Calibri"/>
        </w:rPr>
        <w:t>Kapoor and Ravi (2020)</w:t>
      </w:r>
      <w:r w:rsidRPr="004D3031">
        <w:rPr>
          <w:lang w:val="en-US"/>
        </w:rPr>
        <w:fldChar w:fldCharType="end"/>
      </w:r>
      <w:bookmarkEnd w:id="68"/>
    </w:p>
    <w:bookmarkStart w:id="69" w:name="_Hlk122353240"/>
    <w:bookmarkStart w:id="70" w:name="_Hlk122353506"/>
    <w:bookmarkEnd w:id="66"/>
    <w:p w14:paraId="5584D22A" w14:textId="188B90B2" w:rsidR="0065098B" w:rsidRPr="004D3031" w:rsidRDefault="0065098B" w:rsidP="0065098B">
      <w:pPr>
        <w:pStyle w:val="ListBullet"/>
        <w:rPr>
          <w:lang w:val="en-US"/>
        </w:rPr>
      </w:pPr>
      <w:r w:rsidRPr="004D3031">
        <w:rPr>
          <w:lang w:val="en-US"/>
        </w:rPr>
        <w:fldChar w:fldCharType="begin"/>
      </w:r>
      <w:r w:rsidR="00BE2E7B">
        <w:rPr>
          <w:lang w:val="en-US"/>
        </w:rPr>
        <w:instrText xml:space="preserve"> ADDIN ZOTERO_ITEM CSL_CITATION {"citationID":"5j0x8qCo","properties":{"formattedCitation":"Ciminelli and Garcia-Mandic\\uc0\\u243{} (2021)","plainCitation":"Ciminelli and Garcia-Mandicó (2021)","noteIndex":0},"citationItems":[{"id":2929,"uris":["http://zotero.org/groups/2170464/items/GMCGG2DV"],"itemData":{"id":2929,"type":"article-journal","collection-title":"OECD Economics Department Working Papers","DOI":"https://doi.org/10.1787/095b5d62-en","language":"en","note":"DOI: 10.1787/095b5d62-en","source":"DOI.org (Crossref)","title":"When and how do business shutdowns work? Evidence from Italy’s first COVID-19 wave","title-short":"When and how do business shutdowns work?","URL":"https://www.oecd-ilibrary.org/economics/when-and-how-do-business-shutdowns-work-evidence-from-italy-s-first-covid-19-wave_095b5d62-en","volume":"1664","author":[{"family":"Ciminelli","given":"Gabriele"},{"family":"Garcia-Mandicó","given":"Sílvia"}],"accessed":{"date-parts":[["2022",1,31]]},"issued":{"date-parts":[["2021",4,13]]}}}],"schema":"https://github.com/citation-style-language/schema/raw/master/csl-citation.json"} </w:instrText>
      </w:r>
      <w:r w:rsidRPr="004D3031">
        <w:rPr>
          <w:lang w:val="en-US"/>
        </w:rPr>
        <w:fldChar w:fldCharType="separate"/>
      </w:r>
      <w:r w:rsidR="00BE2E7B" w:rsidRPr="00BE2E7B">
        <w:rPr>
          <w:rFonts w:cs="Calibri"/>
        </w:rPr>
        <w:t>Ciminelli and Garcia-Mandicó (2021)</w:t>
      </w:r>
      <w:r w:rsidRPr="004D3031">
        <w:rPr>
          <w:lang w:val="en-US"/>
        </w:rPr>
        <w:fldChar w:fldCharType="end"/>
      </w:r>
      <w:bookmarkEnd w:id="69"/>
    </w:p>
    <w:bookmarkStart w:id="71" w:name="_Hlk122353512"/>
    <w:bookmarkEnd w:id="70"/>
    <w:p w14:paraId="637F7FE1" w14:textId="14676229" w:rsidR="0065098B" w:rsidRPr="004D3031" w:rsidRDefault="0065098B" w:rsidP="0065098B">
      <w:pPr>
        <w:pStyle w:val="ListBullet"/>
        <w:rPr>
          <w:lang w:val="en-US"/>
        </w:rPr>
      </w:pPr>
      <w:r w:rsidRPr="004D3031">
        <w:rPr>
          <w:lang w:val="en-US"/>
        </w:rPr>
        <w:fldChar w:fldCharType="begin"/>
      </w:r>
      <w:r w:rsidR="00BE2E7B">
        <w:rPr>
          <w:lang w:val="en-US"/>
        </w:rPr>
        <w:instrText xml:space="preserve"> ADDIN ZOTERO_ITEM CSL_CITATION {"citationID":"xl8eqTJs","properties":{"formattedCitation":"Porto et al. (2022)","plainCitation":"Porto et al. (2022)","noteIndex":0},"citationItems":[{"id":4440,"uris":["http://zotero.org/groups/2170464/items/JY6UD2D3"],"itemData":{"id":4440,"type":"article-journal","abstract":"This paper investigates how economic activity impacted Covid-19 infections and all-cause mortality. To this purpose, we exploit the distribution of essential sectors, which were exempted from a national lockdown enacted in Italy during the first wave of the pandemic, across provinces and rich administrative data in a difference-in-differences framework. We find that a standard deviation increase in essential workers per built square kilometre leads to 1.1 additional daily cases and 0.32 additional daily deaths per 100,000 inhabitants. Back of the envelope calculations suggest that about one third (47,000) of the Covid-19 cases and about 13% (13,000) of deaths between March and May of 2020 can be attributed to the less stringent lockdown for these sectors. The effect is heterogeneous across sectors. Finally, we find that the local health system played a relevant role in reducing fatalities with a higher number of general practitioners and hospital beds per capita being associated with a lower mortality.","container-title":"Journal of Health Economics","DOI":"10.1016/j.jhealeco.2021.102572","ISSN":"0167-6296","journalAbbreviation":"Journal of Health Economics","language":"en","page":"102572","source":"ScienceDirect","title":"Lockdown, essential sectors, and Covid-19: Lessons from Italy","title-short":"Lockdown, essential sectors, and Covid-19","volume":"81","author":[{"family":"Porto","given":"Edoardo Di"},{"family":"Naticchioni","given":"Paolo"},{"family":"Scrutinio","given":"Vincenzo"}],"issued":{"date-parts":[["2022",1,1]]}}}],"schema":"https://github.com/citation-style-language/schema/raw/master/csl-citation.json"} </w:instrText>
      </w:r>
      <w:r w:rsidRPr="004D3031">
        <w:rPr>
          <w:lang w:val="en-US"/>
        </w:rPr>
        <w:fldChar w:fldCharType="separate"/>
      </w:r>
      <w:r w:rsidR="00BE2E7B" w:rsidRPr="00BE2E7B">
        <w:rPr>
          <w:rFonts w:cs="Calibri"/>
        </w:rPr>
        <w:t>Porto et al. (2022)</w:t>
      </w:r>
      <w:r w:rsidRPr="004D3031">
        <w:rPr>
          <w:lang w:val="en-US"/>
        </w:rPr>
        <w:fldChar w:fldCharType="end"/>
      </w:r>
    </w:p>
    <w:p w14:paraId="2D59C6C9" w14:textId="4287F14C" w:rsidR="0065098B" w:rsidRPr="004D3031" w:rsidRDefault="0065098B" w:rsidP="0065098B">
      <w:pPr>
        <w:pStyle w:val="ListBullet"/>
        <w:rPr>
          <w:lang w:val="en-US"/>
        </w:rPr>
      </w:pPr>
      <w:r w:rsidRPr="004D3031">
        <w:rPr>
          <w:lang w:val="en-US"/>
        </w:rPr>
        <w:fldChar w:fldCharType="begin"/>
      </w:r>
      <w:r w:rsidR="00BE2E7B">
        <w:rPr>
          <w:lang w:val="en-US"/>
        </w:rPr>
        <w:instrText xml:space="preserve"> ADDIN ZOTERO_ITEM CSL_CITATION {"citationID":"1IpiHb9M","properties":{"formattedCitation":"Borri et al. (2020)","plainCitation":"Borri et al. (2020)","noteIndex":0},"citationItems":[{"id":68,"uris":["http://zotero.org/users/4473730/items/MSM4M7TL"],"itemData":{"id":68,"type":"report","abstract":"In response to the Covid-19 outbreak, among other previous ``non-pharmaceutical interventions'', on March 22, 2020 the Italian Government imposed an economic lockdown and ordered the closing of all non-essential economic activities. This paper estimates the causal effect of this measure on mortality by Covid-19 and on mobility patterns. The identification of the causal effect exploits the variation in the number of active workers across municipalities induced by the economic lockdown. The difference-in-difference empirical design compares outcomes  in municipalities above and below the median variation in the share of active population before and after the lockdown within a province, also controlling for municipality-specific dynamics, daily-shocks at the provincial level and municipal unobserved characteristics. Our results show that the intensity of the economic lockdown is associated to a statistically significant reduction in mortality by Covid-19 and, in particular, for age groups between 40-64 and older. Back of the envelope calculations indicate that 4,793 deaths were avoided, in the 26 days between April 5 to April 30, in the 3,518 municipalities which experienced a more intense lockdown. Assuming linearity, a 1 percentage point reduction in the share of active population caused a  1.32 percentage points reduction in mortality by Covid-19. We also find that the economic lockdown, as expected, led to a reduction in human mobility. Several robustness checks corroborate our empirical findings.","genre":"preprint","language":"en","note":"DOI: 10.1101/2020.09.17.20190595","publisher":"Health Economics","source":"DOI.org (Crossref)","title":"The \"Great Lockdown\": Inactive Workers and Mortality by Covid-19","title-short":"The \"Great Lockdown\"","URL":"http://medrxiv.org/lookup/doi/10.1101/2020.09.17.20190595","author":[{"family":"Borri","given":"Nicola"},{"family":"Drago","given":"Francesco"},{"family":"Santantonio","given":"Chiara"},{"family":"Sobbrio","given":"Francesco"}],"accessed":{"date-parts":[["2021",1,12]]},"issued":{"date-parts":[["2020",9,18]]}}}],"schema":"https://github.com/citation-style-language/schema/raw/master/csl-citation.json"} </w:instrText>
      </w:r>
      <w:r w:rsidRPr="004D3031">
        <w:rPr>
          <w:lang w:val="en-US"/>
        </w:rPr>
        <w:fldChar w:fldCharType="separate"/>
      </w:r>
      <w:r w:rsidR="00BE2E7B" w:rsidRPr="00BE2E7B">
        <w:rPr>
          <w:rFonts w:cs="Calibri"/>
        </w:rPr>
        <w:t>Borri et al. (2020)</w:t>
      </w:r>
      <w:r w:rsidRPr="004D3031">
        <w:rPr>
          <w:lang w:val="en-US"/>
        </w:rPr>
        <w:fldChar w:fldCharType="end"/>
      </w:r>
    </w:p>
    <w:p w14:paraId="682BE402" w14:textId="77777777" w:rsidR="0065098B" w:rsidRPr="004D3031" w:rsidRDefault="0065098B" w:rsidP="000668BF">
      <w:pPr>
        <w:pStyle w:val="Heading3"/>
        <w:rPr>
          <w:lang w:val="en-US"/>
        </w:rPr>
      </w:pPr>
      <w:bookmarkStart w:id="72" w:name="_Toc124683305"/>
      <w:bookmarkEnd w:id="71"/>
      <w:r w:rsidRPr="004D3031">
        <w:rPr>
          <w:lang w:val="en-US"/>
        </w:rPr>
        <w:t>Geographical coverage of the 10 studies</w:t>
      </w:r>
      <w:bookmarkEnd w:id="72"/>
    </w:p>
    <w:p w14:paraId="76D71C81" w14:textId="6DB06361" w:rsidR="0065098B" w:rsidRPr="004D3031" w:rsidRDefault="0065098B" w:rsidP="0065098B">
      <w:pPr>
        <w:rPr>
          <w:lang w:val="en-US"/>
        </w:rPr>
      </w:pPr>
      <w:r w:rsidRPr="004D3031">
        <w:rPr>
          <w:lang w:val="en-US"/>
        </w:rPr>
        <w:t xml:space="preserve">Six of the 10 studies examine variation within one country (five – </w:t>
      </w:r>
      <w:r w:rsidRPr="004D3031">
        <w:rPr>
          <w:lang w:val="en-US"/>
        </w:rPr>
        <w:fldChar w:fldCharType="begin"/>
      </w:r>
      <w:r w:rsidR="00BE2E7B">
        <w:rPr>
          <w:lang w:val="en-US"/>
        </w:rPr>
        <w:instrText xml:space="preserve"> ADDIN ZOTERO_ITEM CSL_CITATION {"citationID":"nvNO4OyW","properties":{"formattedCitation":"Bongaerts et al. (2021)","plainCitation":"Bongaerts et al. (2021)","noteIndex":0},"citationItems":[{"id":3736,"uris":["http://zotero.org/groups/2170464/items/P39ED997"],"itemData":{"id":3736,"type":"article-journal","abstract":"We investigate the effectiveness of business shutdowns to contain the Covid-19 disease. In March 2020, Italy shut down operations in selected sectors of its economy. Using a difference-in-differences approach, we find that municipalities with higher exposure to closed sectors experienced subsequently lower mortality rates. The implied life savings exceed 9,400 people over a period of less than a month. We also find that business closures exhibited rapidly diminishing returns and had large effects outside the closed businesses themselves, including spillovers to other municipalities. Overall, the results suggest business shutdowns are effective, but should be selectively implemented and centrally coordinated.","container-title":"PLOS ONE","DOI":"10.1371/journal.pone.0251373","ISSN":"1932-6203","issue":"5","journalAbbreviation":"PLOS ONE","language":"en","note":"publisher: Public Library of Science","page":"e0251373","source":"PLoS Journals","title":"Closed for business: The mortality impact of business closures during the Covid-19 pandemic","title-short":"Closed for business","volume":"16","author":[{"family":"Bongaerts","given":"Dion"},{"family":"Mazzola","given":"Francesco"},{"family":"Wagner","given":"Wolf"}],"issued":{"date-parts":[["2021",5,14]]}}}],"schema":"https://github.com/citation-style-language/schema/raw/master/csl-citation.json"} </w:instrText>
      </w:r>
      <w:r w:rsidRPr="004D3031">
        <w:rPr>
          <w:lang w:val="en-US"/>
        </w:rPr>
        <w:fldChar w:fldCharType="separate"/>
      </w:r>
      <w:r w:rsidR="00BE2E7B" w:rsidRPr="00BE2E7B">
        <w:rPr>
          <w:rFonts w:cs="Calibri"/>
          <w:lang w:val="en-US"/>
        </w:rPr>
        <w:t>Bongaerts et al. (2021)</w:t>
      </w:r>
      <w:r w:rsidRPr="004D3031">
        <w:rPr>
          <w:lang w:val="en-US"/>
        </w:rPr>
        <w:fldChar w:fldCharType="end"/>
      </w:r>
      <w:r w:rsidRPr="004D3031">
        <w:rPr>
          <w:lang w:val="en-US"/>
        </w:rPr>
        <w:t xml:space="preserve">, </w:t>
      </w:r>
      <w:r w:rsidRPr="004D3031">
        <w:rPr>
          <w:lang w:val="en-US"/>
        </w:rPr>
        <w:fldChar w:fldCharType="begin"/>
      </w:r>
      <w:r w:rsidR="00BE2E7B">
        <w:rPr>
          <w:lang w:val="en-US"/>
        </w:rPr>
        <w:instrText xml:space="preserve"> ADDIN ZOTERO_ITEM CSL_CITATION {"citationID":"6ugEgAA0","properties":{"formattedCitation":"Berardi et al. (2020)","plainCitation":"Berardi et al. (2020)","noteIndex":0},"citationItems":[{"id":3730,"uris":["http://zotero.org/groups/2170464/items/APSVPUFM"],"itemData":{"id":3730,"type":"article-journal","abstract":"•\n              The outbreak of COVID-19 significantly affected italy with severe health, social and economic consequences.\n            \n            \n              •\n              The strictness and timing of escalating and de-escalating containment and prevention measures played a major role on health and non-health outcomes.\n            \n            \n              •\n              Technological interventions are far from having any impact on the outcomes considered due to delayed implementation.\n            \n            \n              •\n              The production of evidence-based interventions is relevant for reducing uncertainty around the interventions, thereby maximising the resource and investment allocations.\n            \n            \n              •\n              Our findings are relevant not only for italy but for all countries worldwide.","container-title":"Health Policy and Technology","DOI":"10.1016/j.hlpt.2020.08.019","ISSN":"2211-8837","issue":"4","journalAbbreviation":"Health Policy Technol","note":"PMID: 32895626\nPMCID: PMC7467905","page":"454-487","source":"PubMed Central","title":"The COVID-19 pandemic in Italy: Policy and technology impact on health and non-health outcomes","title-short":"The COVID-19 pandemic in Italy","volume":"9","author":[{"family":"Berardi","given":"Chiara"},{"family":"Antonini","given":"Marcello"},{"family":"Genie","given":"Mesfin G."},{"family":"Cotugno","given":"Giovanni"},{"family":"Lanteri","given":"Alessandro"},{"family":"Melia","given":"Adrian"},{"family":"Paolucci","given":"Francesco"}],"issued":{"date-parts":[["2020",12]]}}}],"schema":"https://github.com/citation-style-language/schema/raw/master/csl-citation.json"} </w:instrText>
      </w:r>
      <w:r w:rsidRPr="004D3031">
        <w:rPr>
          <w:lang w:val="en-US"/>
        </w:rPr>
        <w:fldChar w:fldCharType="separate"/>
      </w:r>
      <w:r w:rsidR="00BE2E7B" w:rsidRPr="00BE2E7B">
        <w:rPr>
          <w:rFonts w:cs="Calibri"/>
        </w:rPr>
        <w:t>Berardi et al. (2020)</w:t>
      </w:r>
      <w:r w:rsidRPr="004D3031">
        <w:rPr>
          <w:lang w:val="en-US"/>
        </w:rPr>
        <w:fldChar w:fldCharType="end"/>
      </w:r>
      <w:r w:rsidRPr="004D3031">
        <w:rPr>
          <w:lang w:val="en-US"/>
        </w:rPr>
        <w:t xml:space="preserve">, </w:t>
      </w:r>
      <w:r w:rsidRPr="004D3031">
        <w:rPr>
          <w:lang w:val="en-US"/>
        </w:rPr>
        <w:fldChar w:fldCharType="begin"/>
      </w:r>
      <w:r w:rsidR="00BE2E7B">
        <w:rPr>
          <w:lang w:val="en-US"/>
        </w:rPr>
        <w:instrText xml:space="preserve"> ADDIN ZOTERO_ITEM CSL_CITATION {"citationID":"m93GTf2W","properties":{"formattedCitation":"Ciminelli and Garcia-Mandic\\uc0\\u243{} (2021)","plainCitation":"Ciminelli and Garcia-Mandicó (2021)","noteIndex":0},"citationItems":[{"id":2929,"uris":["http://zotero.org/groups/2170464/items/GMCGG2DV"],"itemData":{"id":2929,"type":"article-journal","collection-title":"OECD Economics Department Working Papers","DOI":"https://doi.org/10.1787/095b5d62-en","language":"en","note":"DOI: 10.1787/095b5d62-en","source":"DOI.org (Crossref)","title":"When and how do business shutdowns work? Evidence from Italy’s first COVID-19 wave","title-short":"When and how do business shutdowns work?","URL":"https://www.oecd-ilibrary.org/economics/when-and-how-do-business-shutdowns-work-evidence-from-italy-s-first-covid-19-wave_095b5d62-en","volume":"1664","author":[{"family":"Ciminelli","given":"Gabriele"},{"family":"Garcia-Mandicó","given":"Sílvia"}],"accessed":{"date-parts":[["2022",1,31]]},"issued":{"date-parts":[["2021",4,13]]}}}],"schema":"https://github.com/citation-style-language/schema/raw/master/csl-citation.json"} </w:instrText>
      </w:r>
      <w:r w:rsidRPr="004D3031">
        <w:rPr>
          <w:lang w:val="en-US"/>
        </w:rPr>
        <w:fldChar w:fldCharType="separate"/>
      </w:r>
      <w:r w:rsidR="00BE2E7B" w:rsidRPr="00BE2E7B">
        <w:rPr>
          <w:rFonts w:cs="Calibri"/>
        </w:rPr>
        <w:t>Ciminelli and Garcia-Mandicó (2021)</w:t>
      </w:r>
      <w:r w:rsidRPr="004D3031">
        <w:rPr>
          <w:lang w:val="en-US"/>
        </w:rPr>
        <w:fldChar w:fldCharType="end"/>
      </w:r>
      <w:r w:rsidRPr="004D3031">
        <w:rPr>
          <w:lang w:val="en-US"/>
        </w:rPr>
        <w:t xml:space="preserve">, </w:t>
      </w:r>
      <w:r w:rsidRPr="004D3031">
        <w:rPr>
          <w:lang w:val="en-US"/>
        </w:rPr>
        <w:fldChar w:fldCharType="begin"/>
      </w:r>
      <w:r w:rsidR="00BE2E7B">
        <w:rPr>
          <w:lang w:val="en-US"/>
        </w:rPr>
        <w:instrText xml:space="preserve"> ADDIN ZOTERO_ITEM CSL_CITATION {"citationID":"VtkMj2Pp","properties":{"formattedCitation":"Porto et al. (2022)","plainCitation":"Porto et al. (2022)","noteIndex":0},"citationItems":[{"id":4440,"uris":["http://zotero.org/groups/2170464/items/JY6UD2D3"],"itemData":{"id":4440,"type":"article-journal","abstract":"This paper investigates how economic activity impacted Covid-19 infections and all-cause mortality. To this purpose, we exploit the distribution o</w:instrText>
      </w:r>
      <w:r w:rsidR="00BE2E7B" w:rsidRPr="00BE2E7B">
        <w:instrText xml:space="preserve">f essential sectors, which were exempted from a national lockdown enacted in Italy during the first wave of the pandemic, across provinces and rich administrative data in a difference-in-differences framework. We find that a standard deviation increase in essential workers per built square kilometre leads to 1.1 additional daily cases and 0.32 additional daily deaths per 100,000 inhabitants. Back of the envelope calculations suggest that about one third (47,000) of the Covid-19 cases and about 13% (13,000) of deaths between March and May of 2020 can be attributed to the less stringent lockdown for these sectors. The effect is heterogeneous across sectors. Finally, we find that the local health system played a relevant role in reducing fatalities with a higher number of general practitioners and hospital beds per capita being associated with a lower mortality.","container-title":"Journal of Health Economics","DOI":"10.1016/j.jhealeco.2021.102572","ISSN":"0167-6296","journalAbbreviation":"Journal of Health Economics","language":"en","page":"102572","source":"ScienceDirect","title":"Lockdown, essential sectors, and Covid-19: Lessons from Italy","title-short":"Lockdown, essential sectors, and Covid-19","volume":"81","author":[{"family":"Porto","given":"Edoardo Di"},{"family":"Naticchioni","given":"Paolo"},{"family":"Scrutinio","given":"Vincenzo"}],"issued":{"date-parts":[["2022",1,1]]}}}],"schema":"https://github.com/citation-style-language/schema/raw/master/csl-citation.json"} </w:instrText>
      </w:r>
      <w:r w:rsidRPr="004D3031">
        <w:rPr>
          <w:lang w:val="en-US"/>
        </w:rPr>
        <w:fldChar w:fldCharType="separate"/>
      </w:r>
      <w:r w:rsidR="00BE2E7B" w:rsidRPr="00BE2E7B">
        <w:rPr>
          <w:rFonts w:cs="Calibri"/>
        </w:rPr>
        <w:t>Porto et al. (2022)</w:t>
      </w:r>
      <w:r w:rsidRPr="004D3031">
        <w:rPr>
          <w:lang w:val="en-US"/>
        </w:rPr>
        <w:fldChar w:fldCharType="end"/>
      </w:r>
      <w:r w:rsidRPr="0019047D">
        <w:t xml:space="preserve">, and </w:t>
      </w:r>
      <w:r w:rsidRPr="004D3031">
        <w:rPr>
          <w:lang w:val="en-US"/>
        </w:rPr>
        <w:fldChar w:fldCharType="begin"/>
      </w:r>
      <w:r w:rsidR="00BE2E7B">
        <w:instrText xml:space="preserve"> ADDIN ZOTERO_ITEM CSL_CITATION {"citationID":"WkDvhIH2","properties":{"formattedCitation":"Borri et al. (2020)","plainCitation":"Borri et al. (2020)","noteIndex":0},"citationItems":[{"id":68,"uris":["http://zotero.org/users/4473730/items/MSM4M7TL"],"itemData":{"id":68,"type":"report","abstract":"In response to the Covid-19 outbreak, among other previous ``non-pharmaceutical interventions'', on March 22, 2020 the Italian Government imposed an economic lockdown and ordered the closing of all non-essential economic activities. This paper estimates the causal effect of this measure on mortality by Covid-19 and on mobility patterns. The identification of the causal effect exploits the variation in the number of active workers across municipalities induced by the economic lockdown. The difference-in-difference empirical design compares outcomes  in municipalities above and below the median variation in the share of active population before and after the lockdown within a province, also controlling for municipality-specific dynamics, daily-shocks at the provincial level and municipal unobserved characteristics. Our results show that the intensity of the economic lockdown is associated to a statistically significant reduction in mortality by Covid-19 and, in particular, for age groups between 40-64 and older. Back of the envelope calculations indicate that 4,793 deaths were avoided, in the 26 days between April 5 to April 30, in the 3,518 municipalities which experienced a more intense lockdown. Assuming linearity, a 1 percentage point reduction in the share of active population caused a  1.32 percentage points reduction in mortality by Covid-19. We also find that the economic lockdown, as expected, led to a reduction in human mobility. Several robustness checks corroborate our empirical findings.","genre":"preprint","language":"en","note":"DOI: 10.1101/2020.09.17.20190595","publisher":"Health Economics","source":"DOI.org (Crossref)","title":"The \"Great Lockdown\": Inactive Workers and Mortality by Covid-19","title-short":"The \"Great Lockdown\"","URL":"http://medrxiv.org/lookup/doi/10.1101/2020.09.17.20190595","author":[{"family":"Borri","given":"Nicola"},{"family":"Drago","given":"Francesco"},{"family":"Santantonio","given":"Chiara"},{"family":"Sobbrio","given":"Francesco"}],"accessed":{"date-parts":[["2021",1,12]]},"issued":{"date-parts":[["2020",9,18]]}}}],"schema":"https://github.com/citation-style-language/schema/raw/master/csl-citation.json"} </w:instrText>
      </w:r>
      <w:r w:rsidRPr="004D3031">
        <w:rPr>
          <w:lang w:val="en-US"/>
        </w:rPr>
        <w:fldChar w:fldCharType="separate"/>
      </w:r>
      <w:r w:rsidR="00BE2E7B" w:rsidRPr="00BE2E7B">
        <w:rPr>
          <w:rFonts w:cs="Calibri"/>
        </w:rPr>
        <w:t xml:space="preserve">Borri et al. </w:t>
      </w:r>
      <w:r w:rsidR="00BE2E7B" w:rsidRPr="00E50C80">
        <w:rPr>
          <w:rFonts w:cs="Calibri"/>
        </w:rPr>
        <w:t>(2020)</w:t>
      </w:r>
      <w:r w:rsidRPr="004D3031">
        <w:rPr>
          <w:lang w:val="en-US"/>
        </w:rPr>
        <w:fldChar w:fldCharType="end"/>
      </w:r>
      <w:r w:rsidRPr="00E50C80">
        <w:t xml:space="preserve"> – </w:t>
      </w:r>
      <w:proofErr w:type="spellStart"/>
      <w:r w:rsidRPr="00E50C80">
        <w:t>examine</w:t>
      </w:r>
      <w:proofErr w:type="spellEnd"/>
      <w:r w:rsidRPr="00E50C80">
        <w:t xml:space="preserve"> </w:t>
      </w:r>
      <w:proofErr w:type="spellStart"/>
      <w:r w:rsidRPr="00E50C80">
        <w:t>Italy</w:t>
      </w:r>
      <w:proofErr w:type="spellEnd"/>
      <w:r w:rsidRPr="00E50C80">
        <w:t xml:space="preserve"> and </w:t>
      </w:r>
      <w:proofErr w:type="spellStart"/>
      <w:r w:rsidRPr="00E50C80">
        <w:t>one</w:t>
      </w:r>
      <w:proofErr w:type="spellEnd"/>
      <w:r w:rsidRPr="00E50C80">
        <w:t xml:space="preserve"> </w:t>
      </w:r>
      <w:bookmarkStart w:id="73" w:name="_Hlk122353554"/>
      <w:r w:rsidRPr="00E50C80">
        <w:t>–</w:t>
      </w:r>
      <w:bookmarkEnd w:id="73"/>
      <w:r w:rsidRPr="00E50C80">
        <w:t xml:space="preserve"> </w:t>
      </w:r>
      <w:r w:rsidRPr="004D3031">
        <w:rPr>
          <w:lang w:val="en-US"/>
        </w:rPr>
        <w:fldChar w:fldCharType="begin"/>
      </w:r>
      <w:r w:rsidR="00BE2E7B" w:rsidRPr="00E50C80">
        <w:instrText xml:space="preserve"> ADDIN ZOTERO_ITEM CSL_CITATION {"citationID":"zaWFxsdu","properties":{"formattedCitation":"Alem\\uc0\\u225{}n et al. (2020)","plainCitation":"Alemán et al. (2020)","noteIndex":0},"citationItems":[{"id":2988,"uris":["http://zotero.org/groups/2170464/items/K2I355Y5"],"itemData":{"id":2988,"type":"report","abstract":"We develop a novel empirical approach to identify the e</w:instrText>
      </w:r>
      <w:r w:rsidR="00BE2E7B">
        <w:instrText>ﬀ</w:instrText>
      </w:r>
      <w:r w:rsidR="00BE2E7B" w:rsidRPr="00E50C80">
        <w:instrText>ectiveness of policies against a pandemic. The essence of our approach is the insight that epidemic dynamics are best tracked over stages, rather than over time. We use a normalization procedure that makes the pre-policy paths of the epidemic identical across regions. The procedure uncovers regional variation in the stage of the epidemic at the time of policy implementation. This variation delivers clean identi</w:instrText>
      </w:r>
      <w:r w:rsidR="00BE2E7B">
        <w:instrText>ﬁ</w:instrText>
      </w:r>
      <w:r w:rsidR="00BE2E7B" w:rsidRPr="00E50C80">
        <w:instrText>cation of the policy e</w:instrText>
      </w:r>
      <w:r w:rsidR="00BE2E7B">
        <w:instrText>ﬀ</w:instrText>
      </w:r>
      <w:r w:rsidR="00BE2E7B" w:rsidRPr="00E50C80">
        <w:instrText>ect based on the epidemic path of a leading region that serves as a counterfactual for other regions. We apply our method to evaluate the e</w:instrText>
      </w:r>
      <w:r w:rsidR="00BE2E7B">
        <w:instrText>ﬀ</w:instrText>
      </w:r>
      <w:r w:rsidR="00BE2E7B" w:rsidRPr="00E50C80">
        <w:instrText xml:space="preserve">ectiveness of the nationwide stay-home policy enacted in Spain against the Covid-19 pandemic. We </w:instrText>
      </w:r>
      <w:r w:rsidR="00BE2E7B">
        <w:instrText>ﬁ</w:instrText>
      </w:r>
      <w:r w:rsidR="00BE2E7B" w:rsidRPr="00E50C80">
        <w:instrText>nd that the policy saved 15.9% of lives relative to the number of deaths that would have occurred had it not been for the policy intervention. Its e</w:instrText>
      </w:r>
      <w:r w:rsidR="00BE2E7B">
        <w:instrText>ﬀ</w:instrText>
      </w:r>
      <w:r w:rsidR="00BE2E7B" w:rsidRPr="00E50C80">
        <w:instrText xml:space="preserve">ectiveness evolves with the epidemic and is larger when implemented at earlier stages.","archive":"ZEW - Centre for European Economic Research Discussion Paper","language":"en","page":"36","source":"Zotero","title":"Evaluating the Effectiveness of Policies Against a </w:instrText>
      </w:r>
      <w:r w:rsidR="00BE2E7B" w:rsidRPr="00BE2E7B">
        <w:rPr>
          <w:lang w:val="en-US"/>
        </w:rPr>
        <w:instrText xml:space="preserve">Pandemic","author":[{"family":"Alemán","given":"Christian"},{"family":"Busch","given":"Christopher"},{"family":"Ludwig","given":"Alexander"},{"family":"Santàeulalia-Llopis","given":"Raül"}],"issued":{"date-parts":[["2020",11]]}}}],"schema":"https://github.com/citation-style-language/schema/raw/master/csl-citation.json"} </w:instrText>
      </w:r>
      <w:r w:rsidRPr="004D3031">
        <w:rPr>
          <w:lang w:val="en-US"/>
        </w:rPr>
        <w:fldChar w:fldCharType="separate"/>
      </w:r>
      <w:r w:rsidR="00BE2E7B" w:rsidRPr="00BE2E7B">
        <w:rPr>
          <w:rFonts w:cs="Calibri"/>
          <w:lang w:val="en-US"/>
        </w:rPr>
        <w:t>Alemán et al. (2020)</w:t>
      </w:r>
      <w:r w:rsidRPr="004D3031">
        <w:rPr>
          <w:lang w:val="en-US"/>
        </w:rPr>
        <w:fldChar w:fldCharType="end"/>
      </w:r>
      <w:r w:rsidRPr="004D3031">
        <w:rPr>
          <w:lang w:val="en-US"/>
        </w:rPr>
        <w:t xml:space="preserve"> – examines Spain). </w:t>
      </w:r>
    </w:p>
    <w:p w14:paraId="356D83C4" w14:textId="296DE72B" w:rsidR="0065098B" w:rsidRPr="00BE2E7B" w:rsidRDefault="0065098B" w:rsidP="0065098B">
      <w:r w:rsidRPr="004D3031">
        <w:rPr>
          <w:lang w:val="en-US"/>
        </w:rPr>
        <w:t xml:space="preserve">The remaining four studies – </w:t>
      </w:r>
      <w:r w:rsidRPr="004D3031">
        <w:rPr>
          <w:lang w:val="en-US"/>
        </w:rPr>
        <w:fldChar w:fldCharType="begin"/>
      </w:r>
      <w:r w:rsidR="00BE2E7B">
        <w:rPr>
          <w:lang w:val="en-US"/>
        </w:rPr>
        <w:instrText xml:space="preserve"> ADDIN ZOTERO_ITEM CSL_CITATION {"citationID":"WsKtwUft","properties":{"formattedCitation":"Gordon et al. (2020)","plainCitation":"Gordon et al. (2020)","noteIndex":0},"citationItems":[{"id":2956,"uris":["http://zotero.org/groups/2170464/items/TQDFL7QN"],"itemData":{"id":2956,"type":"article-journal","abstract":"Aim To compare trends and undertake statistical analyses of differences in public health performance (confirmed cases and fatalities) of Nordic countries; Denmark, Finland, Norway and Sweden, and New Zealand, in response to the COVID-19 pandemic.\nMethods Per capita trends in total cases and per capita fatalities were analysed and difference-in-difference statistical tests undertaken to assess whether differences in stringency of mandated social distancing (SD) measures, testing rates and border closures explain cross-country differences.\nResults Sweden is a statistical outlier, relative to its Nordic neighbours, for both per capita cases and per capita fatalities associated with COVID-19 but not in terms of the reduction in economic growth. Sweden’s public health differences, compared to its Nordic neigbours, are partially explained by differences in terms of international border closures and the level of stringency of SD measures (including testing) implemented from early March to June 2020.\nConclusions We find that: one, early imposition of full international travel restrictions combined with high levels of government-mandated stringency of SD reduced the per capita cases and per capita fatalities associated with COVID-19 in 2020 in the selected countries and, two, in Nordic countries, less stringent government-mandated SD is not associated with higher quarterly economic growth.","DOI":"10.1101/2020.11.23.20236711","language":"en","license":"© 2020, Posted by Cold Spring Harbor Laboratory. The copyright holder for this pre-print is the author. All rights reserved. The material may not be redistributed, re-used or adapted without the author's permission.","note":"Company: Cold Spring Harbor Laboratory Press\nDistributor: Cold Spring Harbor Laboratory Press\nLabel: Cold Spring Harbor Laboratory Press\ntype: article","page":"2020.11.23.20236711","source":"medRxiv","title":"Statistical Analyses of the Public Health and Economic Performance of Nordic Countries in Response to the COVID-19 Pandemic","author":[{"family":"Gordon","given":"Daniel V."},{"family":"Grafton","given":"R. Quentin"},{"family":"Steinshamn","given":"Stein Ivar"}],"issued":{"date-parts":[["2020",11,24]]}}}],"schema":"https://github.com/citation-style-language/schema/raw/master/csl-citation.json"} </w:instrText>
      </w:r>
      <w:r w:rsidRPr="004D3031">
        <w:rPr>
          <w:lang w:val="en-US"/>
        </w:rPr>
        <w:fldChar w:fldCharType="separate"/>
      </w:r>
      <w:r w:rsidR="00BE2E7B" w:rsidRPr="00BE2E7B">
        <w:rPr>
          <w:rFonts w:cs="Calibri"/>
          <w:lang w:val="en-US"/>
        </w:rPr>
        <w:t xml:space="preserve">Gordon et al. </w:t>
      </w:r>
      <w:r w:rsidR="00BE2E7B" w:rsidRPr="00BE2E7B">
        <w:rPr>
          <w:rFonts w:cs="Calibri"/>
        </w:rPr>
        <w:t>(2020)</w:t>
      </w:r>
      <w:r w:rsidRPr="004D3031">
        <w:rPr>
          <w:lang w:val="en-US"/>
        </w:rPr>
        <w:fldChar w:fldCharType="end"/>
      </w:r>
      <w:r w:rsidRPr="00BE2E7B">
        <w:t xml:space="preserve">, </w:t>
      </w:r>
      <w:r w:rsidRPr="004D3031">
        <w:rPr>
          <w:lang w:val="en-US"/>
        </w:rPr>
        <w:fldChar w:fldCharType="begin"/>
      </w:r>
      <w:r w:rsidR="00BE2E7B">
        <w:instrText xml:space="preserve"> ADDIN ZOTERO_ITEM CSL_CITATION {"citationID":"PdCPEceJ","properties":{"formattedCitation":"Conyon et al. (2020)","plainCitation":"Conyon et al. (2020)","noteIndex":0},"citationItems":[{"id":3903,"uris":["http://zotero.org/groups/2170464/items/WIW659V3"],"itemData":{"id":3903,"type":"article-journal","abstract":"We estimate the impact of non-pharmacological interventions (NPIs) on COVID19 deaths in Scandinavia. We exploit policy variation between Denmark and Norway on the one hand and Sweden on the other. The former deployed relatively more stringent lockdowns, the latter did not. Our difference-in-differences models show that stricter lockdown policies are associated with fewer COVID-19 deaths.","container-title":"SSRN Electronic Journal","DOI":"10.2139/ssrn.3616969","ISSN":"1556-5068","journalAbbreviation":"SSRN Journal","language":"en","source":"DOI.org (Crossref)","title":"Lockdowns and COVID-19 Deaths in Scandinavia","URL":"https://www.ssrn.com/abstract=3616969","author":[{"family":"Conyon","given":"Martin J."},{"family":"He","given":"Lerong"},{"family":"Thomsen","given":"Steen"}],"accessed":{"date-parts":[["2021",8,17]]},"issued":{"date-parts":[["2020",6,1]]}}}],"schema":"https://github.com/citation-style-language/schema/raw/master/csl-citation.json"} </w:instrText>
      </w:r>
      <w:r w:rsidRPr="004D3031">
        <w:rPr>
          <w:lang w:val="en-US"/>
        </w:rPr>
        <w:fldChar w:fldCharType="separate"/>
      </w:r>
      <w:r w:rsidR="00BE2E7B" w:rsidRPr="00BE2E7B">
        <w:rPr>
          <w:rFonts w:cs="Calibri"/>
        </w:rPr>
        <w:t>Conyon et al. (2020)</w:t>
      </w:r>
      <w:r w:rsidRPr="004D3031">
        <w:rPr>
          <w:lang w:val="en-US"/>
        </w:rPr>
        <w:fldChar w:fldCharType="end"/>
      </w:r>
      <w:r w:rsidRPr="0019047D">
        <w:t xml:space="preserve">, </w:t>
      </w:r>
      <w:r w:rsidRPr="004D3031">
        <w:rPr>
          <w:lang w:val="en-US"/>
        </w:rPr>
        <w:fldChar w:fldCharType="begin"/>
      </w:r>
      <w:r w:rsidR="00BE2E7B">
        <w:instrText xml:space="preserve"> ADDIN ZOTERO_ITEM CSL_CITATION {"citationID":"4tNhZv6p","properties":{"formattedCitation":"Juranek and Zoutman (2021)","plainCitation":"Juranek and Zoutman (2021)","noteIndex":0},"citationItems":[{"id":3687,"uris":["http://zotero.org/groups/2170464/items/89WBV4D2"],"itemData":{"id":3687,"type":"article-journal","abstract":"We study the effectiveness of non-pharmaceutical interventions (NPIs) against COVID-19 on the allocation of scarce resources in the hospital sector in Scandinavia. Denmark and Norway imposed strict NPIs, but Sweden followed an extraordinarily lenient approach. We use an event study to compare COVID-19 hospitalizations, intensive-care (ICU) patients, and deaths in Sweden with Denmark and Norway. The outcome variables initially follow a common trend, but diverge 2–3 weeks after lockdown. Both the timing of the effect and the similarity in the trend between Denmark and Norway are highly consistent with a causal effect of the lockdown. We use our event study to build a counterfactual model that predicts the outcome variables for Denmark and Norway if they had followed Sweden’s approach. In the absence of strict NPIs, the peak number of hospitalizations would have been 2.5 (3.5) times as large in Denmark (Norway). Overall, Denmark (Norway) would have had 334 (671) percent more hospital-patient days, 277 (379) percent more ICU-patient days, and 402 (1015) percent more deaths. The benefit of lockdown in terms of healthcare and mortality costs amounts to between 1 and 4 (0.9 and 3.5) percent of GDP in Denmark (Norway).","container-title":"Journal of Population Economics","DOI":"10.1007/s00148-021-00868-9","ISSN":"1432-1475","issue":"4","journalAbbreviation":"J Popul Econ","language":"en","page":"1299-1320","source":"Springer Link","title":"The effect of non-pharmaceutical interventions on the demand for health care and on mortality: evidence from COVID-19 in Scandinavia","title-short":"The effect of non-pharmaceutical interventions on the demand for health care and on mortality","volume":"34","author":[{"family":"Juranek","given":"Steffen"},{"family":"Zoutman","given":"Floris T."}],"issued":{"date-parts":[["2021",7,28]]}}}],"schema":"https://github.com/citation-style-language/schema/raw/master/csl-citation.json"} </w:instrText>
      </w:r>
      <w:r w:rsidRPr="004D3031">
        <w:rPr>
          <w:lang w:val="en-US"/>
        </w:rPr>
        <w:fldChar w:fldCharType="separate"/>
      </w:r>
      <w:r w:rsidR="00BE2E7B" w:rsidRPr="00BE2E7B">
        <w:rPr>
          <w:rFonts w:cs="Calibri"/>
        </w:rPr>
        <w:t>Juranek and Zoutman (2021)</w:t>
      </w:r>
      <w:r w:rsidRPr="004D3031">
        <w:rPr>
          <w:lang w:val="en-US"/>
        </w:rPr>
        <w:fldChar w:fldCharType="end"/>
      </w:r>
      <w:r w:rsidRPr="0019047D">
        <w:t xml:space="preserve">, and </w:t>
      </w:r>
      <w:r w:rsidRPr="004D3031">
        <w:rPr>
          <w:lang w:val="en-US"/>
        </w:rPr>
        <w:fldChar w:fldCharType="begin"/>
      </w:r>
      <w:r w:rsidR="00BE2E7B">
        <w:instrText xml:space="preserve"> ADDIN ZOTERO_ITEM CSL_CITATION {"citationID":"N80jP2zZ","properties":{"formattedCitation":"Kapoor and Ravi (2020)","plainCitation":"Kapoor and Ravi (2020)","noteIndex":0},"citationItems":[{"id":3971,"uris":["http://zotero.org/groups/2170464/items/VQ2IIYTC"],"itemData":{"id":3971,"type":"article-journal","abstract":"In this paper, we estimate the impact of national lockdown on COVID-19 related total and daily deaths, per million people, in select European countries. In particular, we compare countries that imposed a nationwide lockdown (Treatment group); Belgium, Denmark, France, Germany, Italy, Norway, Spain, United Kingdom (UK), and the US, to Sweden (Control group) that did not impose national lockdown using a changes-in-changes (CIC) estimation model. The key advantage of the CIC model as compared to the standard difference-in-difference model is that CIC allows for mean and variance of the outcomes to change over time in the absence of any policy intervention, and CIC accounts for endogeneity in the choice of policy intervention. Our results indicate that in contrast to Sweden, which did not impose a national lockdown, Germany, and to some extent, the US were the two countries where nationwide lockdown had a significant impact on the reduction in COVID-19 related total and daily deaths per million people. In Norway and Denmark, there was no significant impact on total and daily deaths per million people relative to Sweden. Whereas in other countries; Belgium, France, Italy, Spain, and the UK, the effect of the lockdown was in the opposite direction, that is, they experienced significantly higher COVID-19 related total and daily deaths per million people, post the lockdown as compared to Sweden. Our results suggest that the impact of nationwide lockdown on COVID-19 related total and daily deaths per million people varied from one country to another.","container-title":"arXiv:2006.12251 [physics, q-bio, q-fin]","note":"arXiv: 2006.12251","source":"arXiv.org","title":"Impact of national lockdown on COVID-19 deaths in select European countries and the US using a Changes-in-Changes model","URL":"http://arxiv.org/abs/2006.12251","author":[{"family":"Kapoor","given":"Mudit"},{"family":"Ravi","given":"Shamika"}],"accessed":{"date-parts":[["2021",8,24]]},"issued":{"date-parts":[["2020",6,14]]}}}],"schema":"https://github.com/citation-style-language/schema/raw/master/csl-citation.json"} </w:instrText>
      </w:r>
      <w:r w:rsidRPr="004D3031">
        <w:rPr>
          <w:lang w:val="en-US"/>
        </w:rPr>
        <w:fldChar w:fldCharType="separate"/>
      </w:r>
      <w:r w:rsidR="00BE2E7B" w:rsidRPr="00BE2E7B">
        <w:rPr>
          <w:rFonts w:cs="Calibri"/>
        </w:rPr>
        <w:t>Kapoor and Ravi (2020)</w:t>
      </w:r>
      <w:r w:rsidRPr="004D3031">
        <w:rPr>
          <w:lang w:val="en-US"/>
        </w:rPr>
        <w:fldChar w:fldCharType="end"/>
      </w:r>
      <w:r w:rsidRPr="00BE2E7B">
        <w:t xml:space="preserve"> – </w:t>
      </w:r>
      <w:proofErr w:type="spellStart"/>
      <w:r w:rsidRPr="00BE2E7B">
        <w:t>compare</w:t>
      </w:r>
      <w:proofErr w:type="spellEnd"/>
      <w:r w:rsidRPr="00BE2E7B">
        <w:t xml:space="preserve"> </w:t>
      </w:r>
      <w:proofErr w:type="spellStart"/>
      <w:r w:rsidRPr="00BE2E7B">
        <w:t>Sweden</w:t>
      </w:r>
      <w:proofErr w:type="spellEnd"/>
      <w:r w:rsidRPr="00BE2E7B">
        <w:t xml:space="preserve"> (</w:t>
      </w:r>
      <w:proofErr w:type="spellStart"/>
      <w:r w:rsidRPr="00BE2E7B">
        <w:t>control</w:t>
      </w:r>
      <w:proofErr w:type="spellEnd"/>
      <w:r w:rsidRPr="00BE2E7B">
        <w:t xml:space="preserve"> </w:t>
      </w:r>
      <w:proofErr w:type="spellStart"/>
      <w:r w:rsidRPr="00BE2E7B">
        <w:t>group</w:t>
      </w:r>
      <w:proofErr w:type="spellEnd"/>
      <w:r w:rsidRPr="00BE2E7B">
        <w:t xml:space="preserve">) to </w:t>
      </w:r>
      <w:proofErr w:type="spellStart"/>
      <w:r w:rsidRPr="00BE2E7B">
        <w:t>other</w:t>
      </w:r>
      <w:proofErr w:type="spellEnd"/>
      <w:r w:rsidRPr="00BE2E7B">
        <w:t xml:space="preserve"> </w:t>
      </w:r>
      <w:proofErr w:type="spellStart"/>
      <w:r w:rsidRPr="00BE2E7B">
        <w:t>countries</w:t>
      </w:r>
      <w:proofErr w:type="spellEnd"/>
      <w:r w:rsidRPr="00BE2E7B">
        <w:t xml:space="preserve"> (</w:t>
      </w:r>
      <w:proofErr w:type="spellStart"/>
      <w:r w:rsidRPr="00BE2E7B">
        <w:t>primarily</w:t>
      </w:r>
      <w:proofErr w:type="spellEnd"/>
      <w:r w:rsidRPr="00BE2E7B">
        <w:t xml:space="preserve"> Scandinavian </w:t>
      </w:r>
      <w:proofErr w:type="spellStart"/>
      <w:r w:rsidRPr="00BE2E7B">
        <w:t>countries</w:t>
      </w:r>
      <w:proofErr w:type="spellEnd"/>
      <w:r w:rsidRPr="00BE2E7B">
        <w:t xml:space="preserve">). </w:t>
      </w:r>
    </w:p>
    <w:p w14:paraId="4564B644" w14:textId="4D457715" w:rsidR="0065098B" w:rsidRPr="004D3031" w:rsidRDefault="0065098B" w:rsidP="0065098B">
      <w:pPr>
        <w:rPr>
          <w:lang w:val="en-US"/>
        </w:rPr>
      </w:pPr>
      <w:r w:rsidRPr="004D3031">
        <w:rPr>
          <w:lang w:val="en-US"/>
        </w:rPr>
        <w:t xml:space="preserve">Given the data contained in </w:t>
      </w:r>
      <w:r w:rsidRPr="004D3031">
        <w:rPr>
          <w:lang w:val="en-US"/>
        </w:rPr>
        <w:fldChar w:fldCharType="begin"/>
      </w:r>
      <w:r w:rsidRPr="004D3031">
        <w:rPr>
          <w:lang w:val="en-US"/>
        </w:rPr>
        <w:instrText xml:space="preserve"> REF _Ref121922814 \h </w:instrText>
      </w:r>
      <w:r w:rsidRPr="004D3031">
        <w:rPr>
          <w:lang w:val="en-US"/>
        </w:rPr>
      </w:r>
      <w:r w:rsidRPr="004D3031">
        <w:rPr>
          <w:lang w:val="en-US"/>
        </w:rPr>
        <w:fldChar w:fldCharType="separate"/>
      </w:r>
      <w:r w:rsidR="0041377D" w:rsidRPr="004D3031">
        <w:rPr>
          <w:lang w:val="en-US"/>
        </w:rPr>
        <w:t xml:space="preserve">Figure </w:t>
      </w:r>
      <w:r w:rsidR="0041377D" w:rsidRPr="004D3031">
        <w:rPr>
          <w:noProof/>
          <w:lang w:val="en-US"/>
        </w:rPr>
        <w:t>6</w:t>
      </w:r>
      <w:r w:rsidRPr="004D3031">
        <w:rPr>
          <w:lang w:val="en-US"/>
        </w:rPr>
        <w:fldChar w:fldCharType="end"/>
      </w:r>
      <w:r w:rsidRPr="004D3031">
        <w:rPr>
          <w:lang w:val="en-US"/>
        </w:rPr>
        <w:t>, these selections do not seem to be random. Indeed, the studies seem to focus on jurisdictions which were surprised by the pandemic and would have experienced very high COVID-19 mortality even if they managed to reduce the reproduction number, R</w:t>
      </w:r>
      <w:r w:rsidRPr="004D3031">
        <w:rPr>
          <w:vertAlign w:val="subscript"/>
          <w:lang w:val="en-US"/>
        </w:rPr>
        <w:t>t</w:t>
      </w:r>
      <w:r w:rsidRPr="004D3031">
        <w:rPr>
          <w:lang w:val="en-US"/>
        </w:rPr>
        <w:t>, to the same level at the same time as other places.</w:t>
      </w:r>
    </w:p>
    <w:p w14:paraId="43B13428" w14:textId="014BCA62" w:rsidR="0065098B" w:rsidRPr="004D3031" w:rsidRDefault="0065098B" w:rsidP="0065098B">
      <w:pPr>
        <w:pStyle w:val="Caption"/>
      </w:pPr>
      <w:bookmarkStart w:id="74" w:name="_Ref121922814"/>
      <w:bookmarkStart w:id="75" w:name="_Toc125059421"/>
      <w:r w:rsidRPr="004D3031">
        <w:lastRenderedPageBreak/>
        <w:t xml:space="preserve">Figure </w:t>
      </w:r>
      <w:r w:rsidRPr="004D3031">
        <w:fldChar w:fldCharType="begin"/>
      </w:r>
      <w:r w:rsidRPr="004D3031">
        <w:instrText xml:space="preserve"> SEQ Figure \* ARABIC </w:instrText>
      </w:r>
      <w:r w:rsidRPr="004D3031">
        <w:fldChar w:fldCharType="separate"/>
      </w:r>
      <w:r w:rsidR="0041377D" w:rsidRPr="004D3031">
        <w:rPr>
          <w:noProof/>
        </w:rPr>
        <w:t>6</w:t>
      </w:r>
      <w:r w:rsidRPr="004D3031">
        <w:rPr>
          <w:noProof/>
        </w:rPr>
        <w:fldChar w:fldCharType="end"/>
      </w:r>
      <w:bookmarkEnd w:id="74"/>
      <w:r w:rsidRPr="004D3031">
        <w:rPr>
          <w:noProof/>
        </w:rPr>
        <w:t xml:space="preserve"> </w:t>
      </w:r>
      <w:r w:rsidRPr="004D3031">
        <w:t>All “too few observations”</w:t>
      </w:r>
      <w:r w:rsidR="00852467" w:rsidRPr="004D3031">
        <w:t xml:space="preserve"> </w:t>
      </w:r>
      <w:r w:rsidRPr="004D3031">
        <w:t>studies cover European countries that were hit early and hard by the pandemic</w:t>
      </w:r>
      <w:bookmarkEnd w:id="75"/>
    </w:p>
    <w:p w14:paraId="002ABA20" w14:textId="3BB606BB" w:rsidR="0065098B" w:rsidRPr="004D3031" w:rsidRDefault="000E34E0" w:rsidP="0065098B">
      <w:pPr>
        <w:pStyle w:val="Tabeltekst"/>
        <w:rPr>
          <w:lang w:val="en-US"/>
        </w:rPr>
      </w:pPr>
      <w:r w:rsidRPr="004D3031">
        <w:rPr>
          <w:noProof/>
          <w:lang w:val="en-US"/>
        </w:rPr>
        <w:drawing>
          <wp:inline distT="0" distB="0" distL="0" distR="0" wp14:anchorId="512D1AA9" wp14:editId="27C15826">
            <wp:extent cx="5616000" cy="3212594"/>
            <wp:effectExtent l="0" t="0" r="3810" b="6985"/>
            <wp:docPr id="1020492437"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492437" name=""/>
                    <pic:cNvPicPr/>
                  </pic:nvPicPr>
                  <pic:blipFill>
                    <a:blip r:embed="rId17">
                      <a:extLst>
                        <a:ext uri="{96DAC541-7B7A-43D3-8B79-37D633B846F1}">
                          <asvg:svgBlip xmlns:asvg="http://schemas.microsoft.com/office/drawing/2016/SVG/main" r:embed="rId18"/>
                        </a:ext>
                      </a:extLst>
                    </a:blip>
                    <a:stretch>
                      <a:fillRect/>
                    </a:stretch>
                  </pic:blipFill>
                  <pic:spPr>
                    <a:xfrm>
                      <a:off x="0" y="0"/>
                      <a:ext cx="5616000" cy="3212594"/>
                    </a:xfrm>
                    <a:prstGeom prst="rect">
                      <a:avLst/>
                    </a:prstGeom>
                  </pic:spPr>
                </pic:pic>
              </a:graphicData>
            </a:graphic>
          </wp:inline>
        </w:drawing>
      </w:r>
    </w:p>
    <w:p w14:paraId="02331E11" w14:textId="77777777" w:rsidR="0065098B" w:rsidRPr="004D3031" w:rsidRDefault="0065098B" w:rsidP="00D97497">
      <w:pPr>
        <w:pStyle w:val="Undertekstfigur"/>
        <w:rPr>
          <w:rStyle w:val="Emphasis"/>
          <w:i/>
          <w:iCs w:val="0"/>
        </w:rPr>
      </w:pPr>
      <w:r w:rsidRPr="004D3031">
        <w:rPr>
          <w:rStyle w:val="Emphasis"/>
        </w:rPr>
        <w:t>Note: The figure shows the relationship between early pandemic strength and total 1st wave of COVID-19 mortality. On the X-axis is “Days to reach 20 COVID-19-deaths per million (measured from February 15, 2020).” The Y-axis shows mortality (deaths per million) by June 30, 2020.</w:t>
      </w:r>
    </w:p>
    <w:p w14:paraId="7E152DBE" w14:textId="1059F4CE" w:rsidR="0065098B" w:rsidRPr="004D3031" w:rsidRDefault="0065098B" w:rsidP="00D97497">
      <w:pPr>
        <w:pStyle w:val="Undertekstfigur"/>
      </w:pPr>
      <w:r w:rsidRPr="004D3031">
        <w:rPr>
          <w:rStyle w:val="Emphasis"/>
        </w:rPr>
        <w:t xml:space="preserve">Source: Reported COVID-19 deaths and </w:t>
      </w:r>
      <w:r w:rsidRPr="004D3031">
        <w:t xml:space="preserve">OxCGRT </w:t>
      </w:r>
      <w:r w:rsidRPr="004D3031">
        <w:rPr>
          <w:rStyle w:val="Emphasis"/>
        </w:rPr>
        <w:t xml:space="preserve">stringency for European countries and US states with more than one million citizens. Data from </w:t>
      </w:r>
      <w:r w:rsidRPr="004D3031">
        <w:rPr>
          <w:rStyle w:val="Emphasis"/>
          <w:i/>
          <w:iCs w:val="0"/>
        </w:rPr>
        <w:fldChar w:fldCharType="begin"/>
      </w:r>
      <w:r w:rsidR="00BE2E7B">
        <w:rPr>
          <w:rStyle w:val="Emphasis"/>
        </w:rPr>
        <w:instrText xml:space="preserve"> ADDIN ZOTERO_ITEM CSL_CITATION {"citationID":"n7ae8aga","properties":{"formattedCitation":"Our World in Data (2022)","plainCitation":"Our World in Data (2022)","noteIndex":0},"citationItems":[{"id":4176,"uris":["http://zotero.org/groups/2170464/items/DRP6KTIY"],"itemData":{"id":4176,"type":"webpage","abstract":"Research and data to make progress against the world’s largest problems","container-title":"Our World in Data","title":"COVID-19 Data Explorer","URL":"https://ourworldindata.org/coronavirus-data-explorer","author":[{"literal":"Our World in Data"}],"accessed":{"date-parts":[["2022",4,7]]},"issued":{"date-parts":[["2022"]]}}}],"schema":"https://github.com/citation-style-language/schema/raw/master/csl-citation.json"} </w:instrText>
      </w:r>
      <w:r w:rsidRPr="004D3031">
        <w:rPr>
          <w:rStyle w:val="Emphasis"/>
          <w:i/>
          <w:iCs w:val="0"/>
        </w:rPr>
        <w:fldChar w:fldCharType="separate"/>
      </w:r>
      <w:r w:rsidR="00BE2E7B" w:rsidRPr="00BE2E7B">
        <w:rPr>
          <w:rFonts w:cs="Calibri"/>
        </w:rPr>
        <w:t>Our World in Data (2022)</w:t>
      </w:r>
      <w:r w:rsidRPr="004D3031">
        <w:rPr>
          <w:rStyle w:val="Emphasis"/>
          <w:i/>
          <w:iCs w:val="0"/>
        </w:rPr>
        <w:fldChar w:fldCharType="end"/>
      </w:r>
      <w:r w:rsidRPr="004D3031">
        <w:rPr>
          <w:rStyle w:val="Emphasis"/>
        </w:rPr>
        <w:t>.</w:t>
      </w:r>
    </w:p>
    <w:p w14:paraId="0D88C9C0" w14:textId="77777777" w:rsidR="0065098B" w:rsidRPr="004D3031" w:rsidRDefault="0065098B" w:rsidP="000668BF">
      <w:pPr>
        <w:pStyle w:val="Heading3"/>
        <w:rPr>
          <w:lang w:val="en-US"/>
        </w:rPr>
      </w:pPr>
      <w:bookmarkStart w:id="76" w:name="_Toc124683306"/>
      <w:r w:rsidRPr="004D3031">
        <w:rPr>
          <w:lang w:val="en-US"/>
        </w:rPr>
        <w:t>Conclusion on the “too few observations”-criteria</w:t>
      </w:r>
      <w:bookmarkEnd w:id="76"/>
    </w:p>
    <w:p w14:paraId="53B0886A" w14:textId="5DB6C4C6" w:rsidR="0065098B" w:rsidRPr="004D3031" w:rsidRDefault="0065098B" w:rsidP="0065098B">
      <w:pPr>
        <w:rPr>
          <w:lang w:val="en-US"/>
        </w:rPr>
      </w:pPr>
      <w:r w:rsidRPr="004D3031">
        <w:rPr>
          <w:lang w:val="en-US"/>
        </w:rPr>
        <w:t xml:space="preserve">We conclude that the exclusion criteria in our protocol in most cases </w:t>
      </w:r>
      <w:proofErr w:type="gramStart"/>
      <w:r w:rsidRPr="004D3031">
        <w:rPr>
          <w:lang w:val="en-US"/>
        </w:rPr>
        <w:t>was</w:t>
      </w:r>
      <w:proofErr w:type="gramEnd"/>
      <w:r w:rsidRPr="004D3031">
        <w:rPr>
          <w:lang w:val="en-US"/>
        </w:rPr>
        <w:t xml:space="preserve"> well founded. The “too few observations”</w:t>
      </w:r>
      <w:r w:rsidR="00852467" w:rsidRPr="004D3031">
        <w:rPr>
          <w:lang w:val="en-US"/>
        </w:rPr>
        <w:t xml:space="preserve"> </w:t>
      </w:r>
      <w:r w:rsidRPr="004D3031">
        <w:rPr>
          <w:lang w:val="en-US"/>
        </w:rPr>
        <w:t>studies in general do not show “sufficient variation” but rather focus on special cases.</w:t>
      </w:r>
    </w:p>
    <w:p w14:paraId="366E3728" w14:textId="77777777" w:rsidR="0065098B" w:rsidRPr="004D3031" w:rsidRDefault="0065098B" w:rsidP="0065098B">
      <w:pPr>
        <w:rPr>
          <w:lang w:val="en-US"/>
        </w:rPr>
      </w:pPr>
      <w:r w:rsidRPr="004D3031">
        <w:rPr>
          <w:lang w:val="en-US"/>
        </w:rPr>
        <w:t xml:space="preserve">Since it is prudent not to deviate from one’s research protocol ex-post-facto, we have adhered to our protocol </w:t>
      </w:r>
      <w:proofErr w:type="gramStart"/>
      <w:r w:rsidRPr="004D3031">
        <w:rPr>
          <w:lang w:val="en-US"/>
        </w:rPr>
        <w:t>with regard to</w:t>
      </w:r>
      <w:proofErr w:type="gramEnd"/>
      <w:r w:rsidRPr="004D3031">
        <w:rPr>
          <w:lang w:val="en-US"/>
        </w:rPr>
        <w:t xml:space="preserve"> </w:t>
      </w:r>
      <w:bookmarkStart w:id="77" w:name="_Hlk122354265"/>
      <w:r w:rsidRPr="004D3031">
        <w:rPr>
          <w:lang w:val="en-US"/>
        </w:rPr>
        <w:t>the “too few observations”-studies.</w:t>
      </w:r>
    </w:p>
    <w:p w14:paraId="3D46BB8B" w14:textId="77777777" w:rsidR="0065098B" w:rsidRPr="004D3031" w:rsidRDefault="0065098B" w:rsidP="00FF782A">
      <w:pPr>
        <w:pStyle w:val="Heading2"/>
      </w:pPr>
      <w:bookmarkStart w:id="78" w:name="_Toc124683307"/>
      <w:bookmarkStart w:id="79" w:name="_Toc125059372"/>
      <w:bookmarkStart w:id="80" w:name="_Toc126069768"/>
      <w:bookmarkEnd w:id="77"/>
      <w:r w:rsidRPr="004D3031">
        <w:t>Conclusion</w:t>
      </w:r>
      <w:bookmarkEnd w:id="78"/>
      <w:bookmarkEnd w:id="79"/>
      <w:bookmarkEnd w:id="80"/>
    </w:p>
    <w:p w14:paraId="5D959E4F" w14:textId="77777777" w:rsidR="0065098B" w:rsidRPr="004D3031" w:rsidRDefault="0065098B" w:rsidP="0065098B">
      <w:pPr>
        <w:rPr>
          <w:lang w:val="en-US"/>
        </w:rPr>
      </w:pPr>
      <w:r w:rsidRPr="004D3031">
        <w:rPr>
          <w:lang w:val="en-US"/>
        </w:rPr>
        <w:t xml:space="preserve">In general, it is best to avoid changing the research protocol after the results of the study have been obtained, as this can introduce bias and compromise the validity and credibility of the research reported </w:t>
      </w:r>
      <w:proofErr w:type="gramStart"/>
      <w:r w:rsidRPr="004D3031">
        <w:rPr>
          <w:lang w:val="en-US"/>
        </w:rPr>
        <w:t>on the basis of</w:t>
      </w:r>
      <w:proofErr w:type="gramEnd"/>
      <w:r w:rsidRPr="004D3031">
        <w:rPr>
          <w:lang w:val="en-US"/>
        </w:rPr>
        <w:t xml:space="preserve"> the protocol. </w:t>
      </w:r>
    </w:p>
    <w:p w14:paraId="4FE71C3B" w14:textId="77777777" w:rsidR="0065098B" w:rsidRPr="004D3031" w:rsidRDefault="0065098B" w:rsidP="0065098B">
      <w:pPr>
        <w:rPr>
          <w:lang w:val="en-US"/>
        </w:rPr>
      </w:pPr>
      <w:r w:rsidRPr="004D3031">
        <w:rPr>
          <w:lang w:val="en-US"/>
        </w:rPr>
        <w:t>The above evaluation of the exclusion criteria in our protocol shows that:</w:t>
      </w:r>
    </w:p>
    <w:p w14:paraId="7032F3F9" w14:textId="77777777" w:rsidR="0065098B" w:rsidRPr="004D3031" w:rsidRDefault="0065098B" w:rsidP="0065098B">
      <w:pPr>
        <w:pStyle w:val="ListParagraph"/>
        <w:numPr>
          <w:ilvl w:val="0"/>
          <w:numId w:val="31"/>
        </w:numPr>
        <w:rPr>
          <w:lang w:val="en-US"/>
        </w:rPr>
      </w:pPr>
      <w:r w:rsidRPr="004D3031">
        <w:rPr>
          <w:lang w:val="en-US"/>
        </w:rPr>
        <w:t>the excluded studies tend to focus on a few special cases such as Italy and Sweden, which were hit early and surprised by the pandemic. As a result, they would have experienced very high COVID-19 mortality even if they managed to reduce the reproduction number, R</w:t>
      </w:r>
      <w:r w:rsidRPr="004D3031">
        <w:rPr>
          <w:vertAlign w:val="subscript"/>
          <w:lang w:val="en-US"/>
        </w:rPr>
        <w:t>t</w:t>
      </w:r>
      <w:r w:rsidRPr="004D3031">
        <w:rPr>
          <w:lang w:val="en-US"/>
        </w:rPr>
        <w:t>, to the same level at the same time as other places. These studies examine special cases and do not – even when combined – reflect “sufficient variation” in the data.</w:t>
      </w:r>
    </w:p>
    <w:p w14:paraId="6DC690EA" w14:textId="77777777" w:rsidR="0065098B" w:rsidRPr="004D3031" w:rsidRDefault="0065098B" w:rsidP="0065098B">
      <w:pPr>
        <w:pStyle w:val="ListParagraph"/>
        <w:numPr>
          <w:ilvl w:val="0"/>
          <w:numId w:val="31"/>
        </w:numPr>
        <w:rPr>
          <w:lang w:val="en-US"/>
        </w:rPr>
      </w:pPr>
      <w:proofErr w:type="gramStart"/>
      <w:r w:rsidRPr="004D3031">
        <w:rPr>
          <w:lang w:val="en-US"/>
        </w:rPr>
        <w:t>many</w:t>
      </w:r>
      <w:proofErr w:type="gramEnd"/>
      <w:r w:rsidRPr="004D3031">
        <w:rPr>
          <w:lang w:val="en-US"/>
        </w:rPr>
        <w:t xml:space="preserve"> SCM studies suffer from a very short pre-intervention window which tends to render their synthetic control approach ineffective.</w:t>
      </w:r>
    </w:p>
    <w:p w14:paraId="75B24BC7" w14:textId="2EFDAFCB" w:rsidR="0065098B" w:rsidRPr="004D3031" w:rsidRDefault="0065098B" w:rsidP="0065098B">
      <w:pPr>
        <w:rPr>
          <w:lang w:val="en-US"/>
        </w:rPr>
      </w:pPr>
      <w:r w:rsidRPr="004D3031">
        <w:rPr>
          <w:lang w:val="en-US"/>
        </w:rPr>
        <w:t>There are only two excluded studies where conclusion 1) and/or 2) do not apply (</w:t>
      </w:r>
      <w:r w:rsidRPr="004D3031">
        <w:rPr>
          <w:lang w:val="en-US"/>
        </w:rPr>
        <w:fldChar w:fldCharType="begin"/>
      </w:r>
      <w:r w:rsidR="00BE2E7B">
        <w:rPr>
          <w:lang w:val="en-US"/>
        </w:rPr>
        <w:instrText xml:space="preserve"> ADDIN ZOTERO_ITEM CSL_CITATION {"citationID":"KuYzI5Pi","properties":{"formattedCitation":"Mader and R\\uc0\\u252{}ttenauer (2021)","plainCitation":"Mader and Rüttenauer (2021)","noteIndex":0},"citationItems":[{"id":3685,"uris":["http://zotero.org/groups/2170464/items/77UUP223"],"itemData":{"id":3685,"type":"report","abstract":"Background: Most governments have introduced various non-pharmaceutical interventions (NPIs) in response to the pandemic outbreak of Coronavirus disease (COVID-19) since early 2020. While NPIs aim at avoiding fatalities related to COVID-19, the previous literature on their efficacy has focused on infections and on data of the first half of 2020. Still, findings of early NPI studies may be subject to underreporting and missing timeliness of reporting of cases. Moreover, the low variation in treatment timing during the first wave makes identification of robust treatment effects difficult.\n\nMethods: To circumvent problems of reporting and treatment variation, we analyse data on daily confirmed COVID-19-related deaths per capita from Our World in Data, and on 10 different NPIs from the Oxford COVID-19 Government Response Tracker for 169 countries from 1st July 2020 to 31st May 2021. To identify the causal effects of introducing NPIs on COVID-19-related confirmed fatalities per capita, we apply the generalized synthetic control (GSC) method to each NPI, while controlling for the remaining NPIs, weather conditions, vaccinations, and NPI-residualized COVID-19 cases.\n\nFindings: We do not find substantial and consistent mitigating effects of any NPI under investigation on COVID-19-related deaths per capita. We see a tentative change in the trend of COVID-19-related deaths around 30 days after workplace closing, public transport closing, and stay at home rules have been implemented, but none of them exerts a statistically significant effect.\n\nInterpretation: The study enhances the literature on the effectivity of NPIs with respect to the time frame, the number of countries, and the analytical approach. The results provide further guidance to judge the proportionality of NPIs.","note":"DOI: 10.31235/osf.io/v2ef8\ntype: article","publisher":"SocArXiv","source":"OSF Preprints","title":"The effects of non-pharmaceutical interventions on COVID-19-related mortality: A generalized synthetic control approach across 169 countries","title-short":"The effects of non-pharmaceutical interventions on COVID-19-related mortality","URL":"https://osf.io/preprints/socarxiv/v2ef8/","author":[{"family":"Mader","given":"Sebastian"},{"family":"Rüttenauer","given":"Tobias"}],"accessed":{"date-parts":[["2021",8,18]]},"issued":{"date-parts":[["2021",6,11]]}}}],"schema":"https://github.com/citation-style-language/schema/raw/master/csl-citation.json"} </w:instrText>
      </w:r>
      <w:r w:rsidRPr="004D3031">
        <w:rPr>
          <w:lang w:val="en-US"/>
        </w:rPr>
        <w:fldChar w:fldCharType="separate"/>
      </w:r>
      <w:r w:rsidR="00BE2E7B" w:rsidRPr="00BE2E7B">
        <w:rPr>
          <w:rFonts w:cs="Calibri"/>
          <w:lang w:val="en-US"/>
        </w:rPr>
        <w:t>Mader and Rüttenauer (2021)</w:t>
      </w:r>
      <w:r w:rsidRPr="004D3031">
        <w:rPr>
          <w:lang w:val="en-US"/>
        </w:rPr>
        <w:fldChar w:fldCharType="end"/>
      </w:r>
      <w:r w:rsidRPr="004D3031">
        <w:rPr>
          <w:lang w:val="en-US"/>
        </w:rPr>
        <w:t xml:space="preserve"> and to some degree </w:t>
      </w:r>
      <w:r w:rsidRPr="004D3031">
        <w:rPr>
          <w:lang w:val="en-US"/>
        </w:rPr>
        <w:fldChar w:fldCharType="begin"/>
      </w:r>
      <w:r w:rsidR="00BE2E7B">
        <w:rPr>
          <w:lang w:val="en-US"/>
        </w:rPr>
        <w:instrText xml:space="preserve"> ADDIN ZOTERO_ITEM CSL_CITATION {"citationID":"G3rCGqMf","properties":{"formattedCitation":"Dave et al. (2020b)","plainCitation":"Dave et al. (2020b)","noteIndex":0},"citationItems":[{"id":4443,"uris":["http://zotero.org/groups/2170464/items/PJ7N4CCP"],"itemData":{"id":4443,"type":"article-journal","abstract":"Policymakers have explicitly linked sustained reductions in COVID-19 case growth to reopening policies, including the lifting of shelter-in-place orders (SIPOs). This “hardwired” policy endogeneity creates challenges in isolating the causal effect of lifting a statewide SIPO on COVID-19. To overcome simultaneity bias, we exploit a unique natural experiment generated by the Wisconsin Supreme Court when it abolished Wisconsin’s “Safer at Home” order on separation-of-powers grounds. We capitalize on this sudden, dramatic, and largely unanticipated termination of a statewide SIPO to estimate its effect on social distancing and COVID-19 case growth. First, using anonymized smartphone data from SafeGraph Inc. and a synthetic control design, we find that SIPO termination had little impact on social distancing. Then, using data on COVID-19 case and mortality rates, we find no evidence that the Wisconsin Supreme Court decision impacted COVID-19 growth up to a month following the repeal. We conclude that the impacts of SIPOs are likely not symmetric across enactment and lifting of orders, and this asymmetry sheds new light on the potential mechanisms underlying the effectiveness of these orders.","collection-title":"Working Paper Series","DOI":"10.3386/w27322","note":"DOI: 10.3386/w27322","source":"National Bureau of Economic Research","title":"Are the Effects of Adoption and Termination of Shelter-in-Place Orders Symmetric? Evidence from a Natural Experiment","title-short":"Are the Effects of Adoption and Termination of Shelter-in-Place Orders Symmetric?","URL":"https://www.nber.org/papers/w27322","author":[{"family":"Dave","given":"Dhaval"},{"family":"Friedson","given":"Andrew I."},{"family":"Matsuzawa","given":"Kyutaro"},{"family":"McNichols","given":"Drew"},{"family":"Sabia","given":"Joseph J."}],"accessed":{"date-parts":[["2022",12,19]]},"issued":{"date-parts":[["2020",6]]}}}],"schema":"https://github.com/citation-style-language/schema/raw/master/csl-citation.json"} </w:instrText>
      </w:r>
      <w:r w:rsidRPr="004D3031">
        <w:rPr>
          <w:lang w:val="en-US"/>
        </w:rPr>
        <w:fldChar w:fldCharType="separate"/>
      </w:r>
      <w:r w:rsidR="00BE2E7B" w:rsidRPr="00BE2E7B">
        <w:rPr>
          <w:rFonts w:cs="Calibri"/>
          <w:lang w:val="en-US"/>
        </w:rPr>
        <w:t>Dave et al. (2020b)</w:t>
      </w:r>
      <w:r w:rsidRPr="004D3031">
        <w:rPr>
          <w:lang w:val="en-US"/>
        </w:rPr>
        <w:fldChar w:fldCharType="end"/>
      </w:r>
      <w:r w:rsidRPr="004D3031">
        <w:rPr>
          <w:lang w:val="en-US"/>
        </w:rPr>
        <w:t xml:space="preserve">). These studies yield results </w:t>
      </w:r>
      <w:proofErr w:type="gramStart"/>
      <w:r w:rsidRPr="004D3031">
        <w:rPr>
          <w:lang w:val="en-US"/>
        </w:rPr>
        <w:t>similar to</w:t>
      </w:r>
      <w:proofErr w:type="gramEnd"/>
      <w:r w:rsidRPr="004D3031">
        <w:rPr>
          <w:lang w:val="en-US"/>
        </w:rPr>
        <w:t xml:space="preserve"> our meta-results and, thus, would not significantly alter our meta-results if included.</w:t>
      </w:r>
    </w:p>
    <w:p w14:paraId="076749AD" w14:textId="77777777" w:rsidR="002446AC" w:rsidRPr="004D3031" w:rsidRDefault="002446AC">
      <w:pPr>
        <w:spacing w:line="240" w:lineRule="auto"/>
        <w:rPr>
          <w:rFonts w:eastAsiaTheme="majorEastAsia" w:cstheme="majorBidi"/>
          <w:b/>
          <w:sz w:val="28"/>
          <w:szCs w:val="24"/>
          <w:lang w:val="en-US"/>
        </w:rPr>
      </w:pPr>
      <w:r w:rsidRPr="004D3031">
        <w:rPr>
          <w:lang w:val="en-US"/>
        </w:rPr>
        <w:lastRenderedPageBreak/>
        <w:br w:type="page"/>
      </w:r>
    </w:p>
    <w:p w14:paraId="4BC5450C" w14:textId="689A6D7D" w:rsidR="00C202BF" w:rsidRPr="004D3031" w:rsidRDefault="00C202BF" w:rsidP="009B31A2">
      <w:pPr>
        <w:pStyle w:val="Heading2"/>
      </w:pPr>
      <w:r w:rsidRPr="004D3031">
        <w:lastRenderedPageBreak/>
        <w:t>Appendix</w:t>
      </w:r>
      <w:r w:rsidR="009B31A2" w:rsidRPr="004D3031">
        <w:t xml:space="preserve"> – the time from infection to death</w:t>
      </w:r>
    </w:p>
    <w:p w14:paraId="2B2896AB" w14:textId="5BF949F4" w:rsidR="00FD20AD" w:rsidRPr="004D3031" w:rsidRDefault="009F66FA" w:rsidP="009B31A2">
      <w:pPr>
        <w:rPr>
          <w:lang w:val="en-US"/>
        </w:rPr>
      </w:pPr>
      <w:r w:rsidRPr="004D3031">
        <w:rPr>
          <w:lang w:val="en-US"/>
        </w:rPr>
        <w:t xml:space="preserve">There is considerable variability in the time from infection </w:t>
      </w:r>
      <w:r w:rsidR="00B36876" w:rsidRPr="004D3031">
        <w:rPr>
          <w:lang w:val="en-US"/>
        </w:rPr>
        <w:t xml:space="preserve">with COVID-19 </w:t>
      </w:r>
      <w:r w:rsidRPr="004D3031">
        <w:rPr>
          <w:lang w:val="en-US"/>
        </w:rPr>
        <w:t xml:space="preserve">to death. Virtually no-one dies within </w:t>
      </w:r>
      <w:r w:rsidR="000E2633" w:rsidRPr="004D3031">
        <w:rPr>
          <w:lang w:val="en-US"/>
        </w:rPr>
        <w:t xml:space="preserve">the first </w:t>
      </w:r>
      <w:r w:rsidRPr="004D3031">
        <w:rPr>
          <w:lang w:val="en-US"/>
        </w:rPr>
        <w:t>week of infection, but thereafter the probabilities climb quite steeply</w:t>
      </w:r>
      <w:r w:rsidR="00FD20AD" w:rsidRPr="004D3031">
        <w:rPr>
          <w:lang w:val="en-US"/>
        </w:rPr>
        <w:t xml:space="preserve">, cf. </w:t>
      </w:r>
      <w:r w:rsidR="00E94024" w:rsidRPr="004D3031">
        <w:rPr>
          <w:lang w:val="en-US"/>
        </w:rPr>
        <w:fldChar w:fldCharType="begin"/>
      </w:r>
      <w:r w:rsidR="00E94024" w:rsidRPr="004D3031">
        <w:rPr>
          <w:lang w:val="en-US"/>
        </w:rPr>
        <w:instrText xml:space="preserve"> REF _Ref135811858 \h </w:instrText>
      </w:r>
      <w:r w:rsidR="00E94024" w:rsidRPr="004D3031">
        <w:rPr>
          <w:lang w:val="en-US"/>
        </w:rPr>
      </w:r>
      <w:r w:rsidR="00E94024" w:rsidRPr="004D3031">
        <w:rPr>
          <w:lang w:val="en-US"/>
        </w:rPr>
        <w:fldChar w:fldCharType="separate"/>
      </w:r>
      <w:r w:rsidR="0041377D" w:rsidRPr="004D3031">
        <w:rPr>
          <w:lang w:val="en-US"/>
        </w:rPr>
        <w:t xml:space="preserve">Figure </w:t>
      </w:r>
      <w:r w:rsidR="0041377D" w:rsidRPr="004D3031">
        <w:rPr>
          <w:noProof/>
          <w:lang w:val="en-US"/>
        </w:rPr>
        <w:t>7</w:t>
      </w:r>
      <w:r w:rsidR="00E94024" w:rsidRPr="004D3031">
        <w:rPr>
          <w:lang w:val="en-US"/>
        </w:rPr>
        <w:fldChar w:fldCharType="end"/>
      </w:r>
      <w:r w:rsidR="009530C0" w:rsidRPr="004D3031">
        <w:rPr>
          <w:lang w:val="en-US"/>
        </w:rPr>
        <w:t xml:space="preserve"> from </w:t>
      </w:r>
      <w:r w:rsidR="00903210" w:rsidRPr="004D3031">
        <w:rPr>
          <w:lang w:val="en-US"/>
        </w:rPr>
        <w:fldChar w:fldCharType="begin"/>
      </w:r>
      <w:r w:rsidR="00BE2E7B">
        <w:rPr>
          <w:lang w:val="en-US"/>
        </w:rPr>
        <w:instrText xml:space="preserve"> ADDIN ZOTERO_ITEM CSL_CITATION {"citationID":"OoFP0FaP","properties":{"formattedCitation":"Wood (2022)","plainCitation":"Wood (2022)","noteIndex":0},"citationItems":[{"id":4486,"uris":["http://zotero.org/groups/2170464/items/UF3BVFLH"],"itemData":{"id":4486,"type":"article-journal","abstract":"The number of new infections per day is a key quantity for effective epidemic management. It can be estimated relatively directly by testing of random population samples. Without such direct epidemiological measurement, other approaches are required to infer whether the number of new cases is likely to be increasing or decreasing: for example, estimating the pathogen-effective reproduction number, R, using data gathered from the clinical response to the disease. For coronavirus disease 2019 (Covid-19/SARS-Cov-2), such R estimation is heavily dependent on modelling assumptions, because the available clinical case data are opportunistic observational data subject to severe temporal confounding. Given this difficulty, it is useful to retrospectively reconstruct the time course of infections from the least compromised available data, using minimal prior assumptions. A Bayesian inverse problem approach applied to UK data on first-wave Covid-19 deaths and the disease duration distribution suggests that fatal infections were in decline before full UK lockdown (24 March 2020), and that fatal infections in Sweden started to decline only a day or two later. An analysis of UK data using the model of Flaxman et al. gives the same result under relaxation of its prior assumptions on R, suggesting an enhanced role for non-pharmaceutical interventions short of full lockdown in the UK context. Similar patterns appear to have occurred in the subsequent two lockdowns.","container-title":"Biometrics","DOI":"10.1111/biom.13462","ISSN":"1541-0420","issue":"3","language":"en","note":"_eprint: https://onlinelibrary.wiley.com/doi/pdf/10.1111/biom.13462","page":"1127-1140","source":"Wiley Online Library","title":"Inferring UK COVID-19 fatal infection trajectories from daily mortality data: Were infections already in decline before the UK lockdowns?","title-short":"Inferring UK COVID-19 fatal infection trajectories from daily mortality data","volume":"78","author":[{"family":"Wood","given":"Simon N."}],"issued":{"date-parts":[["2022"]]}}}],"schema":"https://github.com/citation-style-language/schema/raw/master/csl-citation.json"} </w:instrText>
      </w:r>
      <w:r w:rsidR="00903210" w:rsidRPr="004D3031">
        <w:rPr>
          <w:lang w:val="en-US"/>
        </w:rPr>
        <w:fldChar w:fldCharType="separate"/>
      </w:r>
      <w:r w:rsidR="00BE2E7B" w:rsidRPr="00BE2E7B">
        <w:rPr>
          <w:rFonts w:cs="Calibri"/>
          <w:lang w:val="en-US"/>
        </w:rPr>
        <w:t>Wood (2022)</w:t>
      </w:r>
      <w:r w:rsidR="00903210" w:rsidRPr="004D3031">
        <w:rPr>
          <w:lang w:val="en-US"/>
        </w:rPr>
        <w:fldChar w:fldCharType="end"/>
      </w:r>
      <w:r w:rsidR="003D3A57" w:rsidRPr="004D3031">
        <w:rPr>
          <w:lang w:val="en-US"/>
        </w:rPr>
        <w:t>.</w:t>
      </w:r>
      <w:r w:rsidR="00876F60" w:rsidRPr="004D3031">
        <w:rPr>
          <w:rStyle w:val="FootnoteReference"/>
          <w:lang w:val="en-US"/>
        </w:rPr>
        <w:footnoteReference w:id="12"/>
      </w:r>
      <w:r w:rsidR="00E573B5" w:rsidRPr="004D3031">
        <w:rPr>
          <w:lang w:val="en-US"/>
        </w:rPr>
        <w:t xml:space="preserve"> On average, it takes 2</w:t>
      </w:r>
      <w:r w:rsidR="00F802E8" w:rsidRPr="004D3031">
        <w:rPr>
          <w:lang w:val="en-US"/>
        </w:rPr>
        <w:t>6</w:t>
      </w:r>
      <w:r w:rsidR="00E573B5" w:rsidRPr="004D3031">
        <w:rPr>
          <w:lang w:val="en-US"/>
        </w:rPr>
        <w:t xml:space="preserve"> days from infection to death</w:t>
      </w:r>
      <w:r w:rsidR="00761477" w:rsidRPr="004D3031">
        <w:rPr>
          <w:lang w:val="en-US"/>
        </w:rPr>
        <w:t xml:space="preserve">, and 29% die within the third week after infection (day 15 to 21) while </w:t>
      </w:r>
      <w:r w:rsidR="008A1864" w:rsidRPr="004D3031">
        <w:rPr>
          <w:lang w:val="en-US"/>
        </w:rPr>
        <w:t>26% die within the fourth week after infection (day 22 to 28)</w:t>
      </w:r>
      <w:r w:rsidR="00E573B5" w:rsidRPr="004D3031">
        <w:rPr>
          <w:lang w:val="en-US"/>
        </w:rPr>
        <w:t>.</w:t>
      </w:r>
    </w:p>
    <w:p w14:paraId="4932C6EA" w14:textId="370EC606" w:rsidR="00FD20AD" w:rsidRPr="004D3031" w:rsidRDefault="00FD20AD" w:rsidP="00FD20AD">
      <w:pPr>
        <w:pStyle w:val="Caption"/>
      </w:pPr>
      <w:bookmarkStart w:id="81" w:name="_Ref135811858"/>
      <w:r w:rsidRPr="004D3031">
        <w:t xml:space="preserve">Figure </w:t>
      </w:r>
      <w:r w:rsidRPr="004D3031">
        <w:fldChar w:fldCharType="begin"/>
      </w:r>
      <w:r w:rsidRPr="004D3031">
        <w:instrText xml:space="preserve"> SEQ Figure \* ARABIC </w:instrText>
      </w:r>
      <w:r w:rsidRPr="004D3031">
        <w:fldChar w:fldCharType="separate"/>
      </w:r>
      <w:r w:rsidR="0041377D" w:rsidRPr="004D3031">
        <w:rPr>
          <w:noProof/>
        </w:rPr>
        <w:t>7</w:t>
      </w:r>
      <w:r w:rsidRPr="004D3031">
        <w:rPr>
          <w:noProof/>
        </w:rPr>
        <w:fldChar w:fldCharType="end"/>
      </w:r>
      <w:bookmarkEnd w:id="81"/>
      <w:r w:rsidRPr="004D3031">
        <w:t xml:space="preserve"> </w:t>
      </w:r>
      <w:r w:rsidR="006F425F" w:rsidRPr="004D3031">
        <w:t>Fatal disease duration distribution from infection to death</w:t>
      </w:r>
    </w:p>
    <w:p w14:paraId="66347D7D" w14:textId="3E6450AA" w:rsidR="001247A7" w:rsidRPr="004D3031" w:rsidRDefault="00903210" w:rsidP="008C407A">
      <w:pPr>
        <w:pStyle w:val="Tabeltekst"/>
        <w:rPr>
          <w:lang w:val="en-US"/>
        </w:rPr>
      </w:pPr>
      <w:r w:rsidRPr="004D3031">
        <w:rPr>
          <w:noProof/>
          <w:lang w:val="en-US"/>
        </w:rPr>
        <w:drawing>
          <wp:inline distT="0" distB="0" distL="0" distR="0" wp14:anchorId="29777189" wp14:editId="186EB8D6">
            <wp:extent cx="4210050" cy="3567312"/>
            <wp:effectExtent l="0" t="0" r="0" b="0"/>
            <wp:docPr id="77913641" name="Picture 1" descr="A picture containing text, plot, line,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913641" name="Picture 1" descr="A picture containing text, plot, line, diagram&#10;&#10;Description automatically generated"/>
                    <pic:cNvPicPr/>
                  </pic:nvPicPr>
                  <pic:blipFill>
                    <a:blip r:embed="rId19"/>
                    <a:stretch>
                      <a:fillRect/>
                    </a:stretch>
                  </pic:blipFill>
                  <pic:spPr>
                    <a:xfrm>
                      <a:off x="0" y="0"/>
                      <a:ext cx="4212787" cy="3569631"/>
                    </a:xfrm>
                    <a:prstGeom prst="rect">
                      <a:avLst/>
                    </a:prstGeom>
                  </pic:spPr>
                </pic:pic>
              </a:graphicData>
            </a:graphic>
          </wp:inline>
        </w:drawing>
      </w:r>
    </w:p>
    <w:p w14:paraId="720501A7" w14:textId="00BFE509" w:rsidR="00FD20AD" w:rsidRPr="004D3031" w:rsidRDefault="00E326A0" w:rsidP="00D97497">
      <w:pPr>
        <w:pStyle w:val="Undertekstfigur"/>
      </w:pPr>
      <w:r w:rsidRPr="004D3031">
        <w:t xml:space="preserve">Source: </w:t>
      </w:r>
      <w:r w:rsidR="00B67697" w:rsidRPr="004D3031">
        <w:fldChar w:fldCharType="begin"/>
      </w:r>
      <w:r w:rsidR="00BE2E7B">
        <w:instrText xml:space="preserve"> ADDIN ZOTERO_ITEM CSL_CITATION {"citationID":"gZiOley3","properties":{"formattedCitation":"Wood (2022)","plainCitation":"Wood (2022)","noteIndex":0},"citationItems":[{"id":4486,"uris":["http://zotero.org/groups/2170464/items/UF3BVFLH"],"itemData":{"id":4486,"type":"article-journal","abstract":"The number of new infections per day is a key quantity for effective epidemic management. It can be estimated relatively directly by testing of random population samples. Without such direct epidemiological measurement, other approaches are required to infer whether the number of new cases is likely to be increasing or decreasing: for example, estimating the pathogen-effective reproduction number, R, using data gathered from the clinical response to the disease. For coronavirus disease 2019 (Covid-19/SARS-Cov-2), such R estimation is heavily dependent on modelling assumptions, because the available clinical case data are opportunistic observational data subject to severe temporal confounding. Given this difficulty, it is useful to retrospectively reconstruct the time course of infections from the least compromised available data, using minimal prior assumptions. A Bayesian inverse problem approach applied to UK data on first-wave Covid-19 deaths and the disease duration distribution suggests that fatal infections were in decline before full UK lockdown (24 March 2020), and that fatal infections in Sweden started to decline only a day or two later. An analysis of UK data using the model of Flaxman et al. gives the same result under relaxation of its prior assumptions on R, suggesting an enhanced role for non-pharmaceutical interventions short of full lockdown in the UK context. Similar patterns appear to have occurred in the subsequent two lockdowns.","container-title":"Biometrics","DOI":"10.1111/biom.13462","ISSN":"1541-0420","issue":"3","language":"en","note":"_eprint: https://onlinelibrary.wiley.com/doi/pdf/10.1111/biom.13462","page":"1127-1140","source":"Wiley Online Library","title":"Inferring UK COVID-19 fatal infection trajectories from daily mortality data: Were infections already in decline before the UK lockdowns?","title-short":"Inferring UK COVID-19 fatal infection trajectories from daily mortality data","volume":"78","author":[{"family":"Wood","given":"Simon N."}],"issued":{"date-parts":[["2022"]]}}}],"schema":"https://github.com/citation-style-language/schema/raw/master/csl-citation.json"} </w:instrText>
      </w:r>
      <w:r w:rsidR="00B67697" w:rsidRPr="004D3031">
        <w:fldChar w:fldCharType="separate"/>
      </w:r>
      <w:r w:rsidR="00BE2E7B" w:rsidRPr="00BE2E7B">
        <w:rPr>
          <w:rFonts w:cs="Calibri"/>
          <w:sz w:val="22"/>
        </w:rPr>
        <w:t>Wood (2022)</w:t>
      </w:r>
      <w:r w:rsidR="00B67697" w:rsidRPr="004D3031">
        <w:fldChar w:fldCharType="end"/>
      </w:r>
      <w:r w:rsidR="00B67697" w:rsidRPr="004D3031">
        <w:t xml:space="preserve"> Figure 1 (right)</w:t>
      </w:r>
      <w:r w:rsidR="001438DA" w:rsidRPr="004D3031">
        <w:t>.</w:t>
      </w:r>
    </w:p>
    <w:p w14:paraId="7FFDA861" w14:textId="08196712" w:rsidR="0089067E" w:rsidRPr="004D3031" w:rsidRDefault="00D973E8" w:rsidP="009B31A2">
      <w:pPr>
        <w:rPr>
          <w:lang w:val="en-US"/>
        </w:rPr>
      </w:pPr>
      <w:r w:rsidRPr="004D3031">
        <w:rPr>
          <w:lang w:val="en-US"/>
        </w:rPr>
        <w:t xml:space="preserve">Because the duration between infection and death is </w:t>
      </w:r>
      <w:r w:rsidR="00C654BF" w:rsidRPr="004D3031">
        <w:rPr>
          <w:lang w:val="en-US"/>
        </w:rPr>
        <w:t>probabilistic rather than deterministic</w:t>
      </w:r>
      <w:r w:rsidR="006B49E2" w:rsidRPr="004D3031">
        <w:rPr>
          <w:lang w:val="en-US"/>
        </w:rPr>
        <w:t xml:space="preserve">, there will be a delay </w:t>
      </w:r>
      <w:r w:rsidR="00FB122A" w:rsidRPr="004D3031">
        <w:rPr>
          <w:lang w:val="en-US"/>
        </w:rPr>
        <w:t xml:space="preserve">before the </w:t>
      </w:r>
      <w:r w:rsidR="00C654BF" w:rsidRPr="004D3031">
        <w:rPr>
          <w:lang w:val="en-US"/>
        </w:rPr>
        <w:t xml:space="preserve">possible </w:t>
      </w:r>
      <w:r w:rsidR="00FB122A" w:rsidRPr="004D3031">
        <w:rPr>
          <w:lang w:val="en-US"/>
        </w:rPr>
        <w:t xml:space="preserve">effect </w:t>
      </w:r>
      <w:r w:rsidR="00C654BF" w:rsidRPr="004D3031">
        <w:rPr>
          <w:lang w:val="en-US"/>
        </w:rPr>
        <w:t xml:space="preserve">of a lockdown </w:t>
      </w:r>
      <w:r w:rsidR="00FB122A" w:rsidRPr="004D3031">
        <w:rPr>
          <w:lang w:val="en-US"/>
        </w:rPr>
        <w:t>is visible in mortality data.</w:t>
      </w:r>
    </w:p>
    <w:p w14:paraId="16CF3CDC" w14:textId="26221DD3" w:rsidR="000C1992" w:rsidRPr="004D3031" w:rsidRDefault="00A52F00" w:rsidP="00D40276">
      <w:pPr>
        <w:rPr>
          <w:lang w:val="en-US"/>
        </w:rPr>
      </w:pPr>
      <w:r w:rsidRPr="004D3031">
        <w:rPr>
          <w:lang w:val="en-US"/>
        </w:rPr>
        <w:t xml:space="preserve">To </w:t>
      </w:r>
      <w:r w:rsidR="00AA6126" w:rsidRPr="004D3031">
        <w:rPr>
          <w:lang w:val="en-US"/>
        </w:rPr>
        <w:t>illustrate this point,</w:t>
      </w:r>
      <w:r w:rsidR="003168FB" w:rsidRPr="004D3031">
        <w:rPr>
          <w:lang w:val="en-US"/>
        </w:rPr>
        <w:t xml:space="preserve"> </w:t>
      </w:r>
      <w:r w:rsidR="003168FB" w:rsidRPr="004D3031">
        <w:rPr>
          <w:lang w:val="en-US"/>
        </w:rPr>
        <w:fldChar w:fldCharType="begin"/>
      </w:r>
      <w:r w:rsidR="003168FB" w:rsidRPr="004D3031">
        <w:rPr>
          <w:lang w:val="en-US"/>
        </w:rPr>
        <w:instrText xml:space="preserve"> REF _Ref135830104 \h </w:instrText>
      </w:r>
      <w:r w:rsidR="003168FB" w:rsidRPr="004D3031">
        <w:rPr>
          <w:lang w:val="en-US"/>
        </w:rPr>
      </w:r>
      <w:r w:rsidR="003168FB" w:rsidRPr="004D3031">
        <w:rPr>
          <w:lang w:val="en-US"/>
        </w:rPr>
        <w:fldChar w:fldCharType="separate"/>
      </w:r>
      <w:r w:rsidR="0041377D" w:rsidRPr="004D3031">
        <w:rPr>
          <w:lang w:val="en-US"/>
        </w:rPr>
        <w:t xml:space="preserve">Figure </w:t>
      </w:r>
      <w:r w:rsidR="0041377D" w:rsidRPr="004D3031">
        <w:rPr>
          <w:noProof/>
          <w:lang w:val="en-US"/>
        </w:rPr>
        <w:t>8</w:t>
      </w:r>
      <w:r w:rsidR="003168FB" w:rsidRPr="004D3031">
        <w:rPr>
          <w:lang w:val="en-US"/>
        </w:rPr>
        <w:fldChar w:fldCharType="end"/>
      </w:r>
      <w:r w:rsidR="003168FB" w:rsidRPr="004D3031">
        <w:rPr>
          <w:lang w:val="en-US"/>
        </w:rPr>
        <w:t xml:space="preserve"> </w:t>
      </w:r>
      <w:r w:rsidR="00244160" w:rsidRPr="004D3031">
        <w:rPr>
          <w:lang w:val="en-US"/>
        </w:rPr>
        <w:t xml:space="preserve">below </w:t>
      </w:r>
      <w:r w:rsidR="00AA6126" w:rsidRPr="004D3031">
        <w:rPr>
          <w:lang w:val="en-US"/>
        </w:rPr>
        <w:t xml:space="preserve">shows the development </w:t>
      </w:r>
      <w:r w:rsidR="00181532" w:rsidRPr="004D3031">
        <w:rPr>
          <w:lang w:val="en-US"/>
        </w:rPr>
        <w:t>of</w:t>
      </w:r>
      <w:r w:rsidR="00AA6126" w:rsidRPr="004D3031">
        <w:rPr>
          <w:lang w:val="en-US"/>
        </w:rPr>
        <w:t xml:space="preserve"> COVID-19-deaths from a simple SEIR-model</w:t>
      </w:r>
      <w:r w:rsidR="00462BBF" w:rsidRPr="004D3031">
        <w:rPr>
          <w:lang w:val="en-US"/>
        </w:rPr>
        <w:t xml:space="preserve"> which is deterministic and assumes that </w:t>
      </w:r>
      <w:r w:rsidR="00B847D0" w:rsidRPr="004D3031">
        <w:rPr>
          <w:lang w:val="en-US"/>
        </w:rPr>
        <w:t>0.5% of all infected</w:t>
      </w:r>
      <w:r w:rsidR="00181532" w:rsidRPr="004D3031">
        <w:rPr>
          <w:lang w:val="en-US"/>
        </w:rPr>
        <w:t xml:space="preserve"> individuals</w:t>
      </w:r>
      <w:r w:rsidR="00B847D0" w:rsidRPr="004D3031">
        <w:rPr>
          <w:lang w:val="en-US"/>
        </w:rPr>
        <w:t xml:space="preserve"> die every day compared to the same model where the risk of death is probabilistic</w:t>
      </w:r>
      <w:r w:rsidR="00E95486" w:rsidRPr="004D3031">
        <w:rPr>
          <w:lang w:val="en-US"/>
        </w:rPr>
        <w:t>.</w:t>
      </w:r>
      <w:bookmarkStart w:id="82" w:name="_Ref135833088"/>
      <w:r w:rsidR="00E622FC" w:rsidRPr="004D3031">
        <w:rPr>
          <w:rStyle w:val="FootnoteReference"/>
          <w:lang w:val="en-US"/>
        </w:rPr>
        <w:footnoteReference w:id="13"/>
      </w:r>
      <w:bookmarkEnd w:id="82"/>
      <w:r w:rsidR="00AA6126" w:rsidRPr="004D3031">
        <w:rPr>
          <w:lang w:val="en-US"/>
        </w:rPr>
        <w:t xml:space="preserve"> </w:t>
      </w:r>
      <w:r w:rsidR="00EF6629" w:rsidRPr="004D3031">
        <w:rPr>
          <w:lang w:val="en-US"/>
        </w:rPr>
        <w:fldChar w:fldCharType="begin"/>
      </w:r>
      <w:r w:rsidR="00EF6629" w:rsidRPr="004D3031">
        <w:rPr>
          <w:lang w:val="en-US"/>
        </w:rPr>
        <w:instrText xml:space="preserve"> REF _Ref135830104 \h </w:instrText>
      </w:r>
      <w:r w:rsidR="00EF6629" w:rsidRPr="004D3031">
        <w:rPr>
          <w:lang w:val="en-US"/>
        </w:rPr>
      </w:r>
      <w:r w:rsidR="00EF6629" w:rsidRPr="004D3031">
        <w:rPr>
          <w:lang w:val="en-US"/>
        </w:rPr>
        <w:fldChar w:fldCharType="separate"/>
      </w:r>
      <w:r w:rsidR="0041377D" w:rsidRPr="004D3031">
        <w:rPr>
          <w:lang w:val="en-US"/>
        </w:rPr>
        <w:t xml:space="preserve">Figure </w:t>
      </w:r>
      <w:r w:rsidR="0041377D" w:rsidRPr="004D3031">
        <w:rPr>
          <w:noProof/>
          <w:lang w:val="en-US"/>
        </w:rPr>
        <w:t>8</w:t>
      </w:r>
      <w:r w:rsidR="00EF6629" w:rsidRPr="004D3031">
        <w:rPr>
          <w:lang w:val="en-US"/>
        </w:rPr>
        <w:fldChar w:fldCharType="end"/>
      </w:r>
      <w:r w:rsidR="00EF6629" w:rsidRPr="004D3031">
        <w:rPr>
          <w:lang w:val="en-US"/>
        </w:rPr>
        <w:t xml:space="preserve"> illustrate</w:t>
      </w:r>
      <w:r w:rsidR="00181532" w:rsidRPr="004D3031">
        <w:rPr>
          <w:lang w:val="en-US"/>
        </w:rPr>
        <w:t>s</w:t>
      </w:r>
      <w:r w:rsidR="00EF6629" w:rsidRPr="004D3031">
        <w:rPr>
          <w:lang w:val="en-US"/>
        </w:rPr>
        <w:t xml:space="preserve"> that in this case, where the reproduction rate is </w:t>
      </w:r>
      <w:r w:rsidR="00D40276" w:rsidRPr="004D3031">
        <w:rPr>
          <w:lang w:val="en-US"/>
        </w:rPr>
        <w:t>2</w:t>
      </w:r>
      <w:r w:rsidR="00181532" w:rsidRPr="004D3031">
        <w:rPr>
          <w:lang w:val="en-US"/>
        </w:rPr>
        <w:t>.</w:t>
      </w:r>
      <w:r w:rsidR="00D40276" w:rsidRPr="004D3031">
        <w:rPr>
          <w:lang w:val="en-US"/>
        </w:rPr>
        <w:t xml:space="preserve">584 </w:t>
      </w:r>
      <w:r w:rsidR="00471350" w:rsidRPr="004D3031">
        <w:rPr>
          <w:lang w:val="en-US"/>
        </w:rPr>
        <w:t xml:space="preserve">before </w:t>
      </w:r>
      <w:r w:rsidR="00181532" w:rsidRPr="004D3031">
        <w:rPr>
          <w:lang w:val="en-US"/>
        </w:rPr>
        <w:t xml:space="preserve">the </w:t>
      </w:r>
      <w:r w:rsidR="00471350" w:rsidRPr="004D3031">
        <w:rPr>
          <w:lang w:val="en-US"/>
        </w:rPr>
        <w:t xml:space="preserve">lockdown and </w:t>
      </w:r>
      <w:r w:rsidR="00D40276" w:rsidRPr="004D3031">
        <w:rPr>
          <w:lang w:val="en-US"/>
        </w:rPr>
        <w:t>0</w:t>
      </w:r>
      <w:r w:rsidR="00181532" w:rsidRPr="004D3031">
        <w:rPr>
          <w:lang w:val="en-US"/>
        </w:rPr>
        <w:t>.</w:t>
      </w:r>
      <w:r w:rsidR="00D40276" w:rsidRPr="004D3031">
        <w:rPr>
          <w:lang w:val="en-US"/>
        </w:rPr>
        <w:t xml:space="preserve">704 </w:t>
      </w:r>
      <w:r w:rsidR="00471350" w:rsidRPr="004D3031">
        <w:rPr>
          <w:lang w:val="en-US"/>
        </w:rPr>
        <w:t>after</w:t>
      </w:r>
      <w:r w:rsidR="00CF2642" w:rsidRPr="004D3031">
        <w:rPr>
          <w:lang w:val="en-US"/>
        </w:rPr>
        <w:t>,</w:t>
      </w:r>
      <w:r w:rsidR="00D40276" w:rsidRPr="004D3031">
        <w:rPr>
          <w:lang w:val="en-US"/>
        </w:rPr>
        <w:t xml:space="preserve"> the effect of the lockdown is </w:t>
      </w:r>
      <w:r w:rsidR="00961814" w:rsidRPr="004D3031">
        <w:rPr>
          <w:lang w:val="en-US"/>
        </w:rPr>
        <w:t xml:space="preserve">hardly </w:t>
      </w:r>
      <w:r w:rsidR="00D40276" w:rsidRPr="004D3031">
        <w:rPr>
          <w:lang w:val="en-US"/>
        </w:rPr>
        <w:t xml:space="preserve">visible </w:t>
      </w:r>
      <w:r w:rsidR="00961814" w:rsidRPr="004D3031">
        <w:rPr>
          <w:lang w:val="en-US"/>
        </w:rPr>
        <w:t xml:space="preserve">in the cumulative number of deaths </w:t>
      </w:r>
      <w:r w:rsidR="00EC2F60" w:rsidRPr="004D3031">
        <w:rPr>
          <w:lang w:val="en-US"/>
        </w:rPr>
        <w:t>before day 14</w:t>
      </w:r>
      <w:r w:rsidR="00996F87" w:rsidRPr="004D3031">
        <w:rPr>
          <w:lang w:val="en-US"/>
        </w:rPr>
        <w:t>-16</w:t>
      </w:r>
      <w:r w:rsidR="00EC2F60" w:rsidRPr="004D3031">
        <w:rPr>
          <w:lang w:val="en-US"/>
        </w:rPr>
        <w:t xml:space="preserve"> after </w:t>
      </w:r>
      <w:r w:rsidR="00996F87" w:rsidRPr="004D3031">
        <w:rPr>
          <w:lang w:val="en-US"/>
        </w:rPr>
        <w:t xml:space="preserve">the (effective) </w:t>
      </w:r>
      <w:r w:rsidR="00EC2F60" w:rsidRPr="004D3031">
        <w:rPr>
          <w:lang w:val="en-US"/>
        </w:rPr>
        <w:t>lockdown.</w:t>
      </w:r>
    </w:p>
    <w:p w14:paraId="5581A05F" w14:textId="526C28B2" w:rsidR="003168FB" w:rsidRPr="004D3031" w:rsidRDefault="003168FB" w:rsidP="003168FB">
      <w:pPr>
        <w:pStyle w:val="Caption"/>
      </w:pPr>
      <w:bookmarkStart w:id="83" w:name="_Ref135830104"/>
      <w:bookmarkStart w:id="84" w:name="_Ref135830114"/>
      <w:r w:rsidRPr="004D3031">
        <w:lastRenderedPageBreak/>
        <w:t xml:space="preserve">Figure </w:t>
      </w:r>
      <w:r w:rsidRPr="004D3031">
        <w:fldChar w:fldCharType="begin"/>
      </w:r>
      <w:r w:rsidRPr="004D3031">
        <w:instrText xml:space="preserve"> SEQ Figure \* ARABIC </w:instrText>
      </w:r>
      <w:r w:rsidRPr="004D3031">
        <w:fldChar w:fldCharType="separate"/>
      </w:r>
      <w:r w:rsidR="0041377D" w:rsidRPr="004D3031">
        <w:rPr>
          <w:noProof/>
        </w:rPr>
        <w:t>8</w:t>
      </w:r>
      <w:r w:rsidRPr="004D3031">
        <w:rPr>
          <w:noProof/>
        </w:rPr>
        <w:fldChar w:fldCharType="end"/>
      </w:r>
      <w:bookmarkEnd w:id="83"/>
      <w:r w:rsidRPr="004D3031">
        <w:t xml:space="preserve"> Fatal disease duration distribution from infection to death</w:t>
      </w:r>
      <w:bookmarkEnd w:id="84"/>
    </w:p>
    <w:tbl>
      <w:tblPr>
        <w:tblStyle w:val="TableGrid"/>
        <w:tblW w:w="0" w:type="auto"/>
        <w:tblInd w:w="5" w:type="dxa"/>
        <w:tblCellMar>
          <w:left w:w="70" w:type="dxa"/>
          <w:right w:w="70" w:type="dxa"/>
        </w:tblCellMar>
        <w:tblLook w:val="04A0" w:firstRow="1" w:lastRow="0" w:firstColumn="1" w:lastColumn="0" w:noHBand="0" w:noVBand="1"/>
      </w:tblPr>
      <w:tblGrid>
        <w:gridCol w:w="4531"/>
        <w:gridCol w:w="4531"/>
      </w:tblGrid>
      <w:tr w:rsidR="00197A9E" w:rsidRPr="004D3031" w14:paraId="690E37FE" w14:textId="77777777" w:rsidTr="00F102E0">
        <w:tc>
          <w:tcPr>
            <w:tcW w:w="4531" w:type="dxa"/>
            <w:tcBorders>
              <w:top w:val="nil"/>
              <w:left w:val="nil"/>
              <w:bottom w:val="nil"/>
              <w:right w:val="nil"/>
            </w:tcBorders>
          </w:tcPr>
          <w:p w14:paraId="1F6700DC" w14:textId="6C34DC8C" w:rsidR="00E12B3C" w:rsidRPr="004D3031" w:rsidRDefault="00E12B3C" w:rsidP="008C407A">
            <w:pPr>
              <w:pStyle w:val="Tabeltekst"/>
              <w:rPr>
                <w:lang w:val="en-US"/>
              </w:rPr>
            </w:pPr>
            <w:r w:rsidRPr="004D3031">
              <w:rPr>
                <w:lang w:val="en-US"/>
              </w:rPr>
              <w:t>Panel A: Deterministic deaths</w:t>
            </w:r>
          </w:p>
          <w:p w14:paraId="33C50390" w14:textId="687303D5" w:rsidR="00197A9E" w:rsidRPr="004D3031" w:rsidRDefault="00197A9E" w:rsidP="008C407A">
            <w:pPr>
              <w:pStyle w:val="Tabeltekst"/>
              <w:rPr>
                <w:lang w:val="en-US"/>
              </w:rPr>
            </w:pPr>
            <w:r w:rsidRPr="004D3031">
              <w:rPr>
                <w:noProof/>
                <w:lang w:val="en-US"/>
              </w:rPr>
              <w:drawing>
                <wp:inline distT="0" distB="0" distL="0" distR="0" wp14:anchorId="5BE4CD05" wp14:editId="411C0FE2">
                  <wp:extent cx="2780953" cy="2886075"/>
                  <wp:effectExtent l="0" t="0" r="635" b="0"/>
                  <wp:docPr id="146939842"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939842" name="Graphic 1"/>
                          <pic:cNvPicPr/>
                        </pic:nvPicPr>
                        <pic:blipFill>
                          <a:blip r:embed="rId20">
                            <a:extLst>
                              <a:ext uri="{28A0092B-C50C-407E-A947-70E740481C1C}">
                                <a14:useLocalDpi xmlns:a14="http://schemas.microsoft.com/office/drawing/2010/main" val="0"/>
                              </a:ext>
                              <a:ext uri="{96DAC541-7B7A-43D3-8B79-37D633B846F1}">
                                <asvg:svgBlip xmlns:asvg="http://schemas.microsoft.com/office/drawing/2016/SVG/main" r:embed="rId21"/>
                              </a:ext>
                            </a:extLst>
                          </a:blip>
                          <a:stretch>
                            <a:fillRect/>
                          </a:stretch>
                        </pic:blipFill>
                        <pic:spPr>
                          <a:xfrm>
                            <a:off x="0" y="0"/>
                            <a:ext cx="2780953" cy="2886075"/>
                          </a:xfrm>
                          <a:prstGeom prst="rect">
                            <a:avLst/>
                          </a:prstGeom>
                        </pic:spPr>
                      </pic:pic>
                    </a:graphicData>
                  </a:graphic>
                </wp:inline>
              </w:drawing>
            </w:r>
          </w:p>
        </w:tc>
        <w:tc>
          <w:tcPr>
            <w:tcW w:w="4531" w:type="dxa"/>
            <w:tcBorders>
              <w:top w:val="nil"/>
              <w:left w:val="nil"/>
              <w:bottom w:val="nil"/>
              <w:right w:val="nil"/>
            </w:tcBorders>
          </w:tcPr>
          <w:p w14:paraId="31B048A2" w14:textId="77777777" w:rsidR="00197A9E" w:rsidRPr="004D3031" w:rsidRDefault="00E12B3C" w:rsidP="008C407A">
            <w:pPr>
              <w:pStyle w:val="Tabeltekst"/>
              <w:rPr>
                <w:lang w:val="en-US"/>
              </w:rPr>
            </w:pPr>
            <w:r w:rsidRPr="004D3031">
              <w:rPr>
                <w:lang w:val="en-US"/>
              </w:rPr>
              <w:t>Panel B: Probabilistic deaths</w:t>
            </w:r>
          </w:p>
          <w:p w14:paraId="282686CD" w14:textId="5BC8206C" w:rsidR="00F102E0" w:rsidRPr="004D3031" w:rsidRDefault="00F102E0" w:rsidP="008C407A">
            <w:pPr>
              <w:pStyle w:val="Tabeltekst"/>
              <w:rPr>
                <w:lang w:val="en-US"/>
              </w:rPr>
            </w:pPr>
            <w:r w:rsidRPr="004D3031">
              <w:rPr>
                <w:noProof/>
                <w:lang w:val="en-US"/>
              </w:rPr>
              <w:drawing>
                <wp:inline distT="0" distB="0" distL="0" distR="0" wp14:anchorId="2790C3AD" wp14:editId="4D8E7564">
                  <wp:extent cx="2780953" cy="2886075"/>
                  <wp:effectExtent l="0" t="0" r="635" b="0"/>
                  <wp:docPr id="1825830266"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5830266" name="Graphic 1"/>
                          <pic:cNvPicPr/>
                        </pic:nvPicPr>
                        <pic:blipFill>
                          <a:blip r:embed="rId22">
                            <a:extLst>
                              <a:ext uri="{28A0092B-C50C-407E-A947-70E740481C1C}">
                                <a14:useLocalDpi xmlns:a14="http://schemas.microsoft.com/office/drawing/2010/main" val="0"/>
                              </a:ext>
                              <a:ext uri="{96DAC541-7B7A-43D3-8B79-37D633B846F1}">
                                <asvg:svgBlip xmlns:asvg="http://schemas.microsoft.com/office/drawing/2016/SVG/main" r:embed="rId23"/>
                              </a:ext>
                            </a:extLst>
                          </a:blip>
                          <a:stretch>
                            <a:fillRect/>
                          </a:stretch>
                        </pic:blipFill>
                        <pic:spPr>
                          <a:xfrm>
                            <a:off x="0" y="0"/>
                            <a:ext cx="2780953" cy="2886075"/>
                          </a:xfrm>
                          <a:prstGeom prst="rect">
                            <a:avLst/>
                          </a:prstGeom>
                        </pic:spPr>
                      </pic:pic>
                    </a:graphicData>
                  </a:graphic>
                </wp:inline>
              </w:drawing>
            </w:r>
          </w:p>
        </w:tc>
      </w:tr>
    </w:tbl>
    <w:p w14:paraId="597F72F7" w14:textId="7D745229" w:rsidR="00C446FF" w:rsidRPr="004D3031" w:rsidRDefault="00C446FF" w:rsidP="008C407A">
      <w:pPr>
        <w:pStyle w:val="Undertekstfigur"/>
      </w:pPr>
      <w:r w:rsidRPr="004D3031">
        <w:t>Note: The model show</w:t>
      </w:r>
      <w:r w:rsidR="00181532" w:rsidRPr="004D3031">
        <w:t>s</w:t>
      </w:r>
      <w:r w:rsidRPr="004D3031">
        <w:t xml:space="preserve"> the development in deaths in Sweden if a lockdown had reduced the reproduction rate, R</w:t>
      </w:r>
      <w:r w:rsidRPr="004D3031">
        <w:rPr>
          <w:vertAlign w:val="subscript"/>
        </w:rPr>
        <w:t>t</w:t>
      </w:r>
      <w:r w:rsidRPr="004D3031">
        <w:t xml:space="preserve">, from 2.584 to 0.704 at the day where 800 people were infected and 1-2 persons had died. </w:t>
      </w:r>
      <w:r w:rsidRPr="004D3031">
        <w:rPr>
          <w:sz w:val="22"/>
          <w:szCs w:val="22"/>
        </w:rPr>
        <w:t xml:space="preserve">The values of </w:t>
      </w:r>
      <w:r w:rsidRPr="004D3031">
        <w:t>R</w:t>
      </w:r>
      <w:r w:rsidRPr="004D3031">
        <w:rPr>
          <w:vertAlign w:val="subscript"/>
        </w:rPr>
        <w:t>t</w:t>
      </w:r>
      <w:r w:rsidRPr="004D3031">
        <w:t xml:space="preserve"> </w:t>
      </w:r>
      <w:r w:rsidRPr="004D3031">
        <w:rPr>
          <w:sz w:val="22"/>
          <w:szCs w:val="22"/>
        </w:rPr>
        <w:t xml:space="preserve">corresponds to the values for Sweden derived from “Extended Data Fig. 1” in </w:t>
      </w:r>
      <w:r w:rsidRPr="004D3031">
        <w:rPr>
          <w:sz w:val="22"/>
          <w:szCs w:val="22"/>
        </w:rPr>
        <w:fldChar w:fldCharType="begin"/>
      </w:r>
      <w:r w:rsidR="00BE2E7B">
        <w:rPr>
          <w:sz w:val="22"/>
          <w:szCs w:val="22"/>
        </w:rPr>
        <w:instrText xml:space="preserve"> ADDIN ZOTERO_ITEM CSL_CITATION {"citationID":"79ydBR70","properties":{"formattedCitation":"Flaxman et al. (2020)","plainCitation":"Flaxman et al. (2020)","noteIndex":0},"citationItems":[{"id":4353,"uris":["http://zotero.org/groups/2170464/items/CJQB4NGW"],"itemData":{"id":4353,"type":"article-journal","container-title":"Nature","DOI":"10.1038/s41586-020-2405-7","ISSN":"0028-0836, 1476-4687","issue":"7820","journalAbbreviation":"Nature","language":"en","note":"number: 7820","page":"257-261","source":"DOI.org (Crossref)","title":"Estimating the effects of non-pharmaceutical interventions on COVID-19 in Europe","volume":"584","author":[{"family":"Flaxman","given":"Seth"},{"family":"Mishra","given":"Swapnil"},{"family":"Gandy","given":"Axel"},{"family":"Unwin","given":"H. Juliette T."},{"family":"Mellan","given":"Thomas A."},{"family":"Coupland","given":"Helen"},{"family":"Whittaker","given":"Charles"},{"family":"Zhu","given":"Harrison"},{"family":"Berah","given":"Tresnia"},{"family":"Eaton","given":"Jeffrey W."},{"family":"Monod","given":"Mélodie"},{"family":"Ghani","given":"Azra C."},{"family":"Donnelly","given":"Christl A."},{"family":"Riley","given":"Steven"},{"family":"Vollmer","given":"Michaela A. C."},{"family":"Ferguson","given":"Neil M."},{"family":"Okell","given":"Lucy C."},{"family":"Bhatt","given":"Samir"}],"issued":{"date-parts":[["2020",6,8]]}}}],"schema":"https://github.com/citation-style-language/schema/raw/master/csl-citation.json"} </w:instrText>
      </w:r>
      <w:r w:rsidRPr="004D3031">
        <w:rPr>
          <w:sz w:val="22"/>
          <w:szCs w:val="22"/>
        </w:rPr>
        <w:fldChar w:fldCharType="separate"/>
      </w:r>
      <w:r w:rsidR="00BE2E7B" w:rsidRPr="00BE2E7B">
        <w:rPr>
          <w:rFonts w:cs="Calibri"/>
          <w:sz w:val="22"/>
        </w:rPr>
        <w:t>Flaxman et al. (2020)</w:t>
      </w:r>
      <w:r w:rsidRPr="004D3031">
        <w:rPr>
          <w:sz w:val="22"/>
          <w:szCs w:val="22"/>
        </w:rPr>
        <w:fldChar w:fldCharType="end"/>
      </w:r>
      <w:r w:rsidRPr="004D3031">
        <w:rPr>
          <w:sz w:val="22"/>
          <w:szCs w:val="22"/>
        </w:rPr>
        <w:t xml:space="preserve"> (</w:t>
      </w:r>
      <w:r w:rsidR="0053752E" w:rsidRPr="004D3031">
        <w:rPr>
          <w:sz w:val="22"/>
          <w:szCs w:val="22"/>
        </w:rPr>
        <w:t>Flaxman et al.</w:t>
      </w:r>
      <w:r w:rsidRPr="004D3031">
        <w:rPr>
          <w:sz w:val="22"/>
          <w:szCs w:val="22"/>
        </w:rPr>
        <w:t xml:space="preserve"> estimate R</w:t>
      </w:r>
      <w:r w:rsidRPr="004D3031">
        <w:rPr>
          <w:sz w:val="22"/>
          <w:szCs w:val="22"/>
          <w:vertAlign w:val="subscript"/>
        </w:rPr>
        <w:t>t</w:t>
      </w:r>
      <w:r w:rsidRPr="004D3031">
        <w:rPr>
          <w:sz w:val="22"/>
          <w:szCs w:val="22"/>
        </w:rPr>
        <w:t xml:space="preserve"> to 2.584 before public events were banned and 0.704 after the ban).</w:t>
      </w:r>
    </w:p>
    <w:p w14:paraId="6E52C31C" w14:textId="77777777" w:rsidR="00996F87" w:rsidRPr="004D3031" w:rsidRDefault="00996F87" w:rsidP="00726146">
      <w:pPr>
        <w:rPr>
          <w:lang w:val="en-US"/>
        </w:rPr>
      </w:pPr>
    </w:p>
    <w:p w14:paraId="1543C8ED" w14:textId="015797EB" w:rsidR="00726146" w:rsidRPr="004D3031" w:rsidRDefault="008203DA" w:rsidP="00726146">
      <w:pPr>
        <w:rPr>
          <w:lang w:val="en-US"/>
        </w:rPr>
      </w:pPr>
      <w:r w:rsidRPr="004D3031">
        <w:rPr>
          <w:lang w:val="en-US"/>
        </w:rPr>
        <w:t>A</w:t>
      </w:r>
      <w:r w:rsidR="00FD0D8C" w:rsidRPr="004D3031">
        <w:rPr>
          <w:lang w:val="en-US"/>
        </w:rPr>
        <w:t xml:space="preserve">s </w:t>
      </w:r>
      <w:r w:rsidR="00726146" w:rsidRPr="004D3031">
        <w:rPr>
          <w:lang w:val="en-US"/>
        </w:rPr>
        <w:fldChar w:fldCharType="begin"/>
      </w:r>
      <w:r w:rsidR="00BE2E7B">
        <w:rPr>
          <w:lang w:val="en-US"/>
        </w:rPr>
        <w:instrText xml:space="preserve"> ADDIN ZOTERO_ITEM CSL_CITATION {"citationID":"WxzHBGm6","properties":{"formattedCitation":"Wood (2022)","plainCitation":"Wood (2022)","noteIndex":0},"citationItems":[{"id":4486,"uris":["http://zotero.org/groups/2170464/items/UF3BVFLH"],"itemData":{"id":4486,"type":"article-journal","abstract":"The number of new infections per day is a key quantity for effective epidemic management. It can be estimated relatively directly by testing of random population samples. Without such direct epidemiological measurement, other approaches are required to infer whether the number of new cases is likely to be increasing or decreasing: for example, estimating the pathogen-effective reproduction number, R, using data gathered from the clinical response to the disease. For coronavirus disease 2019 (Covid-19/SARS-Cov-2), such R estimation is heavily dependent on modelling assumptions, because the available clinical case data are opportunistic observational data subject to severe temporal confounding. Given this difficulty, it is useful to retrospectively reconstruct the time course of infections from the least compromised available data, using minimal prior assumptions. A Bayesian inverse problem approach applied to UK data on first-wave Covid-19 deaths and the disease duration distribution suggests that fatal infections were in decline before full UK lockdown (24 March 2020), and that fatal infections in Sweden started to decline only a day or two later. An analysis of UK data using the model of Flaxman et al. gives the same result under relaxation of its prior assumptions on R, suggesting an enhanced role for non-pharmaceutical interventions short of full lockdown in the UK context. Similar patterns appear to have occurred in the subsequent two lockdowns.","container-title":"Biometrics","DOI":"10.1111/biom.13462","ISSN":"1541-0420","issue":"3","language":"en","note":"_eprint: https://onlinelibrary.wiley.com/doi/pdf/10.1111/biom.13462","page":"1127-1140","source":"Wiley Online Library","title":"Inferring UK COVID-19 fatal infection trajectories from daily mortality data: Were infections already in decline before the UK lockdowns?","title-short":"Inferring UK COVID-19 fatal infection trajectories from daily mortality data","volume":"78","author":[{"family":"Wood","given":"Simon N."}],"issued":{"date-parts":[["2022"]]}}}],"schema":"https://github.com/citation-style-language/schema/raw/master/csl-citation.json"} </w:instrText>
      </w:r>
      <w:r w:rsidR="00726146" w:rsidRPr="004D3031">
        <w:rPr>
          <w:lang w:val="en-US"/>
        </w:rPr>
        <w:fldChar w:fldCharType="separate"/>
      </w:r>
      <w:r w:rsidR="00BE2E7B" w:rsidRPr="00BE2E7B">
        <w:rPr>
          <w:rFonts w:cs="Calibri"/>
          <w:lang w:val="en-US"/>
        </w:rPr>
        <w:t>Wood (2022)</w:t>
      </w:r>
      <w:r w:rsidR="00726146" w:rsidRPr="004D3031">
        <w:rPr>
          <w:lang w:val="en-US"/>
        </w:rPr>
        <w:fldChar w:fldCharType="end"/>
      </w:r>
      <w:r w:rsidRPr="004D3031">
        <w:rPr>
          <w:lang w:val="en-US"/>
        </w:rPr>
        <w:t xml:space="preserve"> illustrate</w:t>
      </w:r>
      <w:r w:rsidR="00181532" w:rsidRPr="004D3031">
        <w:rPr>
          <w:lang w:val="en-US"/>
        </w:rPr>
        <w:t>s,</w:t>
      </w:r>
      <w:r w:rsidR="00820EC0" w:rsidRPr="004D3031">
        <w:rPr>
          <w:rStyle w:val="FootnoteReference"/>
          <w:lang w:val="en-US"/>
        </w:rPr>
        <w:footnoteReference w:id="14"/>
      </w:r>
      <w:r w:rsidR="00726146" w:rsidRPr="004D3031">
        <w:rPr>
          <w:lang w:val="en-US"/>
        </w:rPr>
        <w:t xml:space="preserve"> </w:t>
      </w:r>
      <w:r w:rsidRPr="004D3031">
        <w:rPr>
          <w:lang w:val="en-US"/>
        </w:rPr>
        <w:t>R</w:t>
      </w:r>
      <w:r w:rsidRPr="004D3031">
        <w:rPr>
          <w:vertAlign w:val="subscript"/>
          <w:lang w:val="en-US"/>
        </w:rPr>
        <w:t>t</w:t>
      </w:r>
      <w:r w:rsidRPr="004D3031">
        <w:rPr>
          <w:lang w:val="en-US"/>
        </w:rPr>
        <w:t xml:space="preserve"> changed </w:t>
      </w:r>
      <w:r w:rsidR="001B13EE" w:rsidRPr="004D3031">
        <w:rPr>
          <w:lang w:val="en-US"/>
        </w:rPr>
        <w:t xml:space="preserve">gradually </w:t>
      </w:r>
      <w:r w:rsidR="008D09CD" w:rsidRPr="004D3031">
        <w:rPr>
          <w:lang w:val="en-US"/>
        </w:rPr>
        <w:t xml:space="preserve">as governments </w:t>
      </w:r>
      <w:r w:rsidR="00171024" w:rsidRPr="004D3031">
        <w:rPr>
          <w:lang w:val="en-US"/>
        </w:rPr>
        <w:t xml:space="preserve">informed the public and advised people </w:t>
      </w:r>
      <w:r w:rsidR="00181532" w:rsidRPr="004D3031">
        <w:rPr>
          <w:lang w:val="en-US"/>
        </w:rPr>
        <w:t>t</w:t>
      </w:r>
      <w:r w:rsidR="00171024" w:rsidRPr="004D3031">
        <w:rPr>
          <w:lang w:val="en-US"/>
        </w:rPr>
        <w:t xml:space="preserve">o </w:t>
      </w:r>
      <w:r w:rsidR="00181532" w:rsidRPr="004D3031">
        <w:rPr>
          <w:lang w:val="en-US"/>
        </w:rPr>
        <w:t>self-isolate</w:t>
      </w:r>
      <w:r w:rsidR="00171024" w:rsidRPr="004D3031">
        <w:rPr>
          <w:lang w:val="en-US"/>
        </w:rPr>
        <w:t xml:space="preserve"> and work from home.</w:t>
      </w:r>
      <w:r w:rsidR="00B0527F" w:rsidRPr="004D3031">
        <w:rPr>
          <w:lang w:val="en-US"/>
        </w:rPr>
        <w:t xml:space="preserve"> </w:t>
      </w:r>
      <w:r w:rsidR="000A66AF" w:rsidRPr="004D3031">
        <w:rPr>
          <w:lang w:val="en-US"/>
        </w:rPr>
        <w:fldChar w:fldCharType="begin"/>
      </w:r>
      <w:r w:rsidR="000A66AF" w:rsidRPr="004D3031">
        <w:rPr>
          <w:lang w:val="en-US"/>
        </w:rPr>
        <w:instrText xml:space="preserve"> REF _Ref135833563 \h </w:instrText>
      </w:r>
      <w:r w:rsidR="000A66AF" w:rsidRPr="004D3031">
        <w:rPr>
          <w:lang w:val="en-US"/>
        </w:rPr>
      </w:r>
      <w:r w:rsidR="000A66AF" w:rsidRPr="004D3031">
        <w:rPr>
          <w:lang w:val="en-US"/>
        </w:rPr>
        <w:fldChar w:fldCharType="separate"/>
      </w:r>
      <w:r w:rsidR="0041377D" w:rsidRPr="004D3031">
        <w:rPr>
          <w:lang w:val="en-US"/>
        </w:rPr>
        <w:t xml:space="preserve">Figure </w:t>
      </w:r>
      <w:r w:rsidR="0041377D" w:rsidRPr="004D3031">
        <w:rPr>
          <w:noProof/>
          <w:lang w:val="en-US"/>
        </w:rPr>
        <w:t>9</w:t>
      </w:r>
      <w:r w:rsidR="000A66AF" w:rsidRPr="004D3031">
        <w:rPr>
          <w:lang w:val="en-US"/>
        </w:rPr>
        <w:fldChar w:fldCharType="end"/>
      </w:r>
      <w:r w:rsidR="000A66AF" w:rsidRPr="004D3031">
        <w:rPr>
          <w:lang w:val="en-US"/>
        </w:rPr>
        <w:t xml:space="preserve"> below illustrates the importance of this insight </w:t>
      </w:r>
      <w:r w:rsidR="00142D63" w:rsidRPr="004D3031">
        <w:rPr>
          <w:lang w:val="en-US"/>
        </w:rPr>
        <w:t xml:space="preserve">for when the effect of a lockdown is visible in cumulative COVID-19 deaths. The figure </w:t>
      </w:r>
      <w:r w:rsidR="00D03113" w:rsidRPr="004D3031">
        <w:rPr>
          <w:lang w:val="en-US"/>
        </w:rPr>
        <w:t xml:space="preserve">shows the relative difference (deaths </w:t>
      </w:r>
      <w:r w:rsidR="00F330A8" w:rsidRPr="004D3031">
        <w:rPr>
          <w:lang w:val="en-US"/>
        </w:rPr>
        <w:t>with lockdown relative to deaths without lockdown) for different values of R</w:t>
      </w:r>
      <w:r w:rsidR="00F330A8" w:rsidRPr="004D3031">
        <w:rPr>
          <w:vertAlign w:val="subscript"/>
          <w:lang w:val="en-US"/>
        </w:rPr>
        <w:t>t</w:t>
      </w:r>
      <w:r w:rsidR="00F330A8" w:rsidRPr="004D3031">
        <w:rPr>
          <w:lang w:val="en-US"/>
        </w:rPr>
        <w:t xml:space="preserve"> before lockdown brings R</w:t>
      </w:r>
      <w:r w:rsidR="00F330A8" w:rsidRPr="004D3031">
        <w:rPr>
          <w:vertAlign w:val="subscript"/>
          <w:lang w:val="en-US"/>
        </w:rPr>
        <w:t>t</w:t>
      </w:r>
      <w:r w:rsidR="00F330A8" w:rsidRPr="004D3031">
        <w:rPr>
          <w:lang w:val="en-US"/>
        </w:rPr>
        <w:t xml:space="preserve"> down to </w:t>
      </w:r>
      <w:r w:rsidR="00584AFD" w:rsidRPr="004D3031">
        <w:rPr>
          <w:lang w:val="en-US"/>
        </w:rPr>
        <w:t xml:space="preserve">0.704. </w:t>
      </w:r>
      <w:r w:rsidR="00EE0BC1" w:rsidRPr="004D3031">
        <w:rPr>
          <w:lang w:val="en-US"/>
        </w:rPr>
        <w:t>The figure shows that i</w:t>
      </w:r>
      <w:r w:rsidR="00CF6101" w:rsidRPr="004D3031">
        <w:rPr>
          <w:lang w:val="en-US"/>
        </w:rPr>
        <w:t>f R</w:t>
      </w:r>
      <w:r w:rsidR="00CF6101" w:rsidRPr="004D3031">
        <w:rPr>
          <w:vertAlign w:val="subscript"/>
          <w:lang w:val="en-US"/>
        </w:rPr>
        <w:t>t</w:t>
      </w:r>
      <w:r w:rsidR="00CF6101" w:rsidRPr="004D3031">
        <w:rPr>
          <w:lang w:val="en-US"/>
        </w:rPr>
        <w:t xml:space="preserve"> = 1.5 before </w:t>
      </w:r>
      <w:r w:rsidR="005E6F35" w:rsidRPr="004D3031">
        <w:rPr>
          <w:lang w:val="en-US"/>
        </w:rPr>
        <w:t xml:space="preserve">a </w:t>
      </w:r>
      <w:r w:rsidR="00CF6101" w:rsidRPr="004D3031">
        <w:rPr>
          <w:lang w:val="en-US"/>
        </w:rPr>
        <w:t xml:space="preserve">lockdown, the difference in cumulative deaths </w:t>
      </w:r>
      <w:r w:rsidR="00252BDC" w:rsidRPr="004D3031">
        <w:rPr>
          <w:lang w:val="en-US"/>
        </w:rPr>
        <w:t xml:space="preserve">with and without an effective lockdown </w:t>
      </w:r>
      <w:r w:rsidR="00EE0BC1" w:rsidRPr="004D3031">
        <w:rPr>
          <w:lang w:val="en-US"/>
        </w:rPr>
        <w:t>is only app</w:t>
      </w:r>
      <w:r w:rsidR="00252BDC" w:rsidRPr="004D3031">
        <w:rPr>
          <w:lang w:val="en-US"/>
        </w:rPr>
        <w:t xml:space="preserve">roximately </w:t>
      </w:r>
      <w:r w:rsidR="00EE0BC1" w:rsidRPr="004D3031">
        <w:rPr>
          <w:lang w:val="en-US"/>
        </w:rPr>
        <w:t xml:space="preserve">8% after </w:t>
      </w:r>
      <w:r w:rsidR="004A0701" w:rsidRPr="004D3031">
        <w:rPr>
          <w:lang w:val="en-US"/>
        </w:rPr>
        <w:t>21 days</w:t>
      </w:r>
      <w:r w:rsidR="00252BDC" w:rsidRPr="004D3031">
        <w:rPr>
          <w:lang w:val="en-US"/>
        </w:rPr>
        <w:t xml:space="preserve">. If </w:t>
      </w:r>
      <w:r w:rsidR="004A0701" w:rsidRPr="004D3031">
        <w:rPr>
          <w:lang w:val="en-US"/>
        </w:rPr>
        <w:t>R</w:t>
      </w:r>
      <w:r w:rsidR="004A0701" w:rsidRPr="004D3031">
        <w:rPr>
          <w:vertAlign w:val="subscript"/>
          <w:lang w:val="en-US"/>
        </w:rPr>
        <w:t>t</w:t>
      </w:r>
      <w:r w:rsidR="004A0701" w:rsidRPr="004D3031">
        <w:rPr>
          <w:lang w:val="en-US"/>
        </w:rPr>
        <w:t xml:space="preserve"> = 2.0 the difference after 21 days is 15%</w:t>
      </w:r>
      <w:r w:rsidR="00CB690D" w:rsidRPr="004D3031">
        <w:rPr>
          <w:lang w:val="en-US"/>
        </w:rPr>
        <w:t>, and if R</w:t>
      </w:r>
      <w:r w:rsidR="00CB690D" w:rsidRPr="004D3031">
        <w:rPr>
          <w:vertAlign w:val="subscript"/>
          <w:lang w:val="en-US"/>
        </w:rPr>
        <w:t>t</w:t>
      </w:r>
      <w:r w:rsidR="00CB690D" w:rsidRPr="004D3031">
        <w:rPr>
          <w:lang w:val="en-US"/>
        </w:rPr>
        <w:t xml:space="preserve"> = 2.584 the difference is </w:t>
      </w:r>
      <w:r w:rsidR="004468D3" w:rsidRPr="004D3031">
        <w:rPr>
          <w:lang w:val="en-US"/>
        </w:rPr>
        <w:t>32%.</w:t>
      </w:r>
    </w:p>
    <w:p w14:paraId="4B09BCD3" w14:textId="17B9C253" w:rsidR="004468D3" w:rsidRPr="004D3031" w:rsidRDefault="004468D3" w:rsidP="00726146">
      <w:pPr>
        <w:rPr>
          <w:lang w:val="en-US"/>
        </w:rPr>
      </w:pPr>
      <w:r w:rsidRPr="004D3031">
        <w:rPr>
          <w:lang w:val="en-US"/>
        </w:rPr>
        <w:t>In all cases there is virtually no difference after 12 days, and after 1</w:t>
      </w:r>
      <w:r w:rsidR="009B41B8" w:rsidRPr="004D3031">
        <w:rPr>
          <w:lang w:val="en-US"/>
        </w:rPr>
        <w:t>5</w:t>
      </w:r>
      <w:r w:rsidRPr="004D3031">
        <w:rPr>
          <w:lang w:val="en-US"/>
        </w:rPr>
        <w:t xml:space="preserve"> days the </w:t>
      </w:r>
      <w:r w:rsidR="009B41B8" w:rsidRPr="004D3031">
        <w:rPr>
          <w:lang w:val="en-US"/>
        </w:rPr>
        <w:t>difference is less than 10% in all three cases.</w:t>
      </w:r>
    </w:p>
    <w:p w14:paraId="7F162FE6" w14:textId="7282128C" w:rsidR="008203DA" w:rsidRPr="004D3031" w:rsidRDefault="008203DA" w:rsidP="008203DA">
      <w:pPr>
        <w:pStyle w:val="Caption"/>
      </w:pPr>
      <w:bookmarkStart w:id="85" w:name="_Ref135833563"/>
      <w:r w:rsidRPr="004D3031">
        <w:lastRenderedPageBreak/>
        <w:t xml:space="preserve">Figure </w:t>
      </w:r>
      <w:r w:rsidRPr="004D3031">
        <w:fldChar w:fldCharType="begin"/>
      </w:r>
      <w:r w:rsidRPr="004D3031">
        <w:instrText xml:space="preserve"> SEQ Figure \* ARABIC </w:instrText>
      </w:r>
      <w:r w:rsidRPr="004D3031">
        <w:fldChar w:fldCharType="separate"/>
      </w:r>
      <w:r w:rsidR="0041377D" w:rsidRPr="004D3031">
        <w:rPr>
          <w:noProof/>
        </w:rPr>
        <w:t>9</w:t>
      </w:r>
      <w:r w:rsidRPr="004D3031">
        <w:rPr>
          <w:noProof/>
        </w:rPr>
        <w:fldChar w:fldCharType="end"/>
      </w:r>
      <w:bookmarkEnd w:id="85"/>
      <w:r w:rsidRPr="004D3031">
        <w:t xml:space="preserve"> </w:t>
      </w:r>
      <w:r w:rsidR="009B41B8" w:rsidRPr="004D3031">
        <w:t>Difference in cumulative deaths given different values of R</w:t>
      </w:r>
      <w:r w:rsidR="009B41B8" w:rsidRPr="004D3031">
        <w:rPr>
          <w:vertAlign w:val="subscript"/>
        </w:rPr>
        <w:t>t</w:t>
      </w:r>
      <w:r w:rsidR="009B41B8" w:rsidRPr="004D3031">
        <w:t xml:space="preserve"> prior to lockdown</w:t>
      </w:r>
    </w:p>
    <w:p w14:paraId="3E04B9D9" w14:textId="73B18331" w:rsidR="00021675" w:rsidRPr="004D3031" w:rsidRDefault="005D3256" w:rsidP="008C407A">
      <w:pPr>
        <w:pStyle w:val="Tabeltekst"/>
        <w:rPr>
          <w:lang w:val="en-US"/>
        </w:rPr>
      </w:pPr>
      <w:r w:rsidRPr="004D3031">
        <w:rPr>
          <w:noProof/>
          <w:lang w:val="en-US"/>
        </w:rPr>
        <w:drawing>
          <wp:inline distT="0" distB="0" distL="0" distR="0" wp14:anchorId="7C02F645" wp14:editId="18AE9E7E">
            <wp:extent cx="4619625" cy="2876550"/>
            <wp:effectExtent l="0" t="0" r="9525" b="0"/>
            <wp:docPr id="32966848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9668481" name=""/>
                    <pic:cNvPicPr/>
                  </pic:nvPicPr>
                  <pic:blipFill>
                    <a:blip r:embed="rId24">
                      <a:extLst>
                        <a:ext uri="{96DAC541-7B7A-43D3-8B79-37D633B846F1}">
                          <asvg:svgBlip xmlns:asvg="http://schemas.microsoft.com/office/drawing/2016/SVG/main" r:embed="rId25"/>
                        </a:ext>
                      </a:extLst>
                    </a:blip>
                    <a:stretch>
                      <a:fillRect/>
                    </a:stretch>
                  </pic:blipFill>
                  <pic:spPr>
                    <a:xfrm>
                      <a:off x="0" y="0"/>
                      <a:ext cx="4619625" cy="2876550"/>
                    </a:xfrm>
                    <a:prstGeom prst="rect">
                      <a:avLst/>
                    </a:prstGeom>
                  </pic:spPr>
                </pic:pic>
              </a:graphicData>
            </a:graphic>
          </wp:inline>
        </w:drawing>
      </w:r>
    </w:p>
    <w:p w14:paraId="43717895" w14:textId="21CCD891" w:rsidR="003168FB" w:rsidRPr="004D3031" w:rsidRDefault="009B41B8" w:rsidP="008C407A">
      <w:pPr>
        <w:pStyle w:val="Undertekstfigur"/>
      </w:pPr>
      <w:r w:rsidRPr="004D3031">
        <w:t>Note: In all cases R</w:t>
      </w:r>
      <w:r w:rsidRPr="004D3031">
        <w:rPr>
          <w:vertAlign w:val="subscript"/>
        </w:rPr>
        <w:t>t</w:t>
      </w:r>
      <w:r w:rsidRPr="004D3031">
        <w:t xml:space="preserve"> = 0.704 after lockdown.</w:t>
      </w:r>
    </w:p>
    <w:p w14:paraId="60B145FB" w14:textId="1AF4B780" w:rsidR="002446AC" w:rsidRPr="004D3031" w:rsidRDefault="002446AC">
      <w:pPr>
        <w:spacing w:line="240" w:lineRule="auto"/>
        <w:rPr>
          <w:rFonts w:eastAsiaTheme="majorEastAsia" w:cstheme="majorBidi"/>
          <w:b/>
          <w:sz w:val="28"/>
          <w:szCs w:val="24"/>
          <w:lang w:val="en-US"/>
        </w:rPr>
      </w:pPr>
      <w:bookmarkStart w:id="86" w:name="_Toc126069769"/>
      <w:r w:rsidRPr="004D3031">
        <w:rPr>
          <w:lang w:val="en-US"/>
        </w:rPr>
        <w:br w:type="page"/>
      </w:r>
    </w:p>
    <w:p w14:paraId="37FA8B3F" w14:textId="46951772" w:rsidR="007C43D3" w:rsidRPr="004D3031" w:rsidRDefault="007C43D3" w:rsidP="00FF782A">
      <w:pPr>
        <w:pStyle w:val="Heading2"/>
      </w:pPr>
      <w:r w:rsidRPr="004D3031">
        <w:lastRenderedPageBreak/>
        <w:t>References</w:t>
      </w:r>
      <w:bookmarkEnd w:id="86"/>
    </w:p>
    <w:p w14:paraId="7F72E99E" w14:textId="77777777" w:rsidR="00BE2E7B" w:rsidRPr="00BE2E7B" w:rsidRDefault="00BE2E7B" w:rsidP="00BE2E7B">
      <w:pPr>
        <w:pStyle w:val="Bibliography"/>
        <w:rPr>
          <w:rFonts w:cs="Calibri"/>
          <w:lang w:val="en-US"/>
        </w:rPr>
      </w:pPr>
      <w:bookmarkStart w:id="87" w:name="_Hlk179402506"/>
      <w:r w:rsidRPr="00BE2E7B">
        <w:rPr>
          <w:rFonts w:cs="Calibri"/>
          <w:lang w:val="en-US"/>
        </w:rPr>
        <w:t>Abadie, A. (2021). Using Synthetic Controls: Feasibility, Data Requirements, and Methodological Aspects. Journal of Economic Literature, 59(2), 391–425. https://doi.org/10.1257/jel.20191450</w:t>
      </w:r>
    </w:p>
    <w:p w14:paraId="76793C58" w14:textId="77777777" w:rsidR="00BE2E7B" w:rsidRPr="00BE2E7B" w:rsidRDefault="00BE2E7B" w:rsidP="00BE2E7B">
      <w:pPr>
        <w:pStyle w:val="Bibliography"/>
        <w:rPr>
          <w:rFonts w:cs="Calibri"/>
          <w:lang w:val="en-US"/>
        </w:rPr>
      </w:pPr>
      <w:r w:rsidRPr="00BE2E7B">
        <w:rPr>
          <w:rFonts w:cs="Calibri"/>
          <w:lang w:val="en-US"/>
        </w:rPr>
        <w:t xml:space="preserve">Alemán, C., Busch, C., Ludwig, A., &amp; </w:t>
      </w:r>
      <w:proofErr w:type="spellStart"/>
      <w:r w:rsidRPr="00BE2E7B">
        <w:rPr>
          <w:rFonts w:cs="Calibri"/>
          <w:lang w:val="en-US"/>
        </w:rPr>
        <w:t>Santàeulalia</w:t>
      </w:r>
      <w:proofErr w:type="spellEnd"/>
      <w:r w:rsidRPr="00BE2E7B">
        <w:rPr>
          <w:rFonts w:cs="Calibri"/>
          <w:lang w:val="en-US"/>
        </w:rPr>
        <w:t>-Llopis, R. (2020). Evaluating the Effectiveness of Policies Against a Pandemic (p. 36).</w:t>
      </w:r>
    </w:p>
    <w:p w14:paraId="240CF62E" w14:textId="77777777" w:rsidR="00BE2E7B" w:rsidRPr="00BE2E7B" w:rsidRDefault="00BE2E7B" w:rsidP="00BE2E7B">
      <w:pPr>
        <w:pStyle w:val="Bibliography"/>
        <w:rPr>
          <w:rFonts w:cs="Calibri"/>
          <w:lang w:val="en-US"/>
        </w:rPr>
      </w:pPr>
      <w:r w:rsidRPr="00BE2E7B">
        <w:rPr>
          <w:rFonts w:cs="Calibri"/>
          <w:lang w:val="en-US"/>
        </w:rPr>
        <w:t xml:space="preserve">Auger, K. A., Shah, S. S., Richardson, T., Hartley, D., Hall, M., </w:t>
      </w:r>
      <w:proofErr w:type="spellStart"/>
      <w:r w:rsidRPr="00BE2E7B">
        <w:rPr>
          <w:rFonts w:cs="Calibri"/>
          <w:lang w:val="en-US"/>
        </w:rPr>
        <w:t>Warniment</w:t>
      </w:r>
      <w:proofErr w:type="spellEnd"/>
      <w:r w:rsidRPr="00BE2E7B">
        <w:rPr>
          <w:rFonts w:cs="Calibri"/>
          <w:lang w:val="en-US"/>
        </w:rPr>
        <w:t>, A., et al. (2020). Association Between Statewide School Closure and COVID-19 Incidence and Mortality in the US. JAMA, 324(9), 1–13. https://doi.org/10.1001/jama.2020.14348</w:t>
      </w:r>
    </w:p>
    <w:p w14:paraId="204D0014" w14:textId="77777777" w:rsidR="00BE2E7B" w:rsidRPr="00BE2E7B" w:rsidRDefault="00BE2E7B" w:rsidP="00BE2E7B">
      <w:pPr>
        <w:pStyle w:val="Bibliography"/>
        <w:rPr>
          <w:rFonts w:cs="Calibri"/>
          <w:lang w:val="en-US"/>
        </w:rPr>
      </w:pPr>
      <w:r w:rsidRPr="00BE2E7B">
        <w:rPr>
          <w:rFonts w:cs="Calibri"/>
          <w:lang w:val="en-US"/>
        </w:rPr>
        <w:t>Berardi, C., Antonini, M., Genie, M. G., Cotugno, G., Lanteri, A., Melia, A., &amp; Paolucci, F. (2020). The COVID-19 pandemic in Italy: Policy and technology impact on health and non-health outcomes. Health Policy and Technology, 9(4), 454–487. https://doi.org/10.1016/j.hlpt.2020.08.019</w:t>
      </w:r>
    </w:p>
    <w:p w14:paraId="4508D00A" w14:textId="77777777" w:rsidR="00BE2E7B" w:rsidRPr="00BE2E7B" w:rsidRDefault="00BE2E7B" w:rsidP="00BE2E7B">
      <w:pPr>
        <w:pStyle w:val="Bibliography"/>
        <w:rPr>
          <w:rFonts w:cs="Calibri"/>
          <w:lang w:val="en-US"/>
        </w:rPr>
      </w:pPr>
      <w:r w:rsidRPr="00BE2E7B">
        <w:rPr>
          <w:rFonts w:cs="Calibri"/>
          <w:lang w:val="en-US"/>
        </w:rPr>
        <w:t xml:space="preserve">Bjørnskov, C. (2021, June 14). </w:t>
      </w:r>
      <w:r w:rsidRPr="00D265BE">
        <w:rPr>
          <w:rFonts w:cs="Calibri"/>
        </w:rPr>
        <w:t xml:space="preserve">Born et al. om epidemien i Sverige – hvad er der galt og hvordan ser det ud nu? </w:t>
      </w:r>
      <w:proofErr w:type="spellStart"/>
      <w:r w:rsidRPr="00D265BE">
        <w:rPr>
          <w:rFonts w:cs="Calibri"/>
        </w:rPr>
        <w:t>Punditokraterne</w:t>
      </w:r>
      <w:proofErr w:type="spellEnd"/>
      <w:r w:rsidRPr="00D265BE">
        <w:rPr>
          <w:rFonts w:cs="Calibri"/>
        </w:rPr>
        <w:t xml:space="preserve">. http://punditokraterne.dk/2021/06/14/born-et-al-om-epidemien-i-sverige-hvad-er-der-galt-og-hvordan-ser-det-ud-nu/. </w:t>
      </w:r>
      <w:r w:rsidRPr="00BE2E7B">
        <w:rPr>
          <w:rFonts w:cs="Calibri"/>
          <w:lang w:val="en-US"/>
        </w:rPr>
        <w:t>Accessed 23 August 2021</w:t>
      </w:r>
    </w:p>
    <w:p w14:paraId="7E21E220" w14:textId="77777777" w:rsidR="00BE2E7B" w:rsidRPr="00BE2E7B" w:rsidRDefault="00BE2E7B" w:rsidP="00BE2E7B">
      <w:pPr>
        <w:pStyle w:val="Bibliography"/>
        <w:rPr>
          <w:rFonts w:cs="Calibri"/>
          <w:lang w:val="en-US"/>
        </w:rPr>
      </w:pPr>
      <w:proofErr w:type="spellStart"/>
      <w:r w:rsidRPr="00BE2E7B">
        <w:rPr>
          <w:rFonts w:cs="Calibri"/>
          <w:lang w:val="en-US"/>
        </w:rPr>
        <w:t>Bongaerts</w:t>
      </w:r>
      <w:proofErr w:type="spellEnd"/>
      <w:r w:rsidRPr="00BE2E7B">
        <w:rPr>
          <w:rFonts w:cs="Calibri"/>
          <w:lang w:val="en-US"/>
        </w:rPr>
        <w:t>, D., Mazzola, F., &amp; Wagner, W. (2021). Closed for business: The mortality impact of business closures during the Covid-19 pandemic. PLOS ONE, 16(5), e0251373. https://doi.org/10.1371/journal.pone.0251373</w:t>
      </w:r>
    </w:p>
    <w:p w14:paraId="74ECE54D" w14:textId="77777777" w:rsidR="00BE2E7B" w:rsidRPr="00BE2E7B" w:rsidRDefault="00BE2E7B" w:rsidP="00BE2E7B">
      <w:pPr>
        <w:pStyle w:val="Bibliography"/>
        <w:rPr>
          <w:rFonts w:cs="Calibri"/>
          <w:lang w:val="en-US"/>
        </w:rPr>
      </w:pPr>
      <w:r w:rsidRPr="00BE2E7B">
        <w:rPr>
          <w:rFonts w:cs="Calibri"/>
          <w:lang w:val="en-US"/>
        </w:rPr>
        <w:t>Born, B., Dietrich, A. M., &amp; Müller, G. J. (2021). The lockdown effect: A counterfactual for Sweden. PLOS ONE, 16(4), e0249732. https://doi.org/10.1371/journal.pone.0249732</w:t>
      </w:r>
    </w:p>
    <w:p w14:paraId="3F25A898" w14:textId="77777777" w:rsidR="00BE2E7B" w:rsidRPr="00BE2E7B" w:rsidRDefault="00BE2E7B" w:rsidP="00BE2E7B">
      <w:pPr>
        <w:pStyle w:val="Bibliography"/>
        <w:rPr>
          <w:rFonts w:cs="Calibri"/>
          <w:lang w:val="en-US"/>
        </w:rPr>
      </w:pPr>
      <w:r w:rsidRPr="00BE2E7B">
        <w:rPr>
          <w:rFonts w:cs="Calibri"/>
          <w:lang w:val="en-US"/>
        </w:rPr>
        <w:t xml:space="preserve">Borri, N., Drago, F., </w:t>
      </w:r>
      <w:proofErr w:type="spellStart"/>
      <w:r w:rsidRPr="00BE2E7B">
        <w:rPr>
          <w:rFonts w:cs="Calibri"/>
          <w:lang w:val="en-US"/>
        </w:rPr>
        <w:t>Santantonio</w:t>
      </w:r>
      <w:proofErr w:type="spellEnd"/>
      <w:r w:rsidRPr="00BE2E7B">
        <w:rPr>
          <w:rFonts w:cs="Calibri"/>
          <w:lang w:val="en-US"/>
        </w:rPr>
        <w:t xml:space="preserve">, C., &amp; </w:t>
      </w:r>
      <w:proofErr w:type="spellStart"/>
      <w:r w:rsidRPr="00BE2E7B">
        <w:rPr>
          <w:rFonts w:cs="Calibri"/>
          <w:lang w:val="en-US"/>
        </w:rPr>
        <w:t>Sobbrio</w:t>
      </w:r>
      <w:proofErr w:type="spellEnd"/>
      <w:r w:rsidRPr="00BE2E7B">
        <w:rPr>
          <w:rFonts w:cs="Calibri"/>
          <w:lang w:val="en-US"/>
        </w:rPr>
        <w:t>, F. (2020). The “Great Lockdown”: Inactive Workers and Mortality by Covid-19 (preprint). Health Economics. https://doi.org/10.1101/2020.09.17.20190595</w:t>
      </w:r>
    </w:p>
    <w:p w14:paraId="22C19F2B" w14:textId="77777777" w:rsidR="00BE2E7B" w:rsidRPr="00BE2E7B" w:rsidRDefault="00BE2E7B" w:rsidP="00BE2E7B">
      <w:pPr>
        <w:pStyle w:val="Bibliography"/>
        <w:rPr>
          <w:rFonts w:cs="Calibri"/>
          <w:lang w:val="en-US"/>
        </w:rPr>
      </w:pPr>
      <w:proofErr w:type="spellStart"/>
      <w:r w:rsidRPr="00BE2E7B">
        <w:rPr>
          <w:rFonts w:cs="Calibri"/>
          <w:lang w:val="en-US"/>
        </w:rPr>
        <w:t>Cerqueti</w:t>
      </w:r>
      <w:proofErr w:type="spellEnd"/>
      <w:r w:rsidRPr="00BE2E7B">
        <w:rPr>
          <w:rFonts w:cs="Calibri"/>
          <w:lang w:val="en-US"/>
        </w:rPr>
        <w:t xml:space="preserve">, R., </w:t>
      </w:r>
      <w:proofErr w:type="spellStart"/>
      <w:r w:rsidRPr="00BE2E7B">
        <w:rPr>
          <w:rFonts w:cs="Calibri"/>
          <w:lang w:val="en-US"/>
        </w:rPr>
        <w:t>Coppier</w:t>
      </w:r>
      <w:proofErr w:type="spellEnd"/>
      <w:r w:rsidRPr="00BE2E7B">
        <w:rPr>
          <w:rFonts w:cs="Calibri"/>
          <w:lang w:val="en-US"/>
        </w:rPr>
        <w:t>, R., Girardi, A., &amp; Ventura, M. (2021). The sooner the better: lives saved by the lockdown during the COVID-19 outbreak. The case of Italy. arXiv:2101.11901 [econ]. http://arxiv.org/abs/2101.11901. Accessed 17 August 2021</w:t>
      </w:r>
    </w:p>
    <w:p w14:paraId="79040730" w14:textId="77777777" w:rsidR="00BE2E7B" w:rsidRPr="00BE2E7B" w:rsidRDefault="00BE2E7B" w:rsidP="00BE2E7B">
      <w:pPr>
        <w:pStyle w:val="Bibliography"/>
        <w:rPr>
          <w:rFonts w:cs="Calibri"/>
          <w:lang w:val="en-US"/>
        </w:rPr>
      </w:pPr>
      <w:r w:rsidRPr="00BE2E7B">
        <w:rPr>
          <w:rFonts w:cs="Calibri"/>
          <w:lang w:val="en-US"/>
        </w:rPr>
        <w:lastRenderedPageBreak/>
        <w:t>Cho, S.-W. (Stanley). (2020). Quantifying the impact of nonpharmaceutical interventions during the COVID-19 outbreak: The case of Sweden. The Econometrics Journal, 23(3), 323–344. https://doi.org/10.1093/ectj/utaa025</w:t>
      </w:r>
    </w:p>
    <w:p w14:paraId="2A94C316" w14:textId="77777777" w:rsidR="00BE2E7B" w:rsidRPr="00BE2E7B" w:rsidRDefault="00BE2E7B" w:rsidP="00BE2E7B">
      <w:pPr>
        <w:pStyle w:val="Bibliography"/>
        <w:rPr>
          <w:rFonts w:cs="Calibri"/>
          <w:lang w:val="en-US"/>
        </w:rPr>
      </w:pPr>
      <w:r w:rsidRPr="00BE2E7B">
        <w:rPr>
          <w:rFonts w:cs="Calibri"/>
          <w:lang w:val="en-US"/>
        </w:rPr>
        <w:t>Ciminelli, G., &amp; Garcia-</w:t>
      </w:r>
      <w:proofErr w:type="spellStart"/>
      <w:r w:rsidRPr="00BE2E7B">
        <w:rPr>
          <w:rFonts w:cs="Calibri"/>
          <w:lang w:val="en-US"/>
        </w:rPr>
        <w:t>Mandicó</w:t>
      </w:r>
      <w:proofErr w:type="spellEnd"/>
      <w:r w:rsidRPr="00BE2E7B">
        <w:rPr>
          <w:rFonts w:cs="Calibri"/>
          <w:lang w:val="en-US"/>
        </w:rPr>
        <w:t>, S. (2021). When and how do business shutdowns work? Evidence from Italy’s first COVID-19 wave, 1664. https://doi.org/10.1787/095b5d62-en</w:t>
      </w:r>
    </w:p>
    <w:p w14:paraId="280CE634" w14:textId="77777777" w:rsidR="00BE2E7B" w:rsidRPr="00BE2E7B" w:rsidRDefault="00BE2E7B" w:rsidP="00BE2E7B">
      <w:pPr>
        <w:pStyle w:val="Bibliography"/>
        <w:rPr>
          <w:rFonts w:cs="Calibri"/>
          <w:lang w:val="en-US"/>
        </w:rPr>
      </w:pPr>
      <w:proofErr w:type="spellStart"/>
      <w:r w:rsidRPr="00BE2E7B">
        <w:rPr>
          <w:rFonts w:cs="Calibri"/>
          <w:lang w:val="en-US"/>
        </w:rPr>
        <w:t>Conyon</w:t>
      </w:r>
      <w:proofErr w:type="spellEnd"/>
      <w:r w:rsidRPr="00BE2E7B">
        <w:rPr>
          <w:rFonts w:cs="Calibri"/>
          <w:lang w:val="en-US"/>
        </w:rPr>
        <w:t>, M. J., He, L., &amp; Thomsen, S. (2020). Lockdowns and COVID-19 Deaths in Scandinavia. SSRN Electronic Journal. https://doi.org/10.2139/ssrn.3616969</w:t>
      </w:r>
    </w:p>
    <w:p w14:paraId="11E8301C" w14:textId="77777777" w:rsidR="00BE2E7B" w:rsidRPr="00BE2E7B" w:rsidRDefault="00BE2E7B" w:rsidP="00BE2E7B">
      <w:pPr>
        <w:pStyle w:val="Bibliography"/>
        <w:rPr>
          <w:rFonts w:cs="Calibri"/>
          <w:lang w:val="en-US"/>
        </w:rPr>
      </w:pPr>
      <w:proofErr w:type="spellStart"/>
      <w:r w:rsidRPr="00BE2E7B">
        <w:rPr>
          <w:rFonts w:cs="Calibri"/>
          <w:lang w:val="en-US"/>
        </w:rPr>
        <w:t>Conyon</w:t>
      </w:r>
      <w:proofErr w:type="spellEnd"/>
      <w:r w:rsidRPr="00BE2E7B">
        <w:rPr>
          <w:rFonts w:cs="Calibri"/>
          <w:lang w:val="en-US"/>
        </w:rPr>
        <w:t>, M. J., &amp; Thomsen, S. (2021, March 5). COVID-19 in Scandinavia. https://doi.org/10.2139/ssrn.3793888</w:t>
      </w:r>
    </w:p>
    <w:p w14:paraId="138A6623" w14:textId="77777777" w:rsidR="00BE2E7B" w:rsidRPr="00BE2E7B" w:rsidRDefault="00BE2E7B" w:rsidP="00BE2E7B">
      <w:pPr>
        <w:pStyle w:val="Bibliography"/>
        <w:rPr>
          <w:rFonts w:cs="Calibri"/>
          <w:lang w:val="en-US"/>
        </w:rPr>
      </w:pPr>
      <w:r w:rsidRPr="00BE2E7B">
        <w:rPr>
          <w:rFonts w:cs="Calibri"/>
          <w:lang w:val="en-US"/>
        </w:rPr>
        <w:t>Dave, D., Friedson, A. I., Matsuzawa, K., McNichols, D., &amp; Sabia, J. J. (2020a). Are the Effects of Adoption and Termination of Shelter-in-Place Orders Symmetric? Evidence from a Natural Experiment. https://doi.org/10.3386/w27322</w:t>
      </w:r>
    </w:p>
    <w:p w14:paraId="3F7CF686" w14:textId="77777777" w:rsidR="00BE2E7B" w:rsidRPr="00BE2E7B" w:rsidRDefault="00BE2E7B" w:rsidP="00BE2E7B">
      <w:pPr>
        <w:pStyle w:val="Bibliography"/>
        <w:rPr>
          <w:rFonts w:cs="Calibri"/>
          <w:lang w:val="en-US"/>
        </w:rPr>
      </w:pPr>
      <w:r w:rsidRPr="00BE2E7B">
        <w:rPr>
          <w:rFonts w:cs="Calibri"/>
          <w:lang w:val="en-US"/>
        </w:rPr>
        <w:t xml:space="preserve">Dave, D., Friedson, A. I., Matsuzawa, K., McNichols, D., &amp; Sabia, J. J. (2020b). Did the Wisconsin Supreme Court Restart </w:t>
      </w:r>
      <w:proofErr w:type="gramStart"/>
      <w:r w:rsidRPr="00BE2E7B">
        <w:rPr>
          <w:rFonts w:cs="Calibri"/>
          <w:lang w:val="en-US"/>
        </w:rPr>
        <w:t>a Covid</w:t>
      </w:r>
      <w:proofErr w:type="gramEnd"/>
      <w:r w:rsidRPr="00BE2E7B">
        <w:rPr>
          <w:rFonts w:cs="Calibri"/>
          <w:lang w:val="en-US"/>
        </w:rPr>
        <w:t>-19 Epidemic? Evidence from a Natural Experiment. SSRN Electronic Journal. https://doi.org/10.2139/ssrn.3620628</w:t>
      </w:r>
    </w:p>
    <w:p w14:paraId="380A5A28" w14:textId="77777777" w:rsidR="00BE2E7B" w:rsidRPr="00BE2E7B" w:rsidRDefault="00BE2E7B" w:rsidP="00BE2E7B">
      <w:pPr>
        <w:pStyle w:val="Bibliography"/>
        <w:rPr>
          <w:rFonts w:cs="Calibri"/>
          <w:lang w:val="en-US"/>
        </w:rPr>
      </w:pPr>
      <w:r w:rsidRPr="00BE2E7B">
        <w:rPr>
          <w:rFonts w:cs="Calibri"/>
          <w:lang w:val="en-US"/>
        </w:rPr>
        <w:t>Flaxman, S., Mishra, S., Gandy, A., Unwin, H. J. T., Mellan, T. A., Coupland, H., et al. (2020). Estimating the effects of non-pharmaceutical interventions on COVID-19 in Europe. Nature, 584(7820), 257–261. https://doi.org/10.1038/s41586-020-2405-7</w:t>
      </w:r>
    </w:p>
    <w:p w14:paraId="00318475" w14:textId="77777777" w:rsidR="00BE2E7B" w:rsidRPr="00BE2E7B" w:rsidRDefault="00BE2E7B" w:rsidP="00BE2E7B">
      <w:pPr>
        <w:pStyle w:val="Bibliography"/>
        <w:rPr>
          <w:rFonts w:cs="Calibri"/>
          <w:lang w:val="en-US"/>
        </w:rPr>
      </w:pPr>
      <w:r w:rsidRPr="00BE2E7B">
        <w:rPr>
          <w:rFonts w:cs="Calibri"/>
          <w:lang w:val="en-US"/>
        </w:rPr>
        <w:t>Friedson, A. I., McNichols, D., Sabia, J. J., &amp; Dave, D. (2021). Shelter-in-Place Orders and Public Health: Evidence from California During the Covid-19 Pandemic. Journal of Policy Analysis and Management, 40(1), 258–283. https://doi.org/10.1002/pam.22267</w:t>
      </w:r>
    </w:p>
    <w:p w14:paraId="06B31A67" w14:textId="77777777" w:rsidR="00BE2E7B" w:rsidRPr="00BE2E7B" w:rsidRDefault="00BE2E7B" w:rsidP="00BE2E7B">
      <w:pPr>
        <w:pStyle w:val="Bibliography"/>
        <w:rPr>
          <w:rFonts w:cs="Calibri"/>
          <w:lang w:val="en-US"/>
        </w:rPr>
      </w:pPr>
      <w:r w:rsidRPr="00BE2E7B">
        <w:rPr>
          <w:rFonts w:cs="Calibri"/>
          <w:lang w:val="en-US"/>
        </w:rPr>
        <w:t xml:space="preserve">García-García, D., Vigo, M. I., </w:t>
      </w:r>
      <w:proofErr w:type="spellStart"/>
      <w:r w:rsidRPr="00BE2E7B">
        <w:rPr>
          <w:rFonts w:cs="Calibri"/>
          <w:lang w:val="en-US"/>
        </w:rPr>
        <w:t>Fonfría</w:t>
      </w:r>
      <w:proofErr w:type="spellEnd"/>
      <w:r w:rsidRPr="00BE2E7B">
        <w:rPr>
          <w:rFonts w:cs="Calibri"/>
          <w:lang w:val="en-US"/>
        </w:rPr>
        <w:t xml:space="preserve">, E. S., Herrador, Z., Navarro, M., &amp; </w:t>
      </w:r>
      <w:proofErr w:type="spellStart"/>
      <w:r w:rsidRPr="00BE2E7B">
        <w:rPr>
          <w:rFonts w:cs="Calibri"/>
          <w:lang w:val="en-US"/>
        </w:rPr>
        <w:t>Bordehore</w:t>
      </w:r>
      <w:proofErr w:type="spellEnd"/>
      <w:r w:rsidRPr="00BE2E7B">
        <w:rPr>
          <w:rFonts w:cs="Calibri"/>
          <w:lang w:val="en-US"/>
        </w:rPr>
        <w:t>, C. (2021). Retrospective methodology to estimate daily infections from deaths (REMEDID) in COVID-19: the Spain case study. Scientific Reports, 11(1), 11274. https://doi.org/10.1038/s41598-021-90051-7</w:t>
      </w:r>
    </w:p>
    <w:p w14:paraId="2008A71B" w14:textId="77777777" w:rsidR="00BE2E7B" w:rsidRPr="00BE2E7B" w:rsidRDefault="00BE2E7B" w:rsidP="00BE2E7B">
      <w:pPr>
        <w:pStyle w:val="Bibliography"/>
        <w:rPr>
          <w:rFonts w:cs="Calibri"/>
          <w:lang w:val="en-US"/>
        </w:rPr>
      </w:pPr>
      <w:r w:rsidRPr="00BE2E7B">
        <w:rPr>
          <w:rFonts w:cs="Calibri"/>
          <w:lang w:val="en-US"/>
        </w:rPr>
        <w:t xml:space="preserve">Ghosh, S. K., Ghosh, S., &amp; </w:t>
      </w:r>
      <w:proofErr w:type="spellStart"/>
      <w:r w:rsidRPr="00BE2E7B">
        <w:rPr>
          <w:rFonts w:cs="Calibri"/>
          <w:lang w:val="en-US"/>
        </w:rPr>
        <w:t>Narumanchi</w:t>
      </w:r>
      <w:proofErr w:type="spellEnd"/>
      <w:r w:rsidRPr="00BE2E7B">
        <w:rPr>
          <w:rFonts w:cs="Calibri"/>
          <w:lang w:val="en-US"/>
        </w:rPr>
        <w:t>, S. S. (2020). A Study on the Effectiveness of Lock-down Measures to Control the Spread of COVID-19. arXiv:2008.05876 [physics]. http://arxiv.org/abs/2008.05876. Accessed 17 August 2021</w:t>
      </w:r>
    </w:p>
    <w:p w14:paraId="06FF75D1" w14:textId="77777777" w:rsidR="00BE2E7B" w:rsidRPr="00BE2E7B" w:rsidRDefault="00BE2E7B" w:rsidP="00BE2E7B">
      <w:pPr>
        <w:pStyle w:val="Bibliography"/>
        <w:rPr>
          <w:rFonts w:cs="Calibri"/>
          <w:lang w:val="en-US"/>
        </w:rPr>
      </w:pPr>
      <w:r w:rsidRPr="00BE2E7B">
        <w:rPr>
          <w:rFonts w:cs="Calibri"/>
          <w:lang w:val="en-US"/>
        </w:rPr>
        <w:lastRenderedPageBreak/>
        <w:t xml:space="preserve">Gordon, D. V., Grafton, R. Q., &amp; </w:t>
      </w:r>
      <w:proofErr w:type="spellStart"/>
      <w:r w:rsidRPr="00BE2E7B">
        <w:rPr>
          <w:rFonts w:cs="Calibri"/>
          <w:lang w:val="en-US"/>
        </w:rPr>
        <w:t>Steinshamn</w:t>
      </w:r>
      <w:proofErr w:type="spellEnd"/>
      <w:r w:rsidRPr="00BE2E7B">
        <w:rPr>
          <w:rFonts w:cs="Calibri"/>
          <w:lang w:val="en-US"/>
        </w:rPr>
        <w:t>, S. I. (2020). Statistical Analyses of the Public Health and Economic Performance of Nordic Countries in Response to the COVID-19 Pandemic, 2020.11.23.20236711. https://doi.org/10.1101/2020.11.23.20236711</w:t>
      </w:r>
    </w:p>
    <w:p w14:paraId="1157944E" w14:textId="77777777" w:rsidR="00BE2E7B" w:rsidRPr="00BE2E7B" w:rsidRDefault="00BE2E7B" w:rsidP="00BE2E7B">
      <w:pPr>
        <w:pStyle w:val="Bibliography"/>
        <w:rPr>
          <w:rFonts w:cs="Calibri"/>
          <w:lang w:val="en-US"/>
        </w:rPr>
      </w:pPr>
      <w:r w:rsidRPr="00D265BE">
        <w:rPr>
          <w:rFonts w:cs="Calibri"/>
        </w:rPr>
        <w:t xml:space="preserve">Hale, T., </w:t>
      </w:r>
      <w:proofErr w:type="spellStart"/>
      <w:r w:rsidRPr="00D265BE">
        <w:rPr>
          <w:rFonts w:cs="Calibri"/>
        </w:rPr>
        <w:t>Angrist</w:t>
      </w:r>
      <w:proofErr w:type="spellEnd"/>
      <w:r w:rsidRPr="00D265BE">
        <w:rPr>
          <w:rFonts w:cs="Calibri"/>
        </w:rPr>
        <w:t xml:space="preserve">, N., </w:t>
      </w:r>
      <w:proofErr w:type="spellStart"/>
      <w:r w:rsidRPr="00D265BE">
        <w:rPr>
          <w:rFonts w:cs="Calibri"/>
        </w:rPr>
        <w:t>Boby</w:t>
      </w:r>
      <w:proofErr w:type="spellEnd"/>
      <w:r w:rsidRPr="00D265BE">
        <w:rPr>
          <w:rFonts w:cs="Calibri"/>
        </w:rPr>
        <w:t xml:space="preserve">, T., Cameron-Blake, E., Hallas, L., Kira, B., et al. </w:t>
      </w:r>
      <w:r w:rsidRPr="00BE2E7B">
        <w:rPr>
          <w:rFonts w:cs="Calibri"/>
          <w:lang w:val="en-US"/>
        </w:rPr>
        <w:t>(2020). Variation in government responses to COVID-19 (Version 10.0). BSG Working Paper Series. https://www.bsg.ox.ac.uk/sites/default/files/2020-12/BSG-WP-2020-032-v10.pdf. Accessed 17 December 2022</w:t>
      </w:r>
    </w:p>
    <w:p w14:paraId="67E12719" w14:textId="77777777" w:rsidR="00BE2E7B" w:rsidRPr="00BE2E7B" w:rsidRDefault="00BE2E7B" w:rsidP="00BE2E7B">
      <w:pPr>
        <w:pStyle w:val="Bibliography"/>
        <w:rPr>
          <w:rFonts w:cs="Calibri"/>
          <w:lang w:val="en-US"/>
        </w:rPr>
      </w:pPr>
      <w:r w:rsidRPr="00BE2E7B">
        <w:rPr>
          <w:rFonts w:cs="Calibri"/>
          <w:lang w:val="en-US"/>
        </w:rPr>
        <w:t>Herby, J., Jonung, L., &amp; Hanke, S. H. (2021). Protocol for “What Does the First XX Studies Tell Us about the Effects of Lockdowns on Mortality? A Systematic Review and Meta-Analysis of COVID-19 Lockdowns.” SSRN Electronic Journal. https://dx.doi.org/10.2139/ssrn.3872977</w:t>
      </w:r>
    </w:p>
    <w:p w14:paraId="43A5D977" w14:textId="77777777" w:rsidR="00BE2E7B" w:rsidRPr="00BE2E7B" w:rsidRDefault="00BE2E7B" w:rsidP="00BE2E7B">
      <w:pPr>
        <w:pStyle w:val="Bibliography"/>
        <w:rPr>
          <w:rFonts w:cs="Calibri"/>
          <w:lang w:val="en-US"/>
        </w:rPr>
      </w:pPr>
      <w:r w:rsidRPr="00BE2E7B">
        <w:rPr>
          <w:rFonts w:cs="Calibri"/>
          <w:lang w:val="en-US"/>
        </w:rPr>
        <w:t xml:space="preserve">Juranek, S., &amp; </w:t>
      </w:r>
      <w:proofErr w:type="spellStart"/>
      <w:r w:rsidRPr="00BE2E7B">
        <w:rPr>
          <w:rFonts w:cs="Calibri"/>
          <w:lang w:val="en-US"/>
        </w:rPr>
        <w:t>Zoutman</w:t>
      </w:r>
      <w:proofErr w:type="spellEnd"/>
      <w:r w:rsidRPr="00BE2E7B">
        <w:rPr>
          <w:rFonts w:cs="Calibri"/>
          <w:lang w:val="en-US"/>
        </w:rPr>
        <w:t>, F. T. (2021). The effect of non-pharmaceutical interventions on the demand for health care and on mortality: evidence from COVID-19 in Scandinavia. Journal of Population Economics, 34(4), 1299–1320. https://doi.org/10.1007/s00148-021-00868-9</w:t>
      </w:r>
    </w:p>
    <w:p w14:paraId="4C947143" w14:textId="77777777" w:rsidR="00BE2E7B" w:rsidRPr="00BE2E7B" w:rsidRDefault="00BE2E7B" w:rsidP="00BE2E7B">
      <w:pPr>
        <w:pStyle w:val="Bibliography"/>
        <w:rPr>
          <w:rFonts w:cs="Calibri"/>
          <w:lang w:val="en-US"/>
        </w:rPr>
      </w:pPr>
      <w:r w:rsidRPr="00BE2E7B">
        <w:rPr>
          <w:rFonts w:cs="Calibri"/>
          <w:lang w:val="en-US"/>
        </w:rPr>
        <w:t>Kapoor, M., &amp; Ravi, S. (2020). Impact of national lockdown on COVID-19 deaths in select European countries and the US using a Changes-in-Changes model. arXiv:2006.12251 [physics, q-bio, q-fin]. http://arxiv.org/abs/2006.12251. Accessed 24 August 2021</w:t>
      </w:r>
    </w:p>
    <w:p w14:paraId="75C9F8AB" w14:textId="77777777" w:rsidR="00BE2E7B" w:rsidRPr="00BE2E7B" w:rsidRDefault="00BE2E7B" w:rsidP="00BE2E7B">
      <w:pPr>
        <w:pStyle w:val="Bibliography"/>
        <w:rPr>
          <w:rFonts w:cs="Calibri"/>
          <w:lang w:val="en-US"/>
        </w:rPr>
      </w:pPr>
      <w:r w:rsidRPr="00BE2E7B">
        <w:rPr>
          <w:rFonts w:cs="Calibri"/>
          <w:lang w:val="en-US"/>
        </w:rPr>
        <w:t>Leffler, C. T., Ing, E., Lykins, J. D., Hogan, M. C., McKeown, C. A., &amp; Grzybowski, A. (2020). Association of Country-wide Coronavirus Mortality with Demographics, Testing, Lockdowns, and Public Wearing of Masks. The American Journal of Tropical Medicine and Hygiene, 103(6), 2400–2411. https://doi.org/10.4269/ajtmh.20-1015</w:t>
      </w:r>
    </w:p>
    <w:p w14:paraId="6055B673" w14:textId="77777777" w:rsidR="00BE2E7B" w:rsidRPr="00BE2E7B" w:rsidRDefault="00BE2E7B" w:rsidP="00BE2E7B">
      <w:pPr>
        <w:pStyle w:val="Bibliography"/>
        <w:rPr>
          <w:rFonts w:cs="Calibri"/>
          <w:lang w:val="en-US"/>
        </w:rPr>
      </w:pPr>
      <w:r w:rsidRPr="00BE2E7B">
        <w:rPr>
          <w:rFonts w:cs="Calibri"/>
          <w:lang w:val="en-US"/>
        </w:rPr>
        <w:t xml:space="preserve">Mader, S., &amp; </w:t>
      </w:r>
      <w:proofErr w:type="spellStart"/>
      <w:r w:rsidRPr="00BE2E7B">
        <w:rPr>
          <w:rFonts w:cs="Calibri"/>
          <w:lang w:val="en-US"/>
        </w:rPr>
        <w:t>Rüttenauer</w:t>
      </w:r>
      <w:proofErr w:type="spellEnd"/>
      <w:r w:rsidRPr="00BE2E7B">
        <w:rPr>
          <w:rFonts w:cs="Calibri"/>
          <w:lang w:val="en-US"/>
        </w:rPr>
        <w:t xml:space="preserve">, T. (2021, June 11). The effects of non-pharmaceutical interventions on COVID-19-related mortality: A generalized synthetic control approach across 169 countries. </w:t>
      </w:r>
      <w:proofErr w:type="spellStart"/>
      <w:r w:rsidRPr="00BE2E7B">
        <w:rPr>
          <w:rFonts w:cs="Calibri"/>
          <w:lang w:val="en-US"/>
        </w:rPr>
        <w:t>SocArXiv</w:t>
      </w:r>
      <w:proofErr w:type="spellEnd"/>
      <w:r w:rsidRPr="00BE2E7B">
        <w:rPr>
          <w:rFonts w:cs="Calibri"/>
          <w:lang w:val="en-US"/>
        </w:rPr>
        <w:t>. https://doi.org/10.31235/osf.io/v2ef8</w:t>
      </w:r>
    </w:p>
    <w:p w14:paraId="53453D35" w14:textId="77777777" w:rsidR="00BE2E7B" w:rsidRPr="00BE2E7B" w:rsidRDefault="00BE2E7B" w:rsidP="00BE2E7B">
      <w:pPr>
        <w:pStyle w:val="Bibliography"/>
        <w:rPr>
          <w:rFonts w:cs="Calibri"/>
          <w:lang w:val="en-US"/>
        </w:rPr>
      </w:pPr>
      <w:r w:rsidRPr="00BE2E7B">
        <w:rPr>
          <w:rFonts w:cs="Calibri"/>
          <w:lang w:val="en-US"/>
        </w:rPr>
        <w:t>Neidhöfer, G., &amp; Neidhöfer, C. (2020). The Effectiveness of School Closures and Other Pre-Lockdown COVID-19 Mitigation Strategies in Argentina, Italy, and South Korea. SSRN Electronic Journal. https://doi.org/10.2139/ssrn.3649953</w:t>
      </w:r>
    </w:p>
    <w:p w14:paraId="2249F585" w14:textId="77777777" w:rsidR="00BE2E7B" w:rsidRPr="00BE2E7B" w:rsidRDefault="00BE2E7B" w:rsidP="00BE2E7B">
      <w:pPr>
        <w:pStyle w:val="Bibliography"/>
        <w:rPr>
          <w:rFonts w:cs="Calibri"/>
          <w:lang w:val="en-US"/>
        </w:rPr>
      </w:pPr>
      <w:r w:rsidRPr="00BE2E7B">
        <w:rPr>
          <w:rFonts w:cs="Calibri"/>
          <w:lang w:val="en-US"/>
        </w:rPr>
        <w:t>Our World in Data. (2022). COVID-19 Data Explorer. Our World in Data. https://ourworldindata.org/coronavirus-data-explorer. Accessed 7 April 2022</w:t>
      </w:r>
    </w:p>
    <w:p w14:paraId="0A5CABF0" w14:textId="77777777" w:rsidR="00BE2E7B" w:rsidRPr="00BE2E7B" w:rsidRDefault="00BE2E7B" w:rsidP="00BE2E7B">
      <w:pPr>
        <w:pStyle w:val="Bibliography"/>
        <w:rPr>
          <w:rFonts w:cs="Calibri"/>
          <w:lang w:val="en-US"/>
        </w:rPr>
      </w:pPr>
      <w:r w:rsidRPr="00BE2E7B">
        <w:rPr>
          <w:rFonts w:cs="Calibri"/>
          <w:lang w:val="en-US"/>
        </w:rPr>
        <w:lastRenderedPageBreak/>
        <w:t xml:space="preserve">Porto, E. D., </w:t>
      </w:r>
      <w:proofErr w:type="spellStart"/>
      <w:r w:rsidRPr="00BE2E7B">
        <w:rPr>
          <w:rFonts w:cs="Calibri"/>
          <w:lang w:val="en-US"/>
        </w:rPr>
        <w:t>Naticchioni</w:t>
      </w:r>
      <w:proofErr w:type="spellEnd"/>
      <w:r w:rsidRPr="00BE2E7B">
        <w:rPr>
          <w:rFonts w:cs="Calibri"/>
          <w:lang w:val="en-US"/>
        </w:rPr>
        <w:t xml:space="preserve">, P., &amp; </w:t>
      </w:r>
      <w:proofErr w:type="spellStart"/>
      <w:r w:rsidRPr="00BE2E7B">
        <w:rPr>
          <w:rFonts w:cs="Calibri"/>
          <w:lang w:val="en-US"/>
        </w:rPr>
        <w:t>Scrutinio</w:t>
      </w:r>
      <w:proofErr w:type="spellEnd"/>
      <w:r w:rsidRPr="00BE2E7B">
        <w:rPr>
          <w:rFonts w:cs="Calibri"/>
          <w:lang w:val="en-US"/>
        </w:rPr>
        <w:t>, V. (2022). Lockdown, essential sectors, and Covid-19: Lessons from Italy. Journal of Health Economics, 81, 102572. https://doi.org/10.1016/j.jhealeco.2021.102572</w:t>
      </w:r>
    </w:p>
    <w:p w14:paraId="203CC7A4" w14:textId="77777777" w:rsidR="00BE2E7B" w:rsidRPr="00BE2E7B" w:rsidRDefault="00BE2E7B" w:rsidP="00BE2E7B">
      <w:pPr>
        <w:pStyle w:val="Bibliography"/>
        <w:rPr>
          <w:rFonts w:cs="Calibri"/>
          <w:lang w:val="en-US"/>
        </w:rPr>
      </w:pPr>
      <w:r w:rsidRPr="00BE2E7B">
        <w:rPr>
          <w:rFonts w:cs="Calibri"/>
          <w:lang w:val="en-US"/>
        </w:rPr>
        <w:t>Reinbold, G. W. (2021). Effect of Fall 2020 K-12 instruction types on COVID-19 cases, hospital admissions, and deaths in Illinois counties. American Journal of Infection Control, 0(0). https://doi.org/10.1016/j.ajic.2021.05.011</w:t>
      </w:r>
    </w:p>
    <w:p w14:paraId="56C3B3EC" w14:textId="77777777" w:rsidR="00BE2E7B" w:rsidRPr="00BE2E7B" w:rsidRDefault="00BE2E7B" w:rsidP="00BE2E7B">
      <w:pPr>
        <w:pStyle w:val="Bibliography"/>
        <w:rPr>
          <w:rFonts w:cs="Calibri"/>
          <w:lang w:val="en-US"/>
        </w:rPr>
      </w:pPr>
      <w:r w:rsidRPr="00BE2E7B">
        <w:rPr>
          <w:rFonts w:cs="Calibri"/>
          <w:lang w:val="en-US"/>
        </w:rPr>
        <w:t xml:space="preserve">Stokes, J., Turner, A. J., Anselmi, L., </w:t>
      </w:r>
      <w:proofErr w:type="spellStart"/>
      <w:r w:rsidRPr="00BE2E7B">
        <w:rPr>
          <w:rFonts w:cs="Calibri"/>
          <w:lang w:val="en-US"/>
        </w:rPr>
        <w:t>Morciano</w:t>
      </w:r>
      <w:proofErr w:type="spellEnd"/>
      <w:r w:rsidRPr="00BE2E7B">
        <w:rPr>
          <w:rFonts w:cs="Calibri"/>
          <w:lang w:val="en-US"/>
        </w:rPr>
        <w:t xml:space="preserve">, M., &amp; Hone, T. (2020). The relative effects of non-pharmaceutical interventions on early Covid-19 mortality: natural </w:t>
      </w:r>
      <w:proofErr w:type="gramStart"/>
      <w:r w:rsidRPr="00BE2E7B">
        <w:rPr>
          <w:rFonts w:cs="Calibri"/>
          <w:lang w:val="en-US"/>
        </w:rPr>
        <w:t>experiment</w:t>
      </w:r>
      <w:proofErr w:type="gramEnd"/>
      <w:r w:rsidRPr="00BE2E7B">
        <w:rPr>
          <w:rFonts w:cs="Calibri"/>
          <w:lang w:val="en-US"/>
        </w:rPr>
        <w:t xml:space="preserve"> in 130 countries, 2020.10.05.20206888. https://doi.org/10.1101/2020.10.05.20206888</w:t>
      </w:r>
    </w:p>
    <w:p w14:paraId="2CDA3A4E" w14:textId="77777777" w:rsidR="00BE2E7B" w:rsidRPr="00BE2E7B" w:rsidRDefault="00BE2E7B" w:rsidP="00BE2E7B">
      <w:pPr>
        <w:pStyle w:val="Bibliography"/>
        <w:rPr>
          <w:rFonts w:cs="Calibri"/>
          <w:lang w:val="en-US"/>
        </w:rPr>
      </w:pPr>
      <w:r w:rsidRPr="00BE2E7B">
        <w:rPr>
          <w:rFonts w:cs="Calibri"/>
          <w:lang w:val="en-US"/>
        </w:rPr>
        <w:t>Wood, S. N. (2022). Inferring UK COVID-19 fatal infection trajectories from daily mortality data: Were infections already in decline before the UK lockdowns? Biometrics, 78(3), 1127–1140. https://doi.org/10.1111/biom.13462</w:t>
      </w:r>
      <w:bookmarkEnd w:id="87"/>
    </w:p>
    <w:sectPr w:rsidR="00BE2E7B" w:rsidRPr="00BE2E7B" w:rsidSect="00414C25">
      <w:headerReference w:type="even" r:id="rId26"/>
      <w:headerReference w:type="default" r:id="rId27"/>
      <w:footerReference w:type="even" r:id="rId28"/>
      <w:footerReference w:type="default" r:id="rId29"/>
      <w:headerReference w:type="first" r:id="rId30"/>
      <w:footerReference w:type="first" r:id="rId31"/>
      <w:pgSz w:w="11906" w:h="16838" w:code="9"/>
      <w:pgMar w:top="1196" w:right="1417" w:bottom="709" w:left="1417" w:header="680"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190A51F" w14:textId="77777777" w:rsidR="00CD6288" w:rsidRDefault="00CD6288" w:rsidP="00173970">
      <w:r>
        <w:separator/>
      </w:r>
    </w:p>
    <w:p w14:paraId="051B81DD" w14:textId="77777777" w:rsidR="00CD6288" w:rsidRDefault="00CD6288" w:rsidP="00173970"/>
    <w:p w14:paraId="0B51A878" w14:textId="77777777" w:rsidR="00CD6288" w:rsidRDefault="00CD6288" w:rsidP="00173970"/>
  </w:endnote>
  <w:endnote w:type="continuationSeparator" w:id="0">
    <w:p w14:paraId="0A5EFC2B" w14:textId="77777777" w:rsidR="00CD6288" w:rsidRDefault="00CD6288" w:rsidP="00173970">
      <w:r>
        <w:continuationSeparator/>
      </w:r>
    </w:p>
    <w:p w14:paraId="78FCAC60" w14:textId="77777777" w:rsidR="00CD6288" w:rsidRDefault="00CD6288" w:rsidP="00173970"/>
    <w:p w14:paraId="106DC5E8" w14:textId="77777777" w:rsidR="00CD6288" w:rsidRDefault="00CD6288" w:rsidP="00173970"/>
  </w:endnote>
  <w:endnote w:type="continuationNotice" w:id="1">
    <w:p w14:paraId="714E5C2F" w14:textId="77777777" w:rsidR="00CD6288" w:rsidRDefault="00CD628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Bebas Neue">
    <w:altName w:val="Calibri"/>
    <w:charset w:val="00"/>
    <w:family w:val="swiss"/>
    <w:pitch w:val="variable"/>
    <w:sig w:usb0="00000007" w:usb1="00000001" w:usb2="00000000" w:usb3="00000000" w:csb0="00000093" w:csb1="00000000"/>
  </w:font>
  <w:font w:name="Lato">
    <w:altName w:val="Lato"/>
    <w:charset w:val="00"/>
    <w:family w:val="swiss"/>
    <w:pitch w:val="variable"/>
    <w:sig w:usb0="E10002FF" w:usb1="5000ECFF" w:usb2="00000021" w:usb3="00000000" w:csb0="0000019F" w:csb1="00000000"/>
  </w:font>
  <w:font w:name="Arial">
    <w:panose1 w:val="020B0604020202020204"/>
    <w:charset w:val="00"/>
    <w:family w:val="swiss"/>
    <w:pitch w:val="variable"/>
    <w:sig w:usb0="E0002EFF" w:usb1="C000785B" w:usb2="00000009" w:usb3="00000000" w:csb0="000001FF" w:csb1="00000000"/>
  </w:font>
  <w:font w:name="Bingo Serif">
    <w:altName w:val="Cambria"/>
    <w:panose1 w:val="00000000000000000000"/>
    <w:charset w:val="00"/>
    <w:family w:val="roman"/>
    <w:notTrueType/>
    <w:pitch w:val="variable"/>
    <w:sig w:usb0="800000AF" w:usb1="5000204A" w:usb2="00000000" w:usb3="00000000" w:csb0="00000001" w:csb1="00000000"/>
  </w:font>
  <w:font w:name="Lato-Regular">
    <w:altName w:val="Segoe UI"/>
    <w:panose1 w:val="00000000000000000000"/>
    <w:charset w:val="00"/>
    <w:family w:val="roman"/>
    <w:notTrueType/>
    <w:pitch w:val="default"/>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91A7FE" w14:textId="77777777" w:rsidR="003A7AB5" w:rsidRDefault="003A7AB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3BA24D0" w14:textId="77777777" w:rsidR="00414C25" w:rsidRPr="003A7AB5" w:rsidRDefault="00414C25" w:rsidP="003A7AB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CF94D1F" w14:textId="77777777" w:rsidR="00414C25" w:rsidRPr="003A7AB5" w:rsidRDefault="00414C25" w:rsidP="003A7AB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90B1C30" w14:textId="77777777" w:rsidR="00CD6288" w:rsidRDefault="00CD6288" w:rsidP="00173970">
      <w:r w:rsidRPr="00807054">
        <w:continuationSeparator/>
      </w:r>
    </w:p>
  </w:footnote>
  <w:footnote w:type="continuationSeparator" w:id="0">
    <w:p w14:paraId="5EFE7297" w14:textId="77777777" w:rsidR="00CD6288" w:rsidRDefault="00CD6288" w:rsidP="00173970">
      <w:r w:rsidRPr="00807054">
        <w:continuationSeparator/>
      </w:r>
    </w:p>
  </w:footnote>
  <w:footnote w:type="continuationNotice" w:id="1">
    <w:p w14:paraId="3A1826D4" w14:textId="77777777" w:rsidR="00CD6288" w:rsidRPr="002654C1" w:rsidRDefault="00CD6288" w:rsidP="00173970">
      <w:pPr>
        <w:pStyle w:val="Footer"/>
      </w:pPr>
    </w:p>
  </w:footnote>
  <w:footnote w:id="2">
    <w:p w14:paraId="48C4D646" w14:textId="77777777" w:rsidR="00D265BE" w:rsidRPr="002B18B2" w:rsidRDefault="00D265BE" w:rsidP="00D265BE">
      <w:pPr>
        <w:pStyle w:val="FootnoteText"/>
        <w:rPr>
          <w:lang w:val="en-US"/>
        </w:rPr>
      </w:pPr>
      <w:r w:rsidRPr="002B18B2">
        <w:rPr>
          <w:rStyle w:val="FootnoteReference"/>
          <w:lang w:val="en-US"/>
        </w:rPr>
        <w:t>†</w:t>
      </w:r>
      <w:r w:rsidRPr="002B18B2">
        <w:rPr>
          <w:lang w:val="en-US"/>
        </w:rPr>
        <w:t xml:space="preserve"> </w:t>
      </w:r>
      <w:r w:rsidRPr="008B110C">
        <w:rPr>
          <w:lang w:val="en-US"/>
        </w:rPr>
        <w:t xml:space="preserve">Corresponding author: </w:t>
      </w:r>
      <w:r>
        <w:rPr>
          <w:lang w:val="en-US"/>
        </w:rPr>
        <w:t>j</w:t>
      </w:r>
      <w:r w:rsidRPr="008B110C">
        <w:rPr>
          <w:lang w:val="en-US"/>
        </w:rPr>
        <w:t>herby@</w:t>
      </w:r>
      <w:r>
        <w:rPr>
          <w:lang w:val="en-US"/>
        </w:rPr>
        <w:t>gmail</w:t>
      </w:r>
      <w:r w:rsidRPr="008B110C">
        <w:rPr>
          <w:lang w:val="en-US"/>
        </w:rPr>
        <w:t>.dk // +45 2728 2748</w:t>
      </w:r>
    </w:p>
  </w:footnote>
  <w:footnote w:id="3">
    <w:p w14:paraId="0295C91C" w14:textId="410E95A7" w:rsidR="006928BB" w:rsidRPr="00960EDD" w:rsidRDefault="006928BB" w:rsidP="00876F60">
      <w:pPr>
        <w:pStyle w:val="FootnoteText"/>
        <w:rPr>
          <w:lang w:val="en-US"/>
        </w:rPr>
      </w:pPr>
      <w:r w:rsidRPr="00ED461D">
        <w:rPr>
          <w:rStyle w:val="FootnoteReference"/>
        </w:rPr>
        <w:footnoteRef/>
      </w:r>
      <w:r w:rsidRPr="00960EDD">
        <w:rPr>
          <w:lang w:val="en-US"/>
        </w:rPr>
        <w:t xml:space="preserve"> </w:t>
      </w:r>
      <w:r>
        <w:rPr>
          <w:lang w:val="en-US"/>
        </w:rPr>
        <w:t xml:space="preserve">In the update we also excluded </w:t>
      </w:r>
      <w:r w:rsidR="00AB7B18">
        <w:rPr>
          <w:lang w:val="en-US"/>
        </w:rPr>
        <w:t>“</w:t>
      </w:r>
      <w:r w:rsidR="00AB7B18" w:rsidRPr="00AB7B18">
        <w:rPr>
          <w:lang w:val="en-US"/>
        </w:rPr>
        <w:t>studies lacking focus on mortality</w:t>
      </w:r>
      <w:r w:rsidR="00AB7B18">
        <w:rPr>
          <w:lang w:val="en-US"/>
        </w:rPr>
        <w:t xml:space="preserve">”. </w:t>
      </w:r>
      <w:r w:rsidR="00110135">
        <w:rPr>
          <w:lang w:val="en-US"/>
        </w:rPr>
        <w:t>T</w:t>
      </w:r>
      <w:r w:rsidR="00110135" w:rsidRPr="00110135">
        <w:rPr>
          <w:lang w:val="en-US"/>
        </w:rPr>
        <w:t xml:space="preserve">his addition </w:t>
      </w:r>
      <w:r w:rsidR="00CE0306">
        <w:rPr>
          <w:lang w:val="en-US"/>
        </w:rPr>
        <w:t xml:space="preserve">had </w:t>
      </w:r>
      <w:r w:rsidR="00110135" w:rsidRPr="00110135">
        <w:rPr>
          <w:lang w:val="en-US"/>
        </w:rPr>
        <w:t xml:space="preserve">no real </w:t>
      </w:r>
      <w:r w:rsidR="00CE0306">
        <w:rPr>
          <w:lang w:val="en-US"/>
        </w:rPr>
        <w:t>effect</w:t>
      </w:r>
      <w:r w:rsidR="00110135">
        <w:rPr>
          <w:lang w:val="en-US"/>
        </w:rPr>
        <w:t>.</w:t>
      </w:r>
    </w:p>
  </w:footnote>
  <w:footnote w:id="4">
    <w:p w14:paraId="6D827107" w14:textId="77777777" w:rsidR="0065098B" w:rsidRPr="00D0492D" w:rsidRDefault="0065098B" w:rsidP="00876F60">
      <w:pPr>
        <w:pStyle w:val="FootnoteText"/>
        <w:rPr>
          <w:lang w:val="en-US"/>
        </w:rPr>
      </w:pPr>
      <w:r w:rsidRPr="00ED461D">
        <w:rPr>
          <w:rStyle w:val="FootnoteReference"/>
        </w:rPr>
        <w:footnoteRef/>
      </w:r>
      <w:r w:rsidRPr="00D0492D">
        <w:rPr>
          <w:lang w:val="en-US"/>
        </w:rPr>
        <w:t xml:space="preserve"> See https://www.sciencemediacentre.org/expert-reaction-to-a-preprint-looking-at-the-impact-of-lockdowns-as-posted-on-the-john-hopkins-krieger-school-of-arts-and-sciences-website/</w:t>
      </w:r>
    </w:p>
  </w:footnote>
  <w:footnote w:id="5">
    <w:p w14:paraId="40371879" w14:textId="70A4422E" w:rsidR="0065098B" w:rsidRPr="00D0492D" w:rsidRDefault="0065098B" w:rsidP="00876F60">
      <w:pPr>
        <w:pStyle w:val="FootnoteText"/>
        <w:rPr>
          <w:lang w:val="en-US"/>
        </w:rPr>
      </w:pPr>
      <w:r w:rsidRPr="00ED461D">
        <w:rPr>
          <w:rStyle w:val="FootnoteReference"/>
        </w:rPr>
        <w:footnoteRef/>
      </w:r>
      <w:r w:rsidRPr="00D0492D">
        <w:rPr>
          <w:lang w:val="en-US"/>
        </w:rPr>
        <w:t xml:space="preserve"> </w:t>
      </w:r>
      <w:r>
        <w:fldChar w:fldCharType="begin"/>
      </w:r>
      <w:r w:rsidR="00BE2E7B">
        <w:rPr>
          <w:lang w:val="en-US"/>
        </w:rPr>
        <w:instrText xml:space="preserve"> ADDIN ZOTERO_ITEM CSL_CITATION {"citationID":"NIkW7XEC","properties":{"formattedCitation":"Ghosh et al. (2020)","plainCitation":"Ghosh et al. (2020)","noteIndex":3},"citationItems":[{"id":3727,"uris":["http://zotero.org/groups/2170464/items/PAAIJ63L"],"itemData":{"id":3727,"type":"article-journal","abstract":"The ongoing pandemic of coronavirus disease 2019-2020 (COVID-19) is caused by Severe Acute Respiratory Syndrome Coronavirus 2 (SARS-CoV-2). This pathogenic virus is able to spread asymptotically during its incubation stage through a vulnerable population. Given the state of healthcare, policymakers were urged to contain the spread of infection, minimize stress on the health systems and ensure public safety. Most effective tool that was at their disposal was to close non-essential business and issue a stay home order. In this paper we consider techniques to measure the effectiveness of stringency measures adopted by governments across the world. Analyzing effectiveness of control measures like lock-down allows us to understand whether the decisions made were optimal and resulted in a reduction of burden on the healthcare system. In specific we consider using a synthetic control to construct alternative scenarios and understand what would have been the effect on health if less stringent measures were adopted. We present analysis for The State of New York, United States, Italy and The Indian capital city Delhi and show how lock-down measures has helped and what the counterfactual scenarios would have been in comparison to the current state of affairs. We show that in The State of New York the number of deaths could have been 6 times higher, and in Italy, the number of deaths could have been 3 times higher by 26th of June, 2020.","container-title":"arXiv:2008.05876 [physics]","note":"arXiv: 2008.05876","source":"arXiv.org","title":"A Study on the Effectiveness of Lock-down Measures to Control the Spread of COVID-19","URL":"http://arxiv.org/abs/2008.05876","author":[{"family":"Ghosh","given":"Subhas Kumar"},{"family":"Ghosh","given":"Sachchit"},{"family":"Narumanchi","given":"Sai Shanmukha"}],"accessed":{"date-parts":[["2021",8,17]]},"issued":{"date-parts":[["2020",8,8]]}}}],"schema":"https://github.com/citation-style-language/schema/raw/master/csl-citation.json"} </w:instrText>
      </w:r>
      <w:r>
        <w:fldChar w:fldCharType="separate"/>
      </w:r>
      <w:r w:rsidR="00BE2E7B" w:rsidRPr="00D265BE">
        <w:rPr>
          <w:rFonts w:cs="Calibri"/>
          <w:lang w:val="en-US"/>
        </w:rPr>
        <w:t>Ghosh et al. (2020)</w:t>
      </w:r>
      <w:r>
        <w:fldChar w:fldCharType="end"/>
      </w:r>
      <w:r w:rsidRPr="00D0492D">
        <w:rPr>
          <w:lang w:val="en-US"/>
        </w:rPr>
        <w:t xml:space="preserve"> cover Delhi and </w:t>
      </w:r>
      <w:r>
        <w:fldChar w:fldCharType="begin"/>
      </w:r>
      <w:r w:rsidR="00BE2E7B">
        <w:rPr>
          <w:lang w:val="en-US"/>
        </w:rPr>
        <w:instrText xml:space="preserve"> ADDIN ZOTERO_ITEM CSL_CITATION {"citationID":"fLxoo2p9","properties":{"formattedCitation":"Neidh\\uc0\\u246{}fer and Neidh\\uc0\\u246{}fer (2020)","plainCitation":"Neidhöfer and Neidhöfer (2020)","noteIndex":3},"citationItems":[{"id":3702,"uris":["http://zotero.org/groups/2170464/items/JTIY3VWC"],"itemData":{"id":3702,"type":"article-journal","abstract":"The rapid spread of COVID-19 forced policy-makers to swiftly ﬁnd solutions to reduce infection rates and keep mortality as low as possible. Empirical analyses on the eﬀectiveness of control measures are hereby of primary importance. School closures were among the earliest measures enacted by the governments of most countries. However, while schools are now reopening in many countries, the impact of school closures on the course of the epidemic is still an open question. Adopting parametric and non-parametric synthetic control methods we estimate the eﬀectiveness of pro-active school closures, and other early social distancing interventions, in three countries that reacted relatively early during the course of the pandemic. Our ﬁndings suggest that these interventions were eﬀective at reducing the mortality rate of COVID-19, especially when enacted early.","container-title":"SSRN Electronic Journal","DOI":"10.2139/ssrn.3649953","ISSN":"1556-5068","journalAbbreviation":"SSRN Journal","language":"en","source":"DOI.org (Crossref)","title":"The Effectiveness of School Closures and Other Pre-Lockdown COVID-19 Mitigation Strategies in Argentina, Italy, and South Korea","URL":"https://www.ssrn.com/abstract=3649953","author":[{"family":"Neidhöfer","given":"Guido"},{"family":"Neidhöfer","given":"Claudio"}],"accessed":{"date-parts":[["2021",8,17]]},"issued":{"date-parts":[["2020",7,3]]}}}],"schema":"https://github.com/citation-style-language/schema/raw/master/csl-citation.json"} </w:instrText>
      </w:r>
      <w:r>
        <w:fldChar w:fldCharType="separate"/>
      </w:r>
      <w:r w:rsidR="00BE2E7B" w:rsidRPr="00D265BE">
        <w:rPr>
          <w:rFonts w:cs="Calibri"/>
          <w:lang w:val="en-US"/>
        </w:rPr>
        <w:t>Neidhöfer and Neidhöfer (2020)</w:t>
      </w:r>
      <w:r>
        <w:fldChar w:fldCharType="end"/>
      </w:r>
      <w:r w:rsidRPr="00D0492D">
        <w:rPr>
          <w:lang w:val="en-US"/>
        </w:rPr>
        <w:t xml:space="preserve"> cover South Korea.</w:t>
      </w:r>
    </w:p>
  </w:footnote>
  <w:footnote w:id="6">
    <w:p w14:paraId="1CB2A869" w14:textId="77777777" w:rsidR="0065098B" w:rsidRPr="00D0492D" w:rsidRDefault="0065098B" w:rsidP="00876F60">
      <w:pPr>
        <w:pStyle w:val="FootnoteText"/>
        <w:rPr>
          <w:lang w:val="en-US"/>
        </w:rPr>
      </w:pPr>
      <w:r w:rsidRPr="00ED461D">
        <w:rPr>
          <w:rStyle w:val="FootnoteReference"/>
        </w:rPr>
        <w:footnoteRef/>
      </w:r>
      <w:r w:rsidRPr="00D0492D">
        <w:rPr>
          <w:lang w:val="en-US"/>
        </w:rPr>
        <w:t xml:space="preserve"> The data all schools in the jurisdiction was closed, cf. </w:t>
      </w:r>
    </w:p>
  </w:footnote>
  <w:footnote w:id="7">
    <w:p w14:paraId="0CF37E71" w14:textId="37538D66" w:rsidR="0065098B" w:rsidRPr="00D0492D" w:rsidRDefault="0065098B" w:rsidP="00876F60">
      <w:pPr>
        <w:pStyle w:val="FootnoteText"/>
        <w:rPr>
          <w:highlight w:val="yellow"/>
          <w:lang w:val="en-US"/>
        </w:rPr>
      </w:pPr>
      <w:r w:rsidRPr="00ED461D">
        <w:rPr>
          <w:rStyle w:val="FootnoteReference"/>
        </w:rPr>
        <w:footnoteRef/>
      </w:r>
      <w:r w:rsidRPr="00D0492D">
        <w:rPr>
          <w:color w:val="2B579A"/>
          <w:shd w:val="clear" w:color="auto" w:fill="E6E6E6"/>
          <w:lang w:val="en-US"/>
        </w:rPr>
        <w:t xml:space="preserve"> </w:t>
      </w:r>
      <w:r w:rsidRPr="006624E6">
        <w:rPr>
          <w:color w:val="2B579A"/>
          <w:shd w:val="clear" w:color="auto" w:fill="E6E6E6"/>
        </w:rPr>
        <w:fldChar w:fldCharType="begin"/>
      </w:r>
      <w:r w:rsidR="00BE2E7B">
        <w:rPr>
          <w:lang w:val="en-US"/>
        </w:rPr>
        <w:instrText xml:space="preserve"> ADDIN ZOTERO_ITEM CSL_CITATION {"citationID":"MpnsNAaQ","properties":{"formattedCitation":"Leffler et al. (2020)","plainCitation":"Leffler et al. (2020)","noteIndex":5},"citationItems":[{"id":3964,"uris":["http://zotero.org/groups/2170464/items/MCMKJ2AZ"],"itemData":{"id":3964,"type":"article-journal","container-title":"The American Journal of Tropical Medicine and Hygiene","DOI":"10.4269/ajtmh.20-1015","ISSN":"0002-9637, 1476-1645","issue":"6","language":"en","page":"2400-2411","source":"DOI.org (Crossref)","title":"Association of Country-wide Coronavirus Mortality with Demographics, Testing, Lockdowns, and Public Wearing of Masks","volume":"103","author":[{"family":"Leffler","given":"Christopher T."},{"family":"Ing","given":"Edsel"},{"family":"Lykins","given":"Joseph D."},{"family":"Hogan","given":"Matthew C."},{"family":"McKeown","given":"Craig A."},{"family":"Grzybowski","given":"Andrzej"}],"issued":{"date-parts":[["2020",12,2]]}}}],"schema":"https://github.com/citation-style-language/schema/raw/master/csl-citation.json"} </w:instrText>
      </w:r>
      <w:r w:rsidRPr="006624E6">
        <w:rPr>
          <w:color w:val="2B579A"/>
          <w:shd w:val="clear" w:color="auto" w:fill="E6E6E6"/>
        </w:rPr>
        <w:fldChar w:fldCharType="separate"/>
      </w:r>
      <w:r w:rsidR="00BE2E7B" w:rsidRPr="00BE2E7B">
        <w:rPr>
          <w:rFonts w:cs="Calibri"/>
          <w:lang w:val="en-US"/>
        </w:rPr>
        <w:t>Leffler et al. (2020)</w:t>
      </w:r>
      <w:r w:rsidRPr="006624E6">
        <w:rPr>
          <w:color w:val="2B579A"/>
          <w:shd w:val="clear" w:color="auto" w:fill="E6E6E6"/>
        </w:rPr>
        <w:fldChar w:fldCharType="end"/>
      </w:r>
      <w:r w:rsidRPr="00D0492D">
        <w:rPr>
          <w:lang w:val="en-US"/>
        </w:rPr>
        <w:t xml:space="preserve"> </w:t>
      </w:r>
      <w:r w:rsidRPr="003926D7">
        <w:rPr>
          <w:lang w:val="en-US"/>
        </w:rPr>
        <w:t xml:space="preserve">write “On average, the time from infection with the coronavirus to onset of symptoms is 5.1 days, and the time from symptom onset to death is on average 17.8 days. Therefore, the time from infection to death is expected to be 23 days.” </w:t>
      </w:r>
      <w:r w:rsidRPr="00D97497">
        <w:rPr>
          <w:lang w:val="en-US"/>
        </w:rPr>
        <w:t xml:space="preserve">Meanwhile, </w:t>
      </w:r>
      <w:r w:rsidRPr="00D97497">
        <w:rPr>
          <w:lang w:val="en-US"/>
        </w:rPr>
        <w:fldChar w:fldCharType="begin"/>
      </w:r>
      <w:r w:rsidR="00BE2E7B">
        <w:rPr>
          <w:lang w:val="en-US"/>
        </w:rPr>
        <w:instrText xml:space="preserve"> ADDIN ZOTERO_ITEM CSL_CITATION {"citationID":"PSKgpluH","properties":{"formattedCitation":"Stokes et al. (2020)","plainCitation":"Stokes et al. (2020)","noteIndex":5},"citationItems":[{"id":3901,"uris":["http://zotero.org/groups/2170464/items/CPWL6B4C"],"itemData":{"id":3901,"type":"article-journal","abstract":"Background Concurrent non-pharmaceutical interventions have been implemented around the world to control Covid-19 transmission. Their general effect on reducing virus transmission is proven, but they can also be negative to mental health and economies, and transmission behaviours can also change in absence of mandated policies. Their relative impact on Covid-19 attributed mortality rates, enabling policy selection for maximal benefit with minimal disruption, is not well established.\nMethods We exploited variations in nine non-pharmaceutical interventions implemented in 130 countries (3250 observations) in two periods chosen to limit reverse causality: i) prior to first Covid-19 death (when policymakers could not possibly be reacting to deaths in their own country); and, ii) 14-days-post first Covid-19 death (when deaths were still low, on average). We examined associations with daily deaths per million in each subsequent 24-day period (the time between virus transmission and mortality) which could only be affected by the policy period. A mean score of strictness and timeliness was coded for each intervention. Days in each country were indexed in time by first reported Covid-19 death to proxy for virus transmission rate. Multivariable linear regression models of Covid-19 mortality rates on all concurrent interventions were adjusted for seasonality, potential confounders, and potential cross-country differences in their mortality definitions. Robustness was checked by removing countries with known data reporting issues and with non-linear, negative binomial, models.\nResults After adjusting for multiple concurrent interventions and confounders, and accounting for both timing and strictness of interventions, earlier and stricter school (−1.23 daily deaths per million, 95% CI -2.20 -0.27) and workplace closures (−0.26, 95% CI -0.46 -0.05) were associated with lower Covid-19 mortality rates. Only controlling for strictness international travel controls, and only controlling for timing later restrictions on gatherings, were also associated with lower Covid-19 mortality. Other interventions, such as stay-at-home orders or restrictions on public transport, were not significantly associated with differences in mortality rates across countries. Findings were robust across multiple statistical approaches.\nConclusions Focusing on ‘compulsory’, particularly school closing, not ‘voluntary’ reduction of social interactions with mandated policies appears to have been the most effective strategy to mitigate early Covid-19 mortality.","DOI":"10.1101/2020.10.05.20206888","language":"en","license":"© 2020, Posted by Cold Spring Harbor Laboratory. This pre-print is available under a Creative Commons License (Attribution-NonCommercial-NoDerivs 4.0 International), CC BY-NC-ND 4.0, as described at http://creativecommons.org/licenses/by-nc-nd/4.0/","note":"Company: Cold Spring Harbor Laboratory Press\nDistributor: Cold Spring Harbor Laboratory Press\nLabel: Cold Spring Harbor Laboratory Press\ntype: article","page":"2020.10.05.20206888","source":"medRxiv","title":"The relative effects of non-pharmaceutical interventions on early Covid-19 mortality: natural experiment in 130 countries","title-short":"The relative effects of non-pharmaceutical interventions on early Covid-19 mortality","author":[{"family":"Stokes","given":"Jonathan"},{"family":"Turner","given":"Alex James"},{"family":"Anselmi","given":"Laura"},{"family":"Morciano","given":"Marcello"},{"family":"Hone","given":"Thomas"}],"issued":{"date-parts":[["2020",10,6]]}}}],"schema":"https://github.com/citation-style-language/schema/raw/master/csl-citation.json"} </w:instrText>
      </w:r>
      <w:r w:rsidRPr="00D97497">
        <w:rPr>
          <w:lang w:val="en-US"/>
        </w:rPr>
        <w:fldChar w:fldCharType="separate"/>
      </w:r>
      <w:r w:rsidR="00BE2E7B" w:rsidRPr="00BE2E7B">
        <w:rPr>
          <w:rFonts w:cs="Calibri"/>
          <w:lang w:val="en-US"/>
        </w:rPr>
        <w:t>Stokes et al. (2020)</w:t>
      </w:r>
      <w:r w:rsidRPr="00D97497">
        <w:rPr>
          <w:lang w:val="en-US"/>
        </w:rPr>
        <w:fldChar w:fldCharType="end"/>
      </w:r>
      <w:r w:rsidRPr="003926D7">
        <w:rPr>
          <w:lang w:val="en-US"/>
        </w:rPr>
        <w:t xml:space="preserve"> state that “evidence suggests a mean lag between virus transmission and symptom onset of 6 days, and a further mean lag of 18 days between onset of symptoms and death.”</w:t>
      </w:r>
      <w:r w:rsidR="00AD587C">
        <w:rPr>
          <w:lang w:val="en-US"/>
        </w:rPr>
        <w:t xml:space="preserve"> </w:t>
      </w:r>
      <w:r w:rsidR="001E0190">
        <w:rPr>
          <w:lang w:val="en-US"/>
        </w:rPr>
        <w:t>Also see the appendix to this supplementary material.</w:t>
      </w:r>
    </w:p>
  </w:footnote>
  <w:footnote w:id="8">
    <w:p w14:paraId="744674A9" w14:textId="14AF11FE" w:rsidR="0065098B" w:rsidRPr="00D0492D" w:rsidRDefault="0065098B" w:rsidP="00876F60">
      <w:pPr>
        <w:pStyle w:val="FootnoteText"/>
        <w:rPr>
          <w:lang w:val="en-US"/>
        </w:rPr>
      </w:pPr>
      <w:r w:rsidRPr="00ED461D">
        <w:rPr>
          <w:rStyle w:val="FootnoteReference"/>
        </w:rPr>
        <w:footnoteRef/>
      </w:r>
      <w:r w:rsidRPr="00D0492D">
        <w:rPr>
          <w:lang w:val="en-US"/>
        </w:rPr>
        <w:t xml:space="preserve"> All 50 U.S. states closed schools between March 13, 2020, and March 23, 2020, and 44 states closed schools in just four school days (March 15, 2020 (Sunday) to March 19, 2020 (Friday)), see Table 1 in </w:t>
      </w:r>
      <w:r w:rsidRPr="00927EFE">
        <w:fldChar w:fldCharType="begin"/>
      </w:r>
      <w:r w:rsidR="00BE2E7B">
        <w:rPr>
          <w:lang w:val="en-US"/>
        </w:rPr>
        <w:instrText xml:space="preserve"> ADDIN ZOTERO_ITEM CSL_CITATION {"citationID":"zDJhkvl7","properties":{"formattedCitation":"Auger et al. (2020)","plainCitation":"Auger et al. (2020)","noteIndex":6},"citationItems":[{"id":3725,"uris":["http://zotero.org/groups/2170464/items/ZUWZI89G"],"itemData":{"id":3725,"type":"article-journal","abstract":"This population epidemiology study estimates associations of school closures in the US and the timing of those closures in March 2020 with change in daily coronavirus disease 2019 (COVID-19) incidence and mortality through the first week of May, accounting for other contemporaneous public health interventions.","container-title":"JAMA","DOI":"10.1001/jama.2020.14348","ISSN":"0098-7484","issue":"9","journalAbbreviation":"JAMA","note":"PMID: 32745200\nPMCID: PMC7391181","page":"1-13","source":"PubMed Central","title":"Association Between Statewide School Closure and COVID-19 Incidence and Mortality in the US","volume":"324","author":[{"family":"Auger","given":"Katherine A."},{"family":"Shah","given":"Samir S."},{"family":"Richardson","given":"Troy"},{"family":"Hartley","given":"David"},{"family":"Hall","given":"Matthew"},{"family":"Warniment","given":"Amanda"},{"family":"Timmons","given":"Kristen"},{"family":"Bosse","given":"Dianna"},{"family":"Ferris","given":"Sarah A."},{"family":"Brady","given":"Patrick W."},{"family":"Schondelmeyer","given":"Amanda C."},{"family":"Thomson","given":"Joanna E."}],"issued":{"date-parts":[["2020",9,1]]}}}],"schema":"https://github.com/citation-style-language/schema/raw/master/csl-citation.json"} </w:instrText>
      </w:r>
      <w:r w:rsidRPr="00927EFE">
        <w:fldChar w:fldCharType="separate"/>
      </w:r>
      <w:r w:rsidR="00BE2E7B" w:rsidRPr="00BE2E7B">
        <w:rPr>
          <w:rFonts w:cs="Calibri"/>
          <w:lang w:val="en-US"/>
        </w:rPr>
        <w:t>Auger et al. (2020)</w:t>
      </w:r>
      <w:r w:rsidRPr="00927EFE">
        <w:fldChar w:fldCharType="end"/>
      </w:r>
      <w:r w:rsidRPr="00D0492D">
        <w:rPr>
          <w:lang w:val="en-US"/>
        </w:rPr>
        <w:t>.</w:t>
      </w:r>
    </w:p>
  </w:footnote>
  <w:footnote w:id="9">
    <w:p w14:paraId="4DF67FC3" w14:textId="335F9AA7" w:rsidR="0065098B" w:rsidRPr="00D0492D" w:rsidRDefault="0065098B" w:rsidP="00876F60">
      <w:pPr>
        <w:pStyle w:val="FootnoteText"/>
        <w:rPr>
          <w:lang w:val="en-US"/>
        </w:rPr>
      </w:pPr>
      <w:r w:rsidRPr="00ED461D">
        <w:rPr>
          <w:rStyle w:val="FootnoteReference"/>
        </w:rPr>
        <w:footnoteRef/>
      </w:r>
      <w:r w:rsidRPr="00D0492D">
        <w:rPr>
          <w:lang w:val="en-US"/>
        </w:rPr>
        <w:t xml:space="preserve"> </w:t>
      </w:r>
      <w:r w:rsidRPr="007D4448">
        <w:fldChar w:fldCharType="begin"/>
      </w:r>
      <w:r w:rsidR="00BE2E7B">
        <w:rPr>
          <w:lang w:val="en-US"/>
        </w:rPr>
        <w:instrText xml:space="preserve"> ADDIN ZOTERO_ITEM CSL_CITATION {"citationID":"iZQ29s7g","properties":{"formattedCitation":"Friedson et al. (2021)","plainCitation":"Friedson et al. (2021)","noteIndex":7},"citationItems":[{"id":3711,"uris":["http://zotero.org/groups/2170464/items/F92QXFZH"],"itemData":{"id":3711,"type":"article-journal","abstract":"A shelter-in-place order (SIPO) is one of the most restrictive non-pharmaceutical interventions designed to curb the spread of COVID-19. On March 19, 2020, California Governor Gavin Newsom issued the first statewide SIPO in the United States. The order closed non-essential businesses and required residents to shelter in place for all but essential activities such as grocery shopping, retrieving prescriptions from a pharmacy, or caring for relatives. This study is the first in the economics literature to estimate the effect of a statewide SIPO on public health. Using daily state-level coronavirus data and a synthetic control research design, we find that California's statewide SIPO reduced COVID-19 cases by 160.9 to 194.7 per 100,000 population by April 20, one month following the order. We further find that California's SIPO led to as many as 1,566 fewer COVID-19 deaths during this period. Back-of-the-envelope calculations suggest that there were about 649 to 703 job losses per life saved, and about 14 to16 job losses per case averted during this post-treatment period.","container-title":"Journal of Policy Analysis and Management","DOI":"10.1002/pam.22267","ISSN":"1520-6688","issue":"1","language":"en","note":"_eprint: https://onlinelibrary.wiley.com/doi/pdf/10.1002/pam.22267","page":"258-283","source":"Wiley Online Library","title":"Shelter-in-Place Orders and Public Health: Evidence from California During the Covid-19 Pandemic","title-short":"Shelter-in-Place Orders and Public Health","volume":"40","author":[{"family":"Friedson","given":"Andrew I."},{"family":"McNichols","given":"Drew"},{"family":"Sabia","given":"Joseph J."},{"family":"Dave","given":"Dhaval"}],"issued":{"date-parts":[["2021",12,11]]}}}],"schema":"https://github.com/citation-style-language/schema/raw/master/csl-citation.json"} </w:instrText>
      </w:r>
      <w:r w:rsidRPr="007D4448">
        <w:fldChar w:fldCharType="separate"/>
      </w:r>
      <w:r w:rsidR="00BE2E7B" w:rsidRPr="00BE2E7B">
        <w:rPr>
          <w:rFonts w:cs="Calibri"/>
          <w:lang w:val="en-US"/>
        </w:rPr>
        <w:t>Friedson et al. (2021)</w:t>
      </w:r>
      <w:r w:rsidRPr="007D4448">
        <w:fldChar w:fldCharType="end"/>
      </w:r>
      <w:r w:rsidRPr="00D0492D">
        <w:rPr>
          <w:lang w:val="en-US"/>
        </w:rPr>
        <w:t xml:space="preserve"> write: “While our estimated mortality decline is substantial in magnitude, </w:t>
      </w:r>
      <w:r w:rsidR="00802EE4" w:rsidRPr="00D0492D">
        <w:rPr>
          <w:lang w:val="en-US"/>
        </w:rPr>
        <w:t>permutation-based</w:t>
      </w:r>
      <w:r w:rsidRPr="00D0492D">
        <w:rPr>
          <w:lang w:val="en-US"/>
        </w:rPr>
        <w:t xml:space="preserve"> p-values are insufficiently small to conclude definitively that there was a decline in COVID-19 deaths due to California’s SIPO.”</w:t>
      </w:r>
    </w:p>
  </w:footnote>
  <w:footnote w:id="10">
    <w:p w14:paraId="04904C29" w14:textId="7C7BD88F" w:rsidR="0065098B" w:rsidRPr="00D0492D" w:rsidRDefault="0065098B" w:rsidP="00876F60">
      <w:pPr>
        <w:pStyle w:val="FootnoteText"/>
        <w:rPr>
          <w:lang w:val="en-US"/>
        </w:rPr>
      </w:pPr>
      <w:r w:rsidRPr="00ED461D">
        <w:rPr>
          <w:rStyle w:val="FootnoteReference"/>
        </w:rPr>
        <w:footnoteRef/>
      </w:r>
      <w:r w:rsidRPr="00D0492D">
        <w:rPr>
          <w:lang w:val="en-US"/>
        </w:rPr>
        <w:t xml:space="preserve"> </w:t>
      </w:r>
      <w:bookmarkStart w:id="34" w:name="_Hlk122215778"/>
      <w:r w:rsidRPr="007D4448">
        <w:fldChar w:fldCharType="begin"/>
      </w:r>
      <w:r w:rsidR="00BE2E7B">
        <w:rPr>
          <w:lang w:val="en-US"/>
        </w:rPr>
        <w:instrText xml:space="preserve"> ADDIN ZOTERO_ITEM CSL_CITATION {"citationID":"AuBE77U7","properties":{"formattedCitation":"Friedson et al. (2021)","plainCitation":"Friedson et al. (2021)","noteIndex":8},"citationItems":[{"id":3711,"uris":["http://zotero.org/groups/2170464/items/F92QXFZH"],"itemData":{"id":3711,"type":"article-journal","abstract":"A shelter-in-place order (SIPO) is one of the most restrictive non-pharmaceutical interventions designed to curb the spread of COVID-19. On March 19, 2020, California Governor Gavin Newsom issued the first statewide SIPO in the United States. The order closed non-essential businesses and required residents to shelter in place for all but essential activities such as grocery shopping, retrieving prescriptions from a pharmacy, or caring for relatives. This study is the first in the economics literature to estimate the effect of a statewide SIPO on public health. Using daily state-level coronavirus data and a synthetic control research design, we find that California's statewide SIPO reduced COVID-19 cases by 160.9 to 194.7 per 100,000 population by April 20, one month following the order. We further find that California's SIPO led to as many as 1,566 fewer COVID-19 deaths during this period. Back-of-the-envelope calculations suggest that there were about 649 to 703 job losses per life saved, and about 14 to16 job losses per case averted during this post-treatment period.","container-title":"Journal of Policy Analysis and Management","DOI":"10.1002/pam.22267","ISSN":"1520-6688","issue":"1","language":"en","note":"_eprint: https://onlinelibrary.wiley.com/doi/pdf/10.1002/pam.22267","page":"258-283","source":"Wiley Online Library","title":"Shelter-in-Place Orders and Public Health: Evidence from California During the Covid-19 Pandemic","title-short":"Shelter-in-Place Orders and Public Health","volume":"40","author":[{"family":"Friedson","given":"Andrew I."},{"family":"McNichols","given":"Drew"},{"family":"Sabia","given":"Joseph J."},{"family":"Dave","given":"Dhaval"}],"issued":{"date-parts":[["2021",12,11]]}}}],"schema":"https://github.com/citation-style-language/schema/raw/master/csl-citation.json"} </w:instrText>
      </w:r>
      <w:r w:rsidRPr="007D4448">
        <w:fldChar w:fldCharType="separate"/>
      </w:r>
      <w:r w:rsidR="00BE2E7B" w:rsidRPr="00BE2E7B">
        <w:rPr>
          <w:rFonts w:cs="Calibri"/>
          <w:lang w:val="en-US"/>
        </w:rPr>
        <w:t>Friedson et al. (2021)</w:t>
      </w:r>
      <w:r w:rsidRPr="007D4448">
        <w:fldChar w:fldCharType="end"/>
      </w:r>
      <w:r w:rsidRPr="00D0492D">
        <w:rPr>
          <w:lang w:val="en-US"/>
        </w:rPr>
        <w:t xml:space="preserve"> </w:t>
      </w:r>
      <w:bookmarkEnd w:id="34"/>
      <w:r w:rsidRPr="00D0492D">
        <w:rPr>
          <w:lang w:val="en-US"/>
        </w:rPr>
        <w:t>estimate that “the adoption of a SIPO is associated with 636 to 1,556 fewer deaths across these specifications, with a median estimate of around 1,436 lives saved.” By the end of their study-period (April 20, 2020)</w:t>
      </w:r>
      <w:r w:rsidR="00802EE4">
        <w:rPr>
          <w:lang w:val="en-US"/>
        </w:rPr>
        <w:t>,</w:t>
      </w:r>
      <w:r w:rsidRPr="00D0492D">
        <w:rPr>
          <w:lang w:val="en-US"/>
        </w:rPr>
        <w:t xml:space="preserve"> there were 1,201 COVID-19 deaths in California, so the effect of </w:t>
      </w:r>
      <w:r w:rsidR="00802EE4">
        <w:rPr>
          <w:lang w:val="en-US"/>
        </w:rPr>
        <w:t xml:space="preserve">the </w:t>
      </w:r>
      <w:r w:rsidRPr="00D0492D">
        <w:rPr>
          <w:lang w:val="en-US"/>
        </w:rPr>
        <w:t>SIPO is estimated at -35% to -56%, with a median estimate of -54%.</w:t>
      </w:r>
    </w:p>
  </w:footnote>
  <w:footnote w:id="11">
    <w:p w14:paraId="2EC67F16" w14:textId="77777777" w:rsidR="0065098B" w:rsidRPr="00D0492D" w:rsidRDefault="0065098B" w:rsidP="00876F60">
      <w:pPr>
        <w:pStyle w:val="FootnoteText"/>
        <w:rPr>
          <w:lang w:val="en-US"/>
        </w:rPr>
      </w:pPr>
      <w:r w:rsidRPr="00ED461D">
        <w:rPr>
          <w:rStyle w:val="FootnoteReference"/>
        </w:rPr>
        <w:footnoteRef/>
      </w:r>
      <w:r w:rsidRPr="00D0492D">
        <w:rPr>
          <w:lang w:val="en-US"/>
        </w:rPr>
        <w:t xml:space="preserve"> See https://governor.sc.gov/news/2020-04/governor-mcmaster-issues-home-or-work-order</w:t>
      </w:r>
    </w:p>
  </w:footnote>
  <w:footnote w:id="12">
    <w:p w14:paraId="2A1D466A" w14:textId="6D233188" w:rsidR="00876F60" w:rsidRPr="00F12450" w:rsidRDefault="00876F60" w:rsidP="00876F60">
      <w:pPr>
        <w:pStyle w:val="FootnoteText"/>
        <w:rPr>
          <w:lang w:val="en-US"/>
        </w:rPr>
      </w:pPr>
      <w:r w:rsidRPr="00ED461D">
        <w:rPr>
          <w:rStyle w:val="FootnoteReference"/>
        </w:rPr>
        <w:footnoteRef/>
      </w:r>
      <w:r w:rsidRPr="00F12450">
        <w:rPr>
          <w:lang w:val="en-US"/>
        </w:rPr>
        <w:t xml:space="preserve"> </w:t>
      </w:r>
      <w:r w:rsidR="008A23DB">
        <w:rPr>
          <w:lang w:val="en-US"/>
        </w:rPr>
        <w:fldChar w:fldCharType="begin"/>
      </w:r>
      <w:r w:rsidR="00BE2E7B">
        <w:rPr>
          <w:lang w:val="en-US"/>
        </w:rPr>
        <w:instrText xml:space="preserve"> ADDIN ZOTERO_ITEM CSL_CITATION {"citationID":"9uJXXWo0","properties":{"formattedCitation":"Garc\\uc0\\u237{}a-Garc\\uc0\\u237{}a et al. (2021)","plainCitation":"García-García et al. (2021)","noteIndex":10},"citationItems":[{"id":2803,"uris":["http://zotero.org/groups/2170464/items/W3HGEDXX"],"itemData":{"id":2803,"type":"article-journal","abstract":"The number of new daily infections is one of the main parameters to understand the dynamics of an epidemic. During the COVID-19 pandemic in 2020, however, such information has been underestimated. Here, we propose a retrospective methodology to estimate daily infections from daily deaths, because those are usually more accurately documented. Given the incubation period, the time from illness onset to death, and the case fatality ratio, the date of death can be estimated from the date of infection. We apply this idea conversely to estimate infections from deaths. This methodology is applied to Spain and its 19 administrative regions. Our results showed that probable daily infections during the first wave were between 35 and 42 times more than those officially documented on 14 March, when the national government decreed a national lockdown and 9 times more than those documented by the updated version of the official data. The national lockdown had a strong effect on the growth rate of virus transmission, which began to decrease immediately. Finally, the first inferred infection in Spain is about 43 days before the official data were available during the first wave. The current official data show delays of 15–30 days in the first infection relative to the inferred infections in 63% of the regions. In summary, we propose a methodology that allows reinterpretation of official daily infections, improving data accuracy in infection magnitude and dates because it assimilates valuable information from the National Seroprevalence Studies.","container-title":"Scientific Reports","DOI":"10.1038/s41598-021-90051-7","ISSN":"2045-2322","issue":"1","journalAbbreviation":"Sci Rep","language":"en","license":"2021 The Author(s)","note":"number: 1\npublisher: Nature Publishing Group","page":"11274","source":"www.nature.com","title":"Retrospective methodology to estimate daily infections from deaths (REMEDID) in COVID-19: the Spain case study","title-short":"Retrospective methodology to estimate daily infections from deaths (REMEDID) in COVID-19","volume":"11","author":[{"family":"García-García","given":"David"},{"family":"Vigo","given":"María Isabel"},{"family":"Fonfría","given":"Eva S."},{"family":"Herrador","given":"Zaida"},{"family":"Navarro","given":"Miriam"},{"family":"Bordehore","given":"Cesar"}],"issued":{"date-parts":[["2021",5,28]]}}}],"schema":"https://github.com/citation-style-language/schema/raw/master/csl-citation.json"} </w:instrText>
      </w:r>
      <w:r w:rsidR="008A23DB">
        <w:rPr>
          <w:lang w:val="en-US"/>
        </w:rPr>
        <w:fldChar w:fldCharType="separate"/>
      </w:r>
      <w:r w:rsidR="00BE2E7B" w:rsidRPr="00BE2E7B">
        <w:rPr>
          <w:rFonts w:cs="Calibri"/>
          <w:lang w:val="en-US"/>
        </w:rPr>
        <w:t>García-García et al. (2021)</w:t>
      </w:r>
      <w:r w:rsidR="008A23DB">
        <w:rPr>
          <w:lang w:val="en-US"/>
        </w:rPr>
        <w:fldChar w:fldCharType="end"/>
      </w:r>
      <w:r w:rsidR="00023D10" w:rsidRPr="00412F20">
        <w:rPr>
          <w:lang w:val="en-US"/>
        </w:rPr>
        <w:t xml:space="preserve"> find </w:t>
      </w:r>
      <w:r w:rsidR="00023D10" w:rsidRPr="008248C1">
        <w:rPr>
          <w:lang w:val="en-US"/>
        </w:rPr>
        <w:t xml:space="preserve">a </w:t>
      </w:r>
      <w:r w:rsidR="00412F20" w:rsidRPr="008248C1">
        <w:rPr>
          <w:lang w:val="en-US"/>
        </w:rPr>
        <w:t>somewhat different distribution</w:t>
      </w:r>
      <w:r w:rsidR="00412F20">
        <w:rPr>
          <w:lang w:val="en-US"/>
        </w:rPr>
        <w:t xml:space="preserve">, where </w:t>
      </w:r>
      <w:r w:rsidR="009A6F9E">
        <w:rPr>
          <w:lang w:val="en-US"/>
        </w:rPr>
        <w:t>app</w:t>
      </w:r>
      <w:r w:rsidR="00181532">
        <w:rPr>
          <w:lang w:val="en-US"/>
        </w:rPr>
        <w:t xml:space="preserve">roximately </w:t>
      </w:r>
      <w:r w:rsidR="009A6F9E">
        <w:rPr>
          <w:lang w:val="en-US"/>
        </w:rPr>
        <w:t>20% die within 14 days (</w:t>
      </w:r>
      <w:r w:rsidR="009A6F9E">
        <w:rPr>
          <w:lang w:val="en-US"/>
        </w:rPr>
        <w:fldChar w:fldCharType="begin"/>
      </w:r>
      <w:r w:rsidR="00BE2E7B">
        <w:rPr>
          <w:lang w:val="en-US"/>
        </w:rPr>
        <w:instrText xml:space="preserve"> ADDIN ZOTERO_ITEM CSL_CITATION {"citationID":"GgBgAFpZ","properties":{"formattedCitation":"Wood (2022)","plainCitation":"Wood (2022)","noteIndex":10},"citationItems":[{"id":4486,"uris":["http://zotero.org/groups/2170464/items/UF3BVFLH"],"itemData":{"id":4486,"type":"article-journal","abstract":"The number of new infections per day is a key quantity for effective epidemic management. It can be estimated relatively directly by testing of random population samples. Without such direct epidemiological measurement, other approaches are required to infer whether the number of new cases is likely to be increasing or decreasing: for example, estimating the pathogen-effective reproduction number, R, using data gathered from the clinical response to the disease. For coronavirus disease 2019 (Covid-19/SARS-Cov-2), such R estimation is heavily dependent on modelling assumptions, because the available clinical case data are opportunistic observational data subject to severe temporal confounding. Given this difficulty, it is useful to retrospectively reconstruct the time course of infections from the least compromised available data, using minimal prior assumptions. A Bayesian inverse problem approach applied to UK data on first-wave Covid-19 deaths and the disease duration distribution suggests that fatal infections were in decline before full UK lockdown (24 March 2020), and that fatal infections in Sweden started to decline only a day or two later. An analysis of UK data using the model of Flaxman et al. gives the same result under relaxation of its prior assumptions on R, suggesting an enhanced role for non-pharmaceutical interventions short of full lockdown in the UK context. Similar patterns appear to have occurred in the subsequent two lockdowns.","container-title":"Biometrics","DOI":"10.1111/biom.13462","ISSN":"1541-0420","issue":"3","language":"en","note":"_eprint: https://onlinelibrary.wiley.com/doi/pdf/10.1111/biom.13462","page":"1127-1140","source":"Wiley Online Library","title":"Inferring UK COVID-19 fatal infection trajectories from daily mortality data: Were infections already in decline before the UK lockdowns?","title-short":"Inferring UK COVID-19 fatal infection trajectories from daily mortality data","volume":"78","author":[{"family":"Wood","given":"Simon N."}],"issued":{"date-parts":[["2022"]]}}}],"schema":"https://github.com/citation-style-language/schema/raw/master/csl-citation.json"} </w:instrText>
      </w:r>
      <w:r w:rsidR="009A6F9E">
        <w:rPr>
          <w:lang w:val="en-US"/>
        </w:rPr>
        <w:fldChar w:fldCharType="separate"/>
      </w:r>
      <w:r w:rsidR="00BE2E7B" w:rsidRPr="00D265BE">
        <w:rPr>
          <w:rFonts w:cs="Calibri"/>
          <w:lang w:val="en-US"/>
        </w:rPr>
        <w:t>Wood (2022)</w:t>
      </w:r>
      <w:r w:rsidR="009A6F9E">
        <w:rPr>
          <w:lang w:val="en-US"/>
        </w:rPr>
        <w:fldChar w:fldCharType="end"/>
      </w:r>
      <w:r w:rsidR="007C5024">
        <w:rPr>
          <w:lang w:val="en-US"/>
        </w:rPr>
        <w:t xml:space="preserve">: 11%), 42% die </w:t>
      </w:r>
      <w:r w:rsidR="000B6D32">
        <w:rPr>
          <w:lang w:val="en-US"/>
        </w:rPr>
        <w:t xml:space="preserve">on </w:t>
      </w:r>
      <w:r w:rsidR="007C5024">
        <w:rPr>
          <w:lang w:val="en-US"/>
        </w:rPr>
        <w:t>day 15</w:t>
      </w:r>
      <w:r w:rsidR="000B6D32">
        <w:rPr>
          <w:lang w:val="en-US"/>
        </w:rPr>
        <w:t xml:space="preserve"> to </w:t>
      </w:r>
      <w:r w:rsidR="007C5024">
        <w:rPr>
          <w:lang w:val="en-US"/>
        </w:rPr>
        <w:t>21</w:t>
      </w:r>
      <w:r w:rsidR="000B6D32">
        <w:rPr>
          <w:lang w:val="en-US"/>
        </w:rPr>
        <w:t xml:space="preserve"> (29%), and 25% on day </w:t>
      </w:r>
      <w:r w:rsidR="00044E43">
        <w:rPr>
          <w:lang w:val="en-US"/>
        </w:rPr>
        <w:t>22 to 28 (26%). However, the overall conclusion</w:t>
      </w:r>
      <w:r w:rsidR="00181532">
        <w:rPr>
          <w:lang w:val="en-US"/>
        </w:rPr>
        <w:t xml:space="preserve"> </w:t>
      </w:r>
      <w:r w:rsidR="002D0392">
        <w:rPr>
          <w:lang w:val="en-US"/>
        </w:rPr>
        <w:t xml:space="preserve">that the effect of lockdowns </w:t>
      </w:r>
      <w:proofErr w:type="gramStart"/>
      <w:r w:rsidR="002D0392">
        <w:rPr>
          <w:lang w:val="en-US"/>
        </w:rPr>
        <w:t>are</w:t>
      </w:r>
      <w:proofErr w:type="gramEnd"/>
      <w:r w:rsidR="002D0392">
        <w:rPr>
          <w:lang w:val="en-US"/>
        </w:rPr>
        <w:t xml:space="preserve"> not visible in mortality data </w:t>
      </w:r>
      <w:r w:rsidR="008248C1">
        <w:rPr>
          <w:lang w:val="en-US"/>
        </w:rPr>
        <w:t>the first 14 days remains.</w:t>
      </w:r>
    </w:p>
  </w:footnote>
  <w:footnote w:id="13">
    <w:p w14:paraId="42898341" w14:textId="6B8FE708" w:rsidR="00E622FC" w:rsidRPr="008C407A" w:rsidRDefault="00E622FC" w:rsidP="00876F60">
      <w:pPr>
        <w:pStyle w:val="FootnoteText"/>
        <w:rPr>
          <w:lang w:val="en-US"/>
        </w:rPr>
      </w:pPr>
      <w:r w:rsidRPr="00ED461D">
        <w:rPr>
          <w:rStyle w:val="FootnoteReference"/>
        </w:rPr>
        <w:footnoteRef/>
      </w:r>
      <w:r w:rsidRPr="008C407A">
        <w:rPr>
          <w:lang w:val="en-US"/>
        </w:rPr>
        <w:t xml:space="preserve"> </w:t>
      </w:r>
      <w:r w:rsidRPr="00E622FC">
        <w:rPr>
          <w:lang w:val="en-US"/>
        </w:rPr>
        <w:t>The SEIR-model was downloaded from https://www.wku.edu/da/covid-19-research/excel_sir_model.php (direct link: https://www.wku.edu/da/covid-19-research/sir_model.xlsx) and used the following values: Gamme = 0.2, Delta = 0.005, Lambda = 0.333 and Beta = 0,5168</w:t>
      </w:r>
      <w:r>
        <w:rPr>
          <w:lang w:val="en-US"/>
        </w:rPr>
        <w:t xml:space="preserve"> (before lockdown) and </w:t>
      </w:r>
      <w:r w:rsidRPr="00E622FC">
        <w:rPr>
          <w:lang w:val="en-US"/>
        </w:rPr>
        <w:t>0,1408</w:t>
      </w:r>
      <w:r>
        <w:rPr>
          <w:lang w:val="en-US"/>
        </w:rPr>
        <w:t xml:space="preserve"> (after lockdown). The </w:t>
      </w:r>
      <w:r w:rsidR="00AC7680">
        <w:rPr>
          <w:lang w:val="en-US"/>
        </w:rPr>
        <w:t xml:space="preserve">values of Beta corresponds to </w:t>
      </w:r>
      <w:r w:rsidR="00760243">
        <w:rPr>
          <w:lang w:val="en-US"/>
        </w:rPr>
        <w:t xml:space="preserve">the </w:t>
      </w:r>
      <w:r w:rsidR="00AC7680">
        <w:rPr>
          <w:lang w:val="en-US"/>
        </w:rPr>
        <w:t xml:space="preserve">values </w:t>
      </w:r>
      <w:r w:rsidR="00AE3539">
        <w:rPr>
          <w:lang w:val="en-US"/>
        </w:rPr>
        <w:t>of the reproduction rate</w:t>
      </w:r>
      <w:r w:rsidR="003135A1">
        <w:rPr>
          <w:lang w:val="en-US"/>
        </w:rPr>
        <w:t>,</w:t>
      </w:r>
      <w:r w:rsidR="003135A1" w:rsidRPr="003135A1">
        <w:rPr>
          <w:lang w:val="en-US"/>
        </w:rPr>
        <w:t xml:space="preserve"> </w:t>
      </w:r>
      <w:r w:rsidR="003135A1">
        <w:rPr>
          <w:lang w:val="en-US"/>
        </w:rPr>
        <w:t>R</w:t>
      </w:r>
      <w:r w:rsidR="003135A1" w:rsidRPr="007E4007">
        <w:rPr>
          <w:vertAlign w:val="subscript"/>
          <w:lang w:val="en-US"/>
        </w:rPr>
        <w:t>t</w:t>
      </w:r>
      <w:r w:rsidR="003135A1">
        <w:rPr>
          <w:lang w:val="en-US"/>
        </w:rPr>
        <w:t xml:space="preserve">, </w:t>
      </w:r>
      <w:r w:rsidR="00AC7680">
        <w:rPr>
          <w:lang w:val="en-US"/>
        </w:rPr>
        <w:t xml:space="preserve">for Sweden derived from </w:t>
      </w:r>
      <w:r w:rsidR="00B70E54">
        <w:rPr>
          <w:lang w:val="en-US"/>
        </w:rPr>
        <w:t>“</w:t>
      </w:r>
      <w:r w:rsidR="00B70E54" w:rsidRPr="008C407A">
        <w:rPr>
          <w:lang w:val="en-US"/>
        </w:rPr>
        <w:t>Extended Data Fig. 1</w:t>
      </w:r>
      <w:r w:rsidR="00B70E54">
        <w:rPr>
          <w:lang w:val="en-US"/>
        </w:rPr>
        <w:t xml:space="preserve">” in </w:t>
      </w:r>
      <w:r w:rsidR="00B70E54">
        <w:rPr>
          <w:lang w:val="en-US"/>
        </w:rPr>
        <w:fldChar w:fldCharType="begin"/>
      </w:r>
      <w:r w:rsidR="00BE2E7B">
        <w:rPr>
          <w:lang w:val="en-US"/>
        </w:rPr>
        <w:instrText xml:space="preserve"> ADDIN ZOTERO_ITEM CSL_CITATION {"citationID":"XUFabrIM","properties":{"formattedCitation":"Flaxman et al. (2020)","plainCitation":"Flaxman et al. (2020)","noteIndex":11},"citationItems":[{"id":4353,"uris":["http://zotero.org/groups/2170464/items/CJQB4NGW"],"itemData":{"id":4353,"type":"article-journal","container-title":"Nature","DOI":"10.1038/s41586-020-2405-7","ISSN":"0028-0836, 1476-4687","issue":"7820","journalAbbreviation":"Nature","language":"en","note":"number: 7820","page":"257-261","source":"DOI.org (Crossref)","title":"Estimating the effects of non-pharmaceutical interventions on COVID-19 in Europe","volume":"584","author":[{"family":"Flaxman","given":"Seth"},{"family":"Mishra","given":"Swapnil"},{"family":"Gandy","given":"Axel"},{"family":"Unwin","given":"H. Juliette T."},{"family":"Mellan","given":"Thomas A."},{"family":"Coupland","given":"Helen"},{"family":"Whittaker","given":"Charles"},{"family":"Zhu","given":"Harrison"},{"family":"Berah","given":"Tresnia"},{"family":"Eaton","given":"Jeffrey W."},{"family":"Monod","given":"Mélodie"},{"family":"Ghani","given":"Azra C."},{"family":"Donnelly","given":"Christl A."},{"family":"Riley","given":"Steven"},{"family":"Vollmer","given":"Michaela A. C."},{"family":"Ferguson","given":"Neil M."},{"family":"Okell","given":"Lucy C."},{"family":"Bhatt","given":"Samir"}],"issued":{"date-parts":[["2020",6,8]]}}}],"schema":"https://github.com/citation-style-language/schema/raw/master/csl-citation.json"} </w:instrText>
      </w:r>
      <w:r w:rsidR="00B70E54">
        <w:rPr>
          <w:lang w:val="en-US"/>
        </w:rPr>
        <w:fldChar w:fldCharType="separate"/>
      </w:r>
      <w:r w:rsidR="00BE2E7B" w:rsidRPr="00BE2E7B">
        <w:rPr>
          <w:rFonts w:cs="Calibri"/>
          <w:lang w:val="en-US"/>
        </w:rPr>
        <w:t>Flaxman et al. (2020)</w:t>
      </w:r>
      <w:r w:rsidR="00B70E54">
        <w:rPr>
          <w:lang w:val="en-US"/>
        </w:rPr>
        <w:fldChar w:fldCharType="end"/>
      </w:r>
      <w:r w:rsidR="00AE3539">
        <w:rPr>
          <w:lang w:val="en-US"/>
        </w:rPr>
        <w:t xml:space="preserve"> </w:t>
      </w:r>
      <w:r w:rsidR="00D26A22">
        <w:rPr>
          <w:lang w:val="en-US"/>
        </w:rPr>
        <w:t>(</w:t>
      </w:r>
      <w:r w:rsidR="005145FB">
        <w:rPr>
          <w:lang w:val="en-US"/>
        </w:rPr>
        <w:t xml:space="preserve">they estimate </w:t>
      </w:r>
      <w:r w:rsidR="00AE3539">
        <w:rPr>
          <w:lang w:val="en-US"/>
        </w:rPr>
        <w:t>R</w:t>
      </w:r>
      <w:r w:rsidR="00AE3539" w:rsidRPr="008C407A">
        <w:rPr>
          <w:vertAlign w:val="subscript"/>
          <w:lang w:val="en-US"/>
        </w:rPr>
        <w:t>t</w:t>
      </w:r>
      <w:r w:rsidR="00D26A22">
        <w:rPr>
          <w:lang w:val="en-US"/>
        </w:rPr>
        <w:t xml:space="preserve"> </w:t>
      </w:r>
      <w:r w:rsidR="005145FB">
        <w:rPr>
          <w:lang w:val="en-US"/>
        </w:rPr>
        <w:t xml:space="preserve">to </w:t>
      </w:r>
      <w:r w:rsidR="00D26A22" w:rsidRPr="00D26A22">
        <w:rPr>
          <w:lang w:val="en-US"/>
        </w:rPr>
        <w:t>2</w:t>
      </w:r>
      <w:r w:rsidR="00D26A22">
        <w:rPr>
          <w:lang w:val="en-US"/>
        </w:rPr>
        <w:t>.</w:t>
      </w:r>
      <w:r w:rsidR="00D26A22" w:rsidRPr="00D26A22">
        <w:rPr>
          <w:lang w:val="en-US"/>
        </w:rPr>
        <w:t>584</w:t>
      </w:r>
      <w:r w:rsidR="00D26A22">
        <w:rPr>
          <w:lang w:val="en-US"/>
        </w:rPr>
        <w:t xml:space="preserve"> before public</w:t>
      </w:r>
      <w:r w:rsidR="005145FB">
        <w:rPr>
          <w:lang w:val="en-US"/>
        </w:rPr>
        <w:t xml:space="preserve"> events were banned and </w:t>
      </w:r>
      <w:r w:rsidR="005145FB" w:rsidRPr="005145FB">
        <w:rPr>
          <w:lang w:val="en-US"/>
        </w:rPr>
        <w:t>0</w:t>
      </w:r>
      <w:r w:rsidR="00F506DA">
        <w:rPr>
          <w:lang w:val="en-US"/>
        </w:rPr>
        <w:t>.</w:t>
      </w:r>
      <w:r w:rsidR="005145FB" w:rsidRPr="005145FB">
        <w:rPr>
          <w:lang w:val="en-US"/>
        </w:rPr>
        <w:t>704</w:t>
      </w:r>
      <w:r w:rsidR="005145FB">
        <w:rPr>
          <w:lang w:val="en-US"/>
        </w:rPr>
        <w:t xml:space="preserve"> after the ban)</w:t>
      </w:r>
      <w:r w:rsidR="00B70E54">
        <w:rPr>
          <w:lang w:val="en-US"/>
        </w:rPr>
        <w:t>.</w:t>
      </w:r>
    </w:p>
  </w:footnote>
  <w:footnote w:id="14">
    <w:p w14:paraId="7196F18D" w14:textId="65135D4C" w:rsidR="00820EC0" w:rsidRPr="008C407A" w:rsidRDefault="00820EC0" w:rsidP="00876F60">
      <w:pPr>
        <w:pStyle w:val="FootnoteText"/>
        <w:rPr>
          <w:lang w:val="en-US"/>
        </w:rPr>
      </w:pPr>
      <w:r w:rsidRPr="00ED461D">
        <w:rPr>
          <w:rStyle w:val="FootnoteReference"/>
        </w:rPr>
        <w:footnoteRef/>
      </w:r>
      <w:r w:rsidRPr="008C407A">
        <w:rPr>
          <w:lang w:val="en-US"/>
        </w:rPr>
        <w:t xml:space="preserve"> </w:t>
      </w:r>
      <w:r>
        <w:rPr>
          <w:lang w:val="en-US"/>
        </w:rPr>
        <w:t xml:space="preserve">For example, see </w:t>
      </w:r>
      <w:r>
        <w:fldChar w:fldCharType="begin"/>
      </w:r>
      <w:r w:rsidR="00BE2E7B">
        <w:rPr>
          <w:lang w:val="en-US"/>
        </w:rPr>
        <w:instrText xml:space="preserve"> ADDIN ZOTERO_ITEM CSL_CITATION {"citationID":"ycQjodqA","properties":{"formattedCitation":"Wood (2022)","plainCitation":"Wood (2022)","noteIndex":12},"citationItems":[{"id":4486,"uris":["http://zotero.org/groups/2170464/items/UF3BVFLH"],"itemData":{"id":4486,"type":"article-journal","abstract":"The number of new infections per day is a key quantity for effective epidemic management. It can be estimated relatively directly by testing of random population samples. Without such direct epidemiological measurement, other approaches are required to infer whether the number of new cases is likely to be increasing or decreasing: for example, estimating the pathogen-effective reproduction number, R, using data gathered from the clinical response to the disease. For coronavirus disease 2019 (Covid-19/SARS-Cov-2), such R estimation is heavily dependent on modelling assumptions, because the available clinical case data are opportunistic observational data subject to severe temporal confounding. Given this difficulty, it is useful to retrospectively reconstruct the time course of infections from the least compromised available data, using minimal prior assumptions. A Bayesian inverse problem approach applied to UK data on first-wave Covid-19 deaths and the disease duration distribution suggests that fatal infections were in decline before full UK lockdown (24 March 2020), and that fatal infections in Sweden started to decline only a day or two later. An analysis of UK data using the model of Flaxman et al. gives the same result under relaxation of its prior assumptions on R, suggesting an enhanced role for non-pharmaceutical interventions short of full lockdown in the UK context. Similar patterns appear to have occurred in the subsequent two lockdowns.","container-title":"Biometrics","DOI":"10.1111/biom.13462","ISSN":"1541-0420","issue":"3","language":"en","note":"_eprint: https://onlinelibrary.wiley.com/doi/pdf/10.1111/biom.13462","page":"1127-1140","source":"Wiley Online Library","title":"Inferring UK COVID-19 fatal infection trajectories from daily mortality data: Were infections already in decline before the UK lockdowns?","title-short":"Inferring UK COVID-19 fatal infection trajectories from daily mortality data","volume":"78","author":[{"family":"Wood","given":"Simon N."}],"issued":{"date-parts":[["2022"]]}}}],"schema":"https://github.com/citation-style-language/schema/raw/master/csl-citation.json"} </w:instrText>
      </w:r>
      <w:r>
        <w:fldChar w:fldCharType="separate"/>
      </w:r>
      <w:r w:rsidR="00BE2E7B" w:rsidRPr="00BE2E7B">
        <w:rPr>
          <w:rFonts w:cs="Calibri"/>
          <w:lang w:val="en-US"/>
        </w:rPr>
        <w:t>Wood (2022)</w:t>
      </w:r>
      <w:r>
        <w:fldChar w:fldCharType="end"/>
      </w:r>
      <w:r w:rsidRPr="008C407A">
        <w:rPr>
          <w:lang w:val="en-US"/>
        </w:rPr>
        <w:t xml:space="preserve"> </w:t>
      </w:r>
      <w:r>
        <w:rPr>
          <w:lang w:val="en-US"/>
        </w:rPr>
        <w:t>f</w:t>
      </w:r>
      <w:r w:rsidRPr="008C407A">
        <w:rPr>
          <w:lang w:val="en-US"/>
        </w:rPr>
        <w:t>igure 3</w:t>
      </w:r>
      <w:r>
        <w:rPr>
          <w:lang w:val="en-U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8593CCC" w14:textId="77777777" w:rsidR="003A7AB5" w:rsidRDefault="003A7AB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9B4B652" w14:textId="77777777" w:rsidR="00414C25" w:rsidRPr="003A7AB5" w:rsidRDefault="00414C25" w:rsidP="003A7AB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0DC505" w14:textId="77777777" w:rsidR="003A7AB5" w:rsidRPr="003A7AB5" w:rsidRDefault="003A7AB5" w:rsidP="003A7AB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246A755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440069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C924EE1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7B64F90"/>
    <w:lvl w:ilvl="0">
      <w:start w:val="1"/>
      <w:numFmt w:val="decimal"/>
      <w:pStyle w:val="ListNumber2"/>
      <w:lvlText w:val="%1."/>
      <w:lvlJc w:val="left"/>
      <w:pPr>
        <w:tabs>
          <w:tab w:val="num" w:pos="643"/>
        </w:tabs>
        <w:ind w:left="643" w:hanging="360"/>
      </w:pPr>
    </w:lvl>
  </w:abstractNum>
  <w:abstractNum w:abstractNumId="4" w15:restartNumberingAfterBreak="0">
    <w:nsid w:val="FFFFFF88"/>
    <w:multiLevelType w:val="singleLevel"/>
    <w:tmpl w:val="535EC4D8"/>
    <w:lvl w:ilvl="0">
      <w:start w:val="1"/>
      <w:numFmt w:val="decimal"/>
      <w:pStyle w:val="ListNumber"/>
      <w:lvlText w:val="%1."/>
      <w:lvlJc w:val="left"/>
      <w:pPr>
        <w:tabs>
          <w:tab w:val="num" w:pos="360"/>
        </w:tabs>
        <w:ind w:left="360" w:hanging="360"/>
      </w:pPr>
    </w:lvl>
  </w:abstractNum>
  <w:abstractNum w:abstractNumId="5" w15:restartNumberingAfterBreak="0">
    <w:nsid w:val="FFFFFF89"/>
    <w:multiLevelType w:val="singleLevel"/>
    <w:tmpl w:val="09DED34E"/>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0562316B"/>
    <w:multiLevelType w:val="hybridMultilevel"/>
    <w:tmpl w:val="EEE0BA6E"/>
    <w:lvl w:ilvl="0" w:tplc="EB0228BA">
      <w:numFmt w:val="bullet"/>
      <w:lvlText w:val=""/>
      <w:lvlJc w:val="left"/>
      <w:pPr>
        <w:ind w:left="720" w:hanging="360"/>
      </w:pPr>
      <w:rPr>
        <w:rFonts w:ascii="Symbol" w:eastAsiaTheme="minorHAnsi" w:hAnsi="Symbol" w:cs="Times New Roman" w:hint="default"/>
      </w:rPr>
    </w:lvl>
    <w:lvl w:ilvl="1" w:tplc="20000003">
      <w:start w:val="1"/>
      <w:numFmt w:val="bullet"/>
      <w:lvlText w:val="o"/>
      <w:lvlJc w:val="left"/>
      <w:pPr>
        <w:ind w:left="1440" w:hanging="360"/>
      </w:pPr>
      <w:rPr>
        <w:rFonts w:ascii="Courier New" w:hAnsi="Courier New" w:cs="Courier New" w:hint="default"/>
      </w:rPr>
    </w:lvl>
    <w:lvl w:ilvl="2" w:tplc="20000005">
      <w:start w:val="1"/>
      <w:numFmt w:val="bullet"/>
      <w:lvlText w:val=""/>
      <w:lvlJc w:val="left"/>
      <w:pPr>
        <w:ind w:left="2160" w:hanging="360"/>
      </w:pPr>
      <w:rPr>
        <w:rFonts w:ascii="Wingdings" w:hAnsi="Wingdings" w:hint="default"/>
      </w:rPr>
    </w:lvl>
    <w:lvl w:ilvl="3" w:tplc="20000001">
      <w:start w:val="1"/>
      <w:numFmt w:val="bullet"/>
      <w:lvlText w:val=""/>
      <w:lvlJc w:val="left"/>
      <w:pPr>
        <w:ind w:left="2880" w:hanging="360"/>
      </w:pPr>
      <w:rPr>
        <w:rFonts w:ascii="Symbol" w:hAnsi="Symbol" w:hint="default"/>
      </w:rPr>
    </w:lvl>
    <w:lvl w:ilvl="4" w:tplc="20000003">
      <w:start w:val="1"/>
      <w:numFmt w:val="bullet"/>
      <w:lvlText w:val="o"/>
      <w:lvlJc w:val="left"/>
      <w:pPr>
        <w:ind w:left="3600" w:hanging="360"/>
      </w:pPr>
      <w:rPr>
        <w:rFonts w:ascii="Courier New" w:hAnsi="Courier New" w:cs="Courier New" w:hint="default"/>
      </w:rPr>
    </w:lvl>
    <w:lvl w:ilvl="5" w:tplc="20000005">
      <w:start w:val="1"/>
      <w:numFmt w:val="bullet"/>
      <w:lvlText w:val=""/>
      <w:lvlJc w:val="left"/>
      <w:pPr>
        <w:ind w:left="4320" w:hanging="360"/>
      </w:pPr>
      <w:rPr>
        <w:rFonts w:ascii="Wingdings" w:hAnsi="Wingdings" w:hint="default"/>
      </w:rPr>
    </w:lvl>
    <w:lvl w:ilvl="6" w:tplc="20000001">
      <w:start w:val="1"/>
      <w:numFmt w:val="bullet"/>
      <w:lvlText w:val=""/>
      <w:lvlJc w:val="left"/>
      <w:pPr>
        <w:ind w:left="5040" w:hanging="360"/>
      </w:pPr>
      <w:rPr>
        <w:rFonts w:ascii="Symbol" w:hAnsi="Symbol" w:hint="default"/>
      </w:rPr>
    </w:lvl>
    <w:lvl w:ilvl="7" w:tplc="20000003">
      <w:start w:val="1"/>
      <w:numFmt w:val="bullet"/>
      <w:lvlText w:val="o"/>
      <w:lvlJc w:val="left"/>
      <w:pPr>
        <w:ind w:left="5760" w:hanging="360"/>
      </w:pPr>
      <w:rPr>
        <w:rFonts w:ascii="Courier New" w:hAnsi="Courier New" w:cs="Courier New" w:hint="default"/>
      </w:rPr>
    </w:lvl>
    <w:lvl w:ilvl="8" w:tplc="20000005">
      <w:start w:val="1"/>
      <w:numFmt w:val="bullet"/>
      <w:lvlText w:val=""/>
      <w:lvlJc w:val="left"/>
      <w:pPr>
        <w:ind w:left="6480" w:hanging="360"/>
      </w:pPr>
      <w:rPr>
        <w:rFonts w:ascii="Wingdings" w:hAnsi="Wingdings" w:hint="default"/>
      </w:rPr>
    </w:lvl>
  </w:abstractNum>
  <w:abstractNum w:abstractNumId="7" w15:restartNumberingAfterBreak="0">
    <w:nsid w:val="0CB76F0F"/>
    <w:multiLevelType w:val="hybridMultilevel"/>
    <w:tmpl w:val="4ED00A72"/>
    <w:lvl w:ilvl="0" w:tplc="810AD508">
      <w:numFmt w:val="bullet"/>
      <w:lvlText w:val=""/>
      <w:lvlJc w:val="left"/>
      <w:pPr>
        <w:ind w:left="720" w:hanging="360"/>
      </w:pPr>
      <w:rPr>
        <w:rFonts w:ascii="Symbol" w:eastAsiaTheme="minorHAnsi" w:hAnsi="Symbol" w:cs="Times New Roman"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8" w15:restartNumberingAfterBreak="0">
    <w:nsid w:val="11C90867"/>
    <w:multiLevelType w:val="multilevel"/>
    <w:tmpl w:val="43B49D24"/>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9" w15:restartNumberingAfterBreak="0">
    <w:nsid w:val="1CBC7F1F"/>
    <w:multiLevelType w:val="multilevel"/>
    <w:tmpl w:val="04D83626"/>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1EA67945"/>
    <w:multiLevelType w:val="hybridMultilevel"/>
    <w:tmpl w:val="FC5263E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2D3F0305"/>
    <w:multiLevelType w:val="hybridMultilevel"/>
    <w:tmpl w:val="03261554"/>
    <w:lvl w:ilvl="0" w:tplc="F816E94A">
      <w:start w:val="1"/>
      <w:numFmt w:val="bullet"/>
      <w:pStyle w:val="Punktopstilling"/>
      <w:lvlText w:val=""/>
      <w:lvlJc w:val="left"/>
      <w:pPr>
        <w:ind w:left="1077" w:hanging="360"/>
      </w:pPr>
      <w:rPr>
        <w:rFonts w:ascii="Symbol" w:hAnsi="Symbol" w:hint="default"/>
        <w:color w:val="003865" w:themeColor="text2"/>
      </w:rPr>
    </w:lvl>
    <w:lvl w:ilvl="1" w:tplc="FEF211EE">
      <w:start w:val="1"/>
      <w:numFmt w:val="bullet"/>
      <w:lvlText w:val=""/>
      <w:lvlJc w:val="left"/>
      <w:pPr>
        <w:ind w:left="1797" w:hanging="360"/>
      </w:pPr>
      <w:rPr>
        <w:rFonts w:ascii="Wingdings" w:hAnsi="Wingdings" w:hint="default"/>
        <w:color w:val="003865" w:themeColor="text2"/>
      </w:rPr>
    </w:lvl>
    <w:lvl w:ilvl="2" w:tplc="E08622BA">
      <w:start w:val="1"/>
      <w:numFmt w:val="bullet"/>
      <w:lvlText w:val=""/>
      <w:lvlJc w:val="left"/>
      <w:pPr>
        <w:ind w:left="2486" w:hanging="360"/>
      </w:pPr>
      <w:rPr>
        <w:rFonts w:ascii="Wingdings" w:hAnsi="Wingdings" w:hint="default"/>
        <w:color w:val="003865" w:themeColor="text2"/>
      </w:rPr>
    </w:lvl>
    <w:lvl w:ilvl="3" w:tplc="04060001">
      <w:start w:val="1"/>
      <w:numFmt w:val="bullet"/>
      <w:lvlText w:val=""/>
      <w:lvlJc w:val="left"/>
      <w:pPr>
        <w:ind w:left="3237" w:hanging="360"/>
      </w:pPr>
      <w:rPr>
        <w:rFonts w:ascii="Symbol" w:hAnsi="Symbol" w:hint="default"/>
      </w:rPr>
    </w:lvl>
    <w:lvl w:ilvl="4" w:tplc="04060003">
      <w:start w:val="1"/>
      <w:numFmt w:val="bullet"/>
      <w:lvlText w:val="o"/>
      <w:lvlJc w:val="left"/>
      <w:pPr>
        <w:ind w:left="3957" w:hanging="360"/>
      </w:pPr>
      <w:rPr>
        <w:rFonts w:ascii="Courier New" w:hAnsi="Courier New" w:cs="Courier New" w:hint="default"/>
      </w:rPr>
    </w:lvl>
    <w:lvl w:ilvl="5" w:tplc="04060005">
      <w:start w:val="1"/>
      <w:numFmt w:val="bullet"/>
      <w:lvlText w:val=""/>
      <w:lvlJc w:val="left"/>
      <w:pPr>
        <w:ind w:left="4677" w:hanging="360"/>
      </w:pPr>
      <w:rPr>
        <w:rFonts w:ascii="Wingdings" w:hAnsi="Wingdings" w:hint="default"/>
      </w:rPr>
    </w:lvl>
    <w:lvl w:ilvl="6" w:tplc="04060001" w:tentative="1">
      <w:start w:val="1"/>
      <w:numFmt w:val="bullet"/>
      <w:lvlText w:val=""/>
      <w:lvlJc w:val="left"/>
      <w:pPr>
        <w:ind w:left="5397" w:hanging="360"/>
      </w:pPr>
      <w:rPr>
        <w:rFonts w:ascii="Symbol" w:hAnsi="Symbol" w:hint="default"/>
      </w:rPr>
    </w:lvl>
    <w:lvl w:ilvl="7" w:tplc="04060003" w:tentative="1">
      <w:start w:val="1"/>
      <w:numFmt w:val="bullet"/>
      <w:lvlText w:val="o"/>
      <w:lvlJc w:val="left"/>
      <w:pPr>
        <w:ind w:left="6117" w:hanging="360"/>
      </w:pPr>
      <w:rPr>
        <w:rFonts w:ascii="Courier New" w:hAnsi="Courier New" w:cs="Courier New" w:hint="default"/>
      </w:rPr>
    </w:lvl>
    <w:lvl w:ilvl="8" w:tplc="04060005" w:tentative="1">
      <w:start w:val="1"/>
      <w:numFmt w:val="bullet"/>
      <w:lvlText w:val=""/>
      <w:lvlJc w:val="left"/>
      <w:pPr>
        <w:ind w:left="6837" w:hanging="360"/>
      </w:pPr>
      <w:rPr>
        <w:rFonts w:ascii="Wingdings" w:hAnsi="Wingdings" w:hint="default"/>
      </w:rPr>
    </w:lvl>
  </w:abstractNum>
  <w:abstractNum w:abstractNumId="12" w15:restartNumberingAfterBreak="0">
    <w:nsid w:val="570938A5"/>
    <w:multiLevelType w:val="hybridMultilevel"/>
    <w:tmpl w:val="390008E2"/>
    <w:lvl w:ilvl="0" w:tplc="B7527948">
      <w:start w:val="1"/>
      <w:numFmt w:val="decimal"/>
      <w:pStyle w:val="NumberedHeading1"/>
      <w:lvlText w:val="%1."/>
      <w:lvlJc w:val="left"/>
      <w:pPr>
        <w:ind w:left="750" w:hanging="390"/>
      </w:pPr>
      <w:rPr>
        <w:rFonts w:hint="default"/>
      </w:rPr>
    </w:lvl>
    <w:lvl w:ilvl="1" w:tplc="04060019" w:tentative="1">
      <w:start w:val="1"/>
      <w:numFmt w:val="lowerLetter"/>
      <w:pStyle w:val="NumberedHeading1"/>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3" w15:restartNumberingAfterBreak="0">
    <w:nsid w:val="57577F58"/>
    <w:multiLevelType w:val="hybridMultilevel"/>
    <w:tmpl w:val="990E42B2"/>
    <w:lvl w:ilvl="0" w:tplc="0D1E7D4E">
      <w:numFmt w:val="bullet"/>
      <w:lvlText w:val=""/>
      <w:lvlJc w:val="left"/>
      <w:pPr>
        <w:ind w:left="720" w:hanging="360"/>
      </w:pPr>
      <w:rPr>
        <w:rFonts w:ascii="Symbol" w:eastAsiaTheme="minorHAnsi" w:hAnsi="Symbol"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4" w15:restartNumberingAfterBreak="0">
    <w:nsid w:val="5A460BB0"/>
    <w:multiLevelType w:val="hybridMultilevel"/>
    <w:tmpl w:val="06AEC1F0"/>
    <w:lvl w:ilvl="0" w:tplc="BCE885D6">
      <w:start w:val="1"/>
      <w:numFmt w:val="decimal"/>
      <w:pStyle w:val="Heading1"/>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5" w15:restartNumberingAfterBreak="0">
    <w:nsid w:val="5F3D02F3"/>
    <w:multiLevelType w:val="hybridMultilevel"/>
    <w:tmpl w:val="AE7C7EA4"/>
    <w:lvl w:ilvl="0" w:tplc="D5BE78AA">
      <w:numFmt w:val="bullet"/>
      <w:lvlText w:val=""/>
      <w:lvlJc w:val="left"/>
      <w:pPr>
        <w:ind w:left="720" w:hanging="360"/>
      </w:pPr>
      <w:rPr>
        <w:rFonts w:ascii="Symbol" w:eastAsiaTheme="minorHAnsi" w:hAnsi="Symbol" w:cs="Times New Roman" w:hint="default"/>
      </w:rPr>
    </w:lvl>
    <w:lvl w:ilvl="1" w:tplc="20000003">
      <w:start w:val="1"/>
      <w:numFmt w:val="bullet"/>
      <w:lvlText w:val="o"/>
      <w:lvlJc w:val="left"/>
      <w:pPr>
        <w:ind w:left="1440" w:hanging="360"/>
      </w:pPr>
      <w:rPr>
        <w:rFonts w:ascii="Courier New" w:hAnsi="Courier New" w:cs="Courier New" w:hint="default"/>
      </w:rPr>
    </w:lvl>
    <w:lvl w:ilvl="2" w:tplc="20000005">
      <w:start w:val="1"/>
      <w:numFmt w:val="bullet"/>
      <w:lvlText w:val=""/>
      <w:lvlJc w:val="left"/>
      <w:pPr>
        <w:ind w:left="2160" w:hanging="360"/>
      </w:pPr>
      <w:rPr>
        <w:rFonts w:ascii="Wingdings" w:hAnsi="Wingdings" w:hint="default"/>
      </w:rPr>
    </w:lvl>
    <w:lvl w:ilvl="3" w:tplc="20000001">
      <w:start w:val="1"/>
      <w:numFmt w:val="bullet"/>
      <w:lvlText w:val=""/>
      <w:lvlJc w:val="left"/>
      <w:pPr>
        <w:ind w:left="2880" w:hanging="360"/>
      </w:pPr>
      <w:rPr>
        <w:rFonts w:ascii="Symbol" w:hAnsi="Symbol" w:hint="default"/>
      </w:rPr>
    </w:lvl>
    <w:lvl w:ilvl="4" w:tplc="20000003">
      <w:start w:val="1"/>
      <w:numFmt w:val="bullet"/>
      <w:lvlText w:val="o"/>
      <w:lvlJc w:val="left"/>
      <w:pPr>
        <w:ind w:left="3600" w:hanging="360"/>
      </w:pPr>
      <w:rPr>
        <w:rFonts w:ascii="Courier New" w:hAnsi="Courier New" w:cs="Courier New" w:hint="default"/>
      </w:rPr>
    </w:lvl>
    <w:lvl w:ilvl="5" w:tplc="20000005">
      <w:start w:val="1"/>
      <w:numFmt w:val="bullet"/>
      <w:lvlText w:val=""/>
      <w:lvlJc w:val="left"/>
      <w:pPr>
        <w:ind w:left="4320" w:hanging="360"/>
      </w:pPr>
      <w:rPr>
        <w:rFonts w:ascii="Wingdings" w:hAnsi="Wingdings" w:hint="default"/>
      </w:rPr>
    </w:lvl>
    <w:lvl w:ilvl="6" w:tplc="20000001">
      <w:start w:val="1"/>
      <w:numFmt w:val="bullet"/>
      <w:lvlText w:val=""/>
      <w:lvlJc w:val="left"/>
      <w:pPr>
        <w:ind w:left="5040" w:hanging="360"/>
      </w:pPr>
      <w:rPr>
        <w:rFonts w:ascii="Symbol" w:hAnsi="Symbol" w:hint="default"/>
      </w:rPr>
    </w:lvl>
    <w:lvl w:ilvl="7" w:tplc="20000003">
      <w:start w:val="1"/>
      <w:numFmt w:val="bullet"/>
      <w:lvlText w:val="o"/>
      <w:lvlJc w:val="left"/>
      <w:pPr>
        <w:ind w:left="5760" w:hanging="360"/>
      </w:pPr>
      <w:rPr>
        <w:rFonts w:ascii="Courier New" w:hAnsi="Courier New" w:cs="Courier New" w:hint="default"/>
      </w:rPr>
    </w:lvl>
    <w:lvl w:ilvl="8" w:tplc="20000005">
      <w:start w:val="1"/>
      <w:numFmt w:val="bullet"/>
      <w:lvlText w:val=""/>
      <w:lvlJc w:val="left"/>
      <w:pPr>
        <w:ind w:left="6480" w:hanging="360"/>
      </w:pPr>
      <w:rPr>
        <w:rFonts w:ascii="Wingdings" w:hAnsi="Wingdings" w:hint="default"/>
      </w:rPr>
    </w:lvl>
  </w:abstractNum>
  <w:abstractNum w:abstractNumId="16" w15:restartNumberingAfterBreak="0">
    <w:nsid w:val="62F6326C"/>
    <w:multiLevelType w:val="hybridMultilevel"/>
    <w:tmpl w:val="FC5263E6"/>
    <w:lvl w:ilvl="0" w:tplc="20000011">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7" w15:restartNumberingAfterBreak="0">
    <w:nsid w:val="65622061"/>
    <w:multiLevelType w:val="hybridMultilevel"/>
    <w:tmpl w:val="9CD40EA2"/>
    <w:lvl w:ilvl="0" w:tplc="B476B12A">
      <w:start w:val="1"/>
      <w:numFmt w:val="decimal"/>
      <w:lvlText w:val="%1."/>
      <w:lvlJc w:val="left"/>
      <w:pPr>
        <w:ind w:left="1080" w:hanging="360"/>
      </w:p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18" w15:restartNumberingAfterBreak="0">
    <w:nsid w:val="6B7531AE"/>
    <w:multiLevelType w:val="hybridMultilevel"/>
    <w:tmpl w:val="804ED1D4"/>
    <w:lvl w:ilvl="0" w:tplc="370E828A">
      <w:start w:val="1"/>
      <w:numFmt w:val="bullet"/>
      <w:pStyle w:val="ListBullet"/>
      <w:lvlText w:val=""/>
      <w:lvlJc w:val="left"/>
      <w:pPr>
        <w:ind w:left="720" w:hanging="360"/>
      </w:pPr>
      <w:rPr>
        <w:rFonts w:ascii="Wingdings" w:hAnsi="Wingdings" w:hint="default"/>
        <w:color w:val="003865" w:themeColor="text2"/>
      </w:rPr>
    </w:lvl>
    <w:lvl w:ilvl="1" w:tplc="3F8C39B8">
      <w:start w:val="1"/>
      <w:numFmt w:val="bullet"/>
      <w:lvlText w:val=""/>
      <w:lvlJc w:val="left"/>
      <w:pPr>
        <w:ind w:left="1800" w:hanging="360"/>
      </w:pPr>
      <w:rPr>
        <w:rFonts w:ascii="Wingdings" w:hAnsi="Wingdings" w:hint="default"/>
        <w:color w:val="BCA9A0"/>
      </w:rPr>
    </w:lvl>
    <w:lvl w:ilvl="2" w:tplc="04060005" w:tentative="1">
      <w:start w:val="1"/>
      <w:numFmt w:val="bullet"/>
      <w:lvlText w:val=""/>
      <w:lvlJc w:val="left"/>
      <w:pPr>
        <w:ind w:left="2520" w:hanging="360"/>
      </w:pPr>
      <w:rPr>
        <w:rFonts w:ascii="Wingdings" w:hAnsi="Wingdings" w:hint="default"/>
      </w:rPr>
    </w:lvl>
    <w:lvl w:ilvl="3" w:tplc="04060001" w:tentative="1">
      <w:start w:val="1"/>
      <w:numFmt w:val="bullet"/>
      <w:lvlText w:val=""/>
      <w:lvlJc w:val="left"/>
      <w:pPr>
        <w:ind w:left="3240" w:hanging="360"/>
      </w:pPr>
      <w:rPr>
        <w:rFonts w:ascii="Symbol" w:hAnsi="Symbol" w:hint="default"/>
      </w:rPr>
    </w:lvl>
    <w:lvl w:ilvl="4" w:tplc="04060003" w:tentative="1">
      <w:start w:val="1"/>
      <w:numFmt w:val="bullet"/>
      <w:lvlText w:val="o"/>
      <w:lvlJc w:val="left"/>
      <w:pPr>
        <w:ind w:left="3960" w:hanging="360"/>
      </w:pPr>
      <w:rPr>
        <w:rFonts w:ascii="Courier New" w:hAnsi="Courier New" w:cs="Courier New" w:hint="default"/>
      </w:rPr>
    </w:lvl>
    <w:lvl w:ilvl="5" w:tplc="04060005" w:tentative="1">
      <w:start w:val="1"/>
      <w:numFmt w:val="bullet"/>
      <w:lvlText w:val=""/>
      <w:lvlJc w:val="left"/>
      <w:pPr>
        <w:ind w:left="4680" w:hanging="360"/>
      </w:pPr>
      <w:rPr>
        <w:rFonts w:ascii="Wingdings" w:hAnsi="Wingdings" w:hint="default"/>
      </w:rPr>
    </w:lvl>
    <w:lvl w:ilvl="6" w:tplc="04060001" w:tentative="1">
      <w:start w:val="1"/>
      <w:numFmt w:val="bullet"/>
      <w:lvlText w:val=""/>
      <w:lvlJc w:val="left"/>
      <w:pPr>
        <w:ind w:left="5400" w:hanging="360"/>
      </w:pPr>
      <w:rPr>
        <w:rFonts w:ascii="Symbol" w:hAnsi="Symbol" w:hint="default"/>
      </w:rPr>
    </w:lvl>
    <w:lvl w:ilvl="7" w:tplc="04060003" w:tentative="1">
      <w:start w:val="1"/>
      <w:numFmt w:val="bullet"/>
      <w:lvlText w:val="o"/>
      <w:lvlJc w:val="left"/>
      <w:pPr>
        <w:ind w:left="6120" w:hanging="360"/>
      </w:pPr>
      <w:rPr>
        <w:rFonts w:ascii="Courier New" w:hAnsi="Courier New" w:cs="Courier New" w:hint="default"/>
      </w:rPr>
    </w:lvl>
    <w:lvl w:ilvl="8" w:tplc="04060005" w:tentative="1">
      <w:start w:val="1"/>
      <w:numFmt w:val="bullet"/>
      <w:lvlText w:val=""/>
      <w:lvlJc w:val="left"/>
      <w:pPr>
        <w:ind w:left="6840" w:hanging="360"/>
      </w:pPr>
      <w:rPr>
        <w:rFonts w:ascii="Wingdings" w:hAnsi="Wingdings" w:hint="default"/>
      </w:rPr>
    </w:lvl>
  </w:abstractNum>
  <w:abstractNum w:abstractNumId="19" w15:restartNumberingAfterBreak="0">
    <w:nsid w:val="7AA85FE0"/>
    <w:multiLevelType w:val="hybridMultilevel"/>
    <w:tmpl w:val="B31CE442"/>
    <w:lvl w:ilvl="0" w:tplc="ADE00136">
      <w:start w:val="1"/>
      <w:numFmt w:val="bullet"/>
      <w:lvlText w:val=""/>
      <w:lvlJc w:val="left"/>
      <w:pPr>
        <w:ind w:left="720" w:hanging="360"/>
      </w:pPr>
      <w:rPr>
        <w:rFonts w:ascii="Symbol" w:eastAsiaTheme="minorHAnsi" w:hAnsi="Symbol"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num w:numId="1" w16cid:durableId="1084836932">
    <w:abstractNumId w:val="3"/>
  </w:num>
  <w:num w:numId="2" w16cid:durableId="1651397357">
    <w:abstractNumId w:val="2"/>
  </w:num>
  <w:num w:numId="3" w16cid:durableId="1654479934">
    <w:abstractNumId w:val="1"/>
  </w:num>
  <w:num w:numId="4" w16cid:durableId="173350476">
    <w:abstractNumId w:val="0"/>
  </w:num>
  <w:num w:numId="5" w16cid:durableId="1562327846">
    <w:abstractNumId w:val="8"/>
  </w:num>
  <w:num w:numId="6" w16cid:durableId="357242218">
    <w:abstractNumId w:val="4"/>
  </w:num>
  <w:num w:numId="7" w16cid:durableId="1213149224">
    <w:abstractNumId w:val="18"/>
    <w:lvlOverride w:ilvl="0">
      <w:startOverride w:val="1"/>
    </w:lvlOverride>
  </w:num>
  <w:num w:numId="8" w16cid:durableId="1490487553">
    <w:abstractNumId w:val="11"/>
  </w:num>
  <w:num w:numId="9" w16cid:durableId="533084380">
    <w:abstractNumId w:val="12"/>
  </w:num>
  <w:num w:numId="10" w16cid:durableId="1915239271">
    <w:abstractNumId w:val="14"/>
  </w:num>
  <w:num w:numId="11" w16cid:durableId="314797143">
    <w:abstractNumId w:val="9"/>
  </w:num>
  <w:num w:numId="12" w16cid:durableId="531497563">
    <w:abstractNumId w:val="9"/>
  </w:num>
  <w:num w:numId="13" w16cid:durableId="437530120">
    <w:abstractNumId w:val="11"/>
  </w:num>
  <w:num w:numId="14" w16cid:durableId="192352529">
    <w:abstractNumId w:val="17"/>
  </w:num>
  <w:num w:numId="15" w16cid:durableId="1583830194">
    <w:abstractNumId w:val="11"/>
  </w:num>
  <w:num w:numId="16" w16cid:durableId="427235626">
    <w:abstractNumId w:val="14"/>
  </w:num>
  <w:num w:numId="17" w16cid:durableId="432675053">
    <w:abstractNumId w:val="9"/>
  </w:num>
  <w:num w:numId="18" w16cid:durableId="1912234616">
    <w:abstractNumId w:val="9"/>
  </w:num>
  <w:num w:numId="19" w16cid:durableId="1337808147">
    <w:abstractNumId w:val="11"/>
  </w:num>
  <w:num w:numId="20" w16cid:durableId="271477389">
    <w:abstractNumId w:val="11"/>
  </w:num>
  <w:num w:numId="21" w16cid:durableId="2016223391">
    <w:abstractNumId w:val="6"/>
  </w:num>
  <w:num w:numId="22" w16cid:durableId="1480003844">
    <w:abstractNumId w:val="15"/>
  </w:num>
  <w:num w:numId="23" w16cid:durableId="1395737667">
    <w:abstractNumId w:val="13"/>
  </w:num>
  <w:num w:numId="24" w16cid:durableId="1404445911">
    <w:abstractNumId w:val="16"/>
  </w:num>
  <w:num w:numId="25" w16cid:durableId="944463112">
    <w:abstractNumId w:val="19"/>
  </w:num>
  <w:num w:numId="26" w16cid:durableId="1296568968">
    <w:abstractNumId w:val="14"/>
  </w:num>
  <w:num w:numId="27" w16cid:durableId="1078752276">
    <w:abstractNumId w:val="9"/>
  </w:num>
  <w:num w:numId="28" w16cid:durableId="1677806672">
    <w:abstractNumId w:val="9"/>
  </w:num>
  <w:num w:numId="29" w16cid:durableId="1431389465">
    <w:abstractNumId w:val="11"/>
  </w:num>
  <w:num w:numId="30" w16cid:durableId="1975211997">
    <w:abstractNumId w:val="5"/>
  </w:num>
  <w:num w:numId="31" w16cid:durableId="434793860">
    <w:abstractNumId w:val="10"/>
  </w:num>
  <w:num w:numId="32" w16cid:durableId="1533495924">
    <w:abstractNumId w:val="9"/>
  </w:num>
  <w:num w:numId="33" w16cid:durableId="1197425713">
    <w:abstractNumId w:val="7"/>
  </w:num>
  <w:num w:numId="34" w16cid:durableId="472066600">
    <w:abstractNumId w:val="5"/>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4"/>
  <w:defaultTabStop w:val="1304"/>
  <w:hyphenationZone w:val="425"/>
  <w:doNotHyphenateCap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6232"/>
    <w:rsid w:val="00002C91"/>
    <w:rsid w:val="00003926"/>
    <w:rsid w:val="000046D4"/>
    <w:rsid w:val="0001183A"/>
    <w:rsid w:val="0001184E"/>
    <w:rsid w:val="000137F4"/>
    <w:rsid w:val="00013E28"/>
    <w:rsid w:val="0001653F"/>
    <w:rsid w:val="00016878"/>
    <w:rsid w:val="00016D79"/>
    <w:rsid w:val="00021675"/>
    <w:rsid w:val="00021BCB"/>
    <w:rsid w:val="00023D10"/>
    <w:rsid w:val="00023DF2"/>
    <w:rsid w:val="00025B51"/>
    <w:rsid w:val="00025FFB"/>
    <w:rsid w:val="0002771B"/>
    <w:rsid w:val="00033DED"/>
    <w:rsid w:val="00034EAC"/>
    <w:rsid w:val="0003547E"/>
    <w:rsid w:val="00036D0D"/>
    <w:rsid w:val="000375B4"/>
    <w:rsid w:val="000427F8"/>
    <w:rsid w:val="00044E43"/>
    <w:rsid w:val="00045D10"/>
    <w:rsid w:val="000518C2"/>
    <w:rsid w:val="00051FA8"/>
    <w:rsid w:val="000527EA"/>
    <w:rsid w:val="00056803"/>
    <w:rsid w:val="00056FFA"/>
    <w:rsid w:val="00057681"/>
    <w:rsid w:val="000602B6"/>
    <w:rsid w:val="000604C8"/>
    <w:rsid w:val="0006099E"/>
    <w:rsid w:val="00061275"/>
    <w:rsid w:val="00063B63"/>
    <w:rsid w:val="000668BF"/>
    <w:rsid w:val="00067C1D"/>
    <w:rsid w:val="00067C64"/>
    <w:rsid w:val="00073FAA"/>
    <w:rsid w:val="000742FC"/>
    <w:rsid w:val="00077A1F"/>
    <w:rsid w:val="00077AC6"/>
    <w:rsid w:val="000849C3"/>
    <w:rsid w:val="000859A8"/>
    <w:rsid w:val="0008606E"/>
    <w:rsid w:val="00090319"/>
    <w:rsid w:val="00092D51"/>
    <w:rsid w:val="0009430C"/>
    <w:rsid w:val="00095E60"/>
    <w:rsid w:val="000A0681"/>
    <w:rsid w:val="000A0A0D"/>
    <w:rsid w:val="000A66AF"/>
    <w:rsid w:val="000B4665"/>
    <w:rsid w:val="000B4ADC"/>
    <w:rsid w:val="000B4E31"/>
    <w:rsid w:val="000B4FCB"/>
    <w:rsid w:val="000B6891"/>
    <w:rsid w:val="000B6D32"/>
    <w:rsid w:val="000B7EBC"/>
    <w:rsid w:val="000C1992"/>
    <w:rsid w:val="000C246B"/>
    <w:rsid w:val="000C39CB"/>
    <w:rsid w:val="000C39D6"/>
    <w:rsid w:val="000C6C69"/>
    <w:rsid w:val="000C7513"/>
    <w:rsid w:val="000C7F98"/>
    <w:rsid w:val="000D274C"/>
    <w:rsid w:val="000E1F42"/>
    <w:rsid w:val="000E2633"/>
    <w:rsid w:val="000E34E0"/>
    <w:rsid w:val="000E3D4F"/>
    <w:rsid w:val="000E6FFE"/>
    <w:rsid w:val="000E7DBD"/>
    <w:rsid w:val="000F2F03"/>
    <w:rsid w:val="000F605E"/>
    <w:rsid w:val="00100D02"/>
    <w:rsid w:val="00100F91"/>
    <w:rsid w:val="001018DE"/>
    <w:rsid w:val="001038A6"/>
    <w:rsid w:val="00104D9C"/>
    <w:rsid w:val="00110135"/>
    <w:rsid w:val="0011087A"/>
    <w:rsid w:val="00112769"/>
    <w:rsid w:val="00113927"/>
    <w:rsid w:val="00114389"/>
    <w:rsid w:val="0011551E"/>
    <w:rsid w:val="00117D0A"/>
    <w:rsid w:val="001216E0"/>
    <w:rsid w:val="00121DE9"/>
    <w:rsid w:val="00121E60"/>
    <w:rsid w:val="00121E61"/>
    <w:rsid w:val="0012398F"/>
    <w:rsid w:val="001247A7"/>
    <w:rsid w:val="0013435E"/>
    <w:rsid w:val="00134CF9"/>
    <w:rsid w:val="00137440"/>
    <w:rsid w:val="0013794F"/>
    <w:rsid w:val="001401E7"/>
    <w:rsid w:val="001415A7"/>
    <w:rsid w:val="00142107"/>
    <w:rsid w:val="00142D63"/>
    <w:rsid w:val="001438DA"/>
    <w:rsid w:val="00144BBB"/>
    <w:rsid w:val="00152C48"/>
    <w:rsid w:val="001564E5"/>
    <w:rsid w:val="00156776"/>
    <w:rsid w:val="00157C03"/>
    <w:rsid w:val="00163C0D"/>
    <w:rsid w:val="00164D51"/>
    <w:rsid w:val="001677D7"/>
    <w:rsid w:val="00170A18"/>
    <w:rsid w:val="00171024"/>
    <w:rsid w:val="0017157E"/>
    <w:rsid w:val="00172A35"/>
    <w:rsid w:val="00173970"/>
    <w:rsid w:val="00175D5C"/>
    <w:rsid w:val="00177C73"/>
    <w:rsid w:val="00181510"/>
    <w:rsid w:val="00181532"/>
    <w:rsid w:val="0018157E"/>
    <w:rsid w:val="00183662"/>
    <w:rsid w:val="00184872"/>
    <w:rsid w:val="0019047D"/>
    <w:rsid w:val="00191CE8"/>
    <w:rsid w:val="00195D6B"/>
    <w:rsid w:val="001972D4"/>
    <w:rsid w:val="00197A9E"/>
    <w:rsid w:val="001A285C"/>
    <w:rsid w:val="001A3C95"/>
    <w:rsid w:val="001A3F87"/>
    <w:rsid w:val="001A612E"/>
    <w:rsid w:val="001B0407"/>
    <w:rsid w:val="001B13EE"/>
    <w:rsid w:val="001B1999"/>
    <w:rsid w:val="001B3DDD"/>
    <w:rsid w:val="001C493B"/>
    <w:rsid w:val="001C6072"/>
    <w:rsid w:val="001C7968"/>
    <w:rsid w:val="001D0E5B"/>
    <w:rsid w:val="001D2C3F"/>
    <w:rsid w:val="001D46C2"/>
    <w:rsid w:val="001D50D6"/>
    <w:rsid w:val="001D67BB"/>
    <w:rsid w:val="001E0190"/>
    <w:rsid w:val="001E0731"/>
    <w:rsid w:val="001E3A74"/>
    <w:rsid w:val="001E4BE4"/>
    <w:rsid w:val="001E5660"/>
    <w:rsid w:val="001E7BEA"/>
    <w:rsid w:val="001E7E3E"/>
    <w:rsid w:val="001F0248"/>
    <w:rsid w:val="001F1985"/>
    <w:rsid w:val="001F1990"/>
    <w:rsid w:val="001F1B20"/>
    <w:rsid w:val="001F3E21"/>
    <w:rsid w:val="001F5F48"/>
    <w:rsid w:val="001F629F"/>
    <w:rsid w:val="002013D8"/>
    <w:rsid w:val="00201B94"/>
    <w:rsid w:val="002075CB"/>
    <w:rsid w:val="00210AA3"/>
    <w:rsid w:val="002119DD"/>
    <w:rsid w:val="00212BD3"/>
    <w:rsid w:val="00214F10"/>
    <w:rsid w:val="00216F33"/>
    <w:rsid w:val="002206D2"/>
    <w:rsid w:val="002242E4"/>
    <w:rsid w:val="0022568C"/>
    <w:rsid w:val="002256DB"/>
    <w:rsid w:val="00230D1A"/>
    <w:rsid w:val="0023368E"/>
    <w:rsid w:val="002348DF"/>
    <w:rsid w:val="00236672"/>
    <w:rsid w:val="002368BF"/>
    <w:rsid w:val="002404FE"/>
    <w:rsid w:val="002421DF"/>
    <w:rsid w:val="00244160"/>
    <w:rsid w:val="00244456"/>
    <w:rsid w:val="002446AC"/>
    <w:rsid w:val="002448FF"/>
    <w:rsid w:val="00244A15"/>
    <w:rsid w:val="00244C1C"/>
    <w:rsid w:val="002453F4"/>
    <w:rsid w:val="00245AD3"/>
    <w:rsid w:val="00251EF4"/>
    <w:rsid w:val="00252BDC"/>
    <w:rsid w:val="00252CF5"/>
    <w:rsid w:val="0025354E"/>
    <w:rsid w:val="00256073"/>
    <w:rsid w:val="00257E44"/>
    <w:rsid w:val="002635AF"/>
    <w:rsid w:val="002654C1"/>
    <w:rsid w:val="0026560A"/>
    <w:rsid w:val="00273297"/>
    <w:rsid w:val="00275544"/>
    <w:rsid w:val="002758B3"/>
    <w:rsid w:val="002765C6"/>
    <w:rsid w:val="00277602"/>
    <w:rsid w:val="00281199"/>
    <w:rsid w:val="002832AF"/>
    <w:rsid w:val="0028542E"/>
    <w:rsid w:val="00286862"/>
    <w:rsid w:val="00290026"/>
    <w:rsid w:val="0029033D"/>
    <w:rsid w:val="00293060"/>
    <w:rsid w:val="00295D35"/>
    <w:rsid w:val="002A5FB2"/>
    <w:rsid w:val="002A6163"/>
    <w:rsid w:val="002A65F9"/>
    <w:rsid w:val="002A6DAF"/>
    <w:rsid w:val="002B0ABA"/>
    <w:rsid w:val="002B18F2"/>
    <w:rsid w:val="002B4BF1"/>
    <w:rsid w:val="002B6407"/>
    <w:rsid w:val="002B6C8D"/>
    <w:rsid w:val="002C59B9"/>
    <w:rsid w:val="002C5D5B"/>
    <w:rsid w:val="002C69A3"/>
    <w:rsid w:val="002D0392"/>
    <w:rsid w:val="002D06F5"/>
    <w:rsid w:val="002D24AE"/>
    <w:rsid w:val="002D4DA0"/>
    <w:rsid w:val="002D60A6"/>
    <w:rsid w:val="002D64B4"/>
    <w:rsid w:val="002D712D"/>
    <w:rsid w:val="002E2F38"/>
    <w:rsid w:val="002E305A"/>
    <w:rsid w:val="002E3E94"/>
    <w:rsid w:val="002E432F"/>
    <w:rsid w:val="002F0FC8"/>
    <w:rsid w:val="00302BB7"/>
    <w:rsid w:val="00303E8B"/>
    <w:rsid w:val="003053DA"/>
    <w:rsid w:val="00305DC2"/>
    <w:rsid w:val="003135A1"/>
    <w:rsid w:val="003157D7"/>
    <w:rsid w:val="00315834"/>
    <w:rsid w:val="003168FB"/>
    <w:rsid w:val="00322FF5"/>
    <w:rsid w:val="00326809"/>
    <w:rsid w:val="003306EE"/>
    <w:rsid w:val="00331D67"/>
    <w:rsid w:val="003371EB"/>
    <w:rsid w:val="00337DA0"/>
    <w:rsid w:val="0034062B"/>
    <w:rsid w:val="00347C05"/>
    <w:rsid w:val="003565F1"/>
    <w:rsid w:val="003600E7"/>
    <w:rsid w:val="00360CAD"/>
    <w:rsid w:val="003610E1"/>
    <w:rsid w:val="003633FC"/>
    <w:rsid w:val="0036561A"/>
    <w:rsid w:val="003656D8"/>
    <w:rsid w:val="0036708C"/>
    <w:rsid w:val="003670B5"/>
    <w:rsid w:val="00370712"/>
    <w:rsid w:val="00375595"/>
    <w:rsid w:val="0037581E"/>
    <w:rsid w:val="00380563"/>
    <w:rsid w:val="0038311F"/>
    <w:rsid w:val="0038410B"/>
    <w:rsid w:val="00386314"/>
    <w:rsid w:val="003868F7"/>
    <w:rsid w:val="003903A9"/>
    <w:rsid w:val="003926D7"/>
    <w:rsid w:val="00392A1A"/>
    <w:rsid w:val="00393B6A"/>
    <w:rsid w:val="0039571B"/>
    <w:rsid w:val="0039620C"/>
    <w:rsid w:val="003A0F45"/>
    <w:rsid w:val="003A50F9"/>
    <w:rsid w:val="003A7AB5"/>
    <w:rsid w:val="003B4B9F"/>
    <w:rsid w:val="003B675D"/>
    <w:rsid w:val="003C1035"/>
    <w:rsid w:val="003C131B"/>
    <w:rsid w:val="003C13E0"/>
    <w:rsid w:val="003C2459"/>
    <w:rsid w:val="003C4214"/>
    <w:rsid w:val="003C6E61"/>
    <w:rsid w:val="003C7219"/>
    <w:rsid w:val="003C7295"/>
    <w:rsid w:val="003C7590"/>
    <w:rsid w:val="003C7DC6"/>
    <w:rsid w:val="003D1F2B"/>
    <w:rsid w:val="003D2B54"/>
    <w:rsid w:val="003D2E2D"/>
    <w:rsid w:val="003D3A57"/>
    <w:rsid w:val="003D4BEA"/>
    <w:rsid w:val="003D4DE8"/>
    <w:rsid w:val="003D5D04"/>
    <w:rsid w:val="003D6021"/>
    <w:rsid w:val="003E023E"/>
    <w:rsid w:val="003E0550"/>
    <w:rsid w:val="003E128E"/>
    <w:rsid w:val="003F0614"/>
    <w:rsid w:val="003F1046"/>
    <w:rsid w:val="003F265E"/>
    <w:rsid w:val="003F3500"/>
    <w:rsid w:val="003F4FE1"/>
    <w:rsid w:val="003F6271"/>
    <w:rsid w:val="003F6BEF"/>
    <w:rsid w:val="003F6D39"/>
    <w:rsid w:val="0040186C"/>
    <w:rsid w:val="004037FE"/>
    <w:rsid w:val="00405842"/>
    <w:rsid w:val="00406362"/>
    <w:rsid w:val="00412F20"/>
    <w:rsid w:val="0041377D"/>
    <w:rsid w:val="00414B6A"/>
    <w:rsid w:val="00414C25"/>
    <w:rsid w:val="00415AE9"/>
    <w:rsid w:val="004161C8"/>
    <w:rsid w:val="00417B67"/>
    <w:rsid w:val="004213E2"/>
    <w:rsid w:val="0042160E"/>
    <w:rsid w:val="00422DAD"/>
    <w:rsid w:val="00423B91"/>
    <w:rsid w:val="00424888"/>
    <w:rsid w:val="00424F15"/>
    <w:rsid w:val="00426FAA"/>
    <w:rsid w:val="00432169"/>
    <w:rsid w:val="00432D69"/>
    <w:rsid w:val="00435465"/>
    <w:rsid w:val="004439E9"/>
    <w:rsid w:val="0044476D"/>
    <w:rsid w:val="00444A47"/>
    <w:rsid w:val="004450A8"/>
    <w:rsid w:val="004468D3"/>
    <w:rsid w:val="00446CEE"/>
    <w:rsid w:val="00446DC5"/>
    <w:rsid w:val="00450E81"/>
    <w:rsid w:val="0045345D"/>
    <w:rsid w:val="00462521"/>
    <w:rsid w:val="00462BBF"/>
    <w:rsid w:val="00464A70"/>
    <w:rsid w:val="004654A3"/>
    <w:rsid w:val="00465538"/>
    <w:rsid w:val="00470C4E"/>
    <w:rsid w:val="00471350"/>
    <w:rsid w:val="00475554"/>
    <w:rsid w:val="004803F6"/>
    <w:rsid w:val="00480A0B"/>
    <w:rsid w:val="004825C5"/>
    <w:rsid w:val="00483FF6"/>
    <w:rsid w:val="0048564A"/>
    <w:rsid w:val="004877B8"/>
    <w:rsid w:val="00491BCD"/>
    <w:rsid w:val="00492251"/>
    <w:rsid w:val="00492F98"/>
    <w:rsid w:val="004949B7"/>
    <w:rsid w:val="00496331"/>
    <w:rsid w:val="00496C0B"/>
    <w:rsid w:val="004A0701"/>
    <w:rsid w:val="004A34F2"/>
    <w:rsid w:val="004A3B95"/>
    <w:rsid w:val="004B00FE"/>
    <w:rsid w:val="004B3363"/>
    <w:rsid w:val="004B7365"/>
    <w:rsid w:val="004C06FE"/>
    <w:rsid w:val="004C4A7A"/>
    <w:rsid w:val="004C4DB4"/>
    <w:rsid w:val="004D13CB"/>
    <w:rsid w:val="004D3031"/>
    <w:rsid w:val="004D4FB2"/>
    <w:rsid w:val="004D5A61"/>
    <w:rsid w:val="004D7571"/>
    <w:rsid w:val="004D759F"/>
    <w:rsid w:val="004D788D"/>
    <w:rsid w:val="004E11BE"/>
    <w:rsid w:val="004E3F76"/>
    <w:rsid w:val="004E619C"/>
    <w:rsid w:val="004E62FD"/>
    <w:rsid w:val="004E6A23"/>
    <w:rsid w:val="004F14B4"/>
    <w:rsid w:val="004F572A"/>
    <w:rsid w:val="004F613D"/>
    <w:rsid w:val="004F767B"/>
    <w:rsid w:val="005029A1"/>
    <w:rsid w:val="00502A47"/>
    <w:rsid w:val="00510607"/>
    <w:rsid w:val="00511BDD"/>
    <w:rsid w:val="00513CCC"/>
    <w:rsid w:val="005145FB"/>
    <w:rsid w:val="0051559A"/>
    <w:rsid w:val="005164C1"/>
    <w:rsid w:val="00517536"/>
    <w:rsid w:val="005178A0"/>
    <w:rsid w:val="00517E33"/>
    <w:rsid w:val="00517F22"/>
    <w:rsid w:val="00520987"/>
    <w:rsid w:val="00520B0D"/>
    <w:rsid w:val="00525664"/>
    <w:rsid w:val="00527198"/>
    <w:rsid w:val="00527E12"/>
    <w:rsid w:val="00527EBE"/>
    <w:rsid w:val="0053154D"/>
    <w:rsid w:val="00532D82"/>
    <w:rsid w:val="00532FE0"/>
    <w:rsid w:val="0053752E"/>
    <w:rsid w:val="00537929"/>
    <w:rsid w:val="00540350"/>
    <w:rsid w:val="00541B23"/>
    <w:rsid w:val="005420EB"/>
    <w:rsid w:val="0054522E"/>
    <w:rsid w:val="00550DDB"/>
    <w:rsid w:val="00563BD0"/>
    <w:rsid w:val="00564530"/>
    <w:rsid w:val="0056686D"/>
    <w:rsid w:val="0057096C"/>
    <w:rsid w:val="00570BFA"/>
    <w:rsid w:val="005711D1"/>
    <w:rsid w:val="00574712"/>
    <w:rsid w:val="00575226"/>
    <w:rsid w:val="005818D7"/>
    <w:rsid w:val="005836EE"/>
    <w:rsid w:val="00584AFD"/>
    <w:rsid w:val="00585711"/>
    <w:rsid w:val="00590D7D"/>
    <w:rsid w:val="005910D4"/>
    <w:rsid w:val="005939A4"/>
    <w:rsid w:val="005A1EF4"/>
    <w:rsid w:val="005A304F"/>
    <w:rsid w:val="005A38CE"/>
    <w:rsid w:val="005A6A77"/>
    <w:rsid w:val="005A6B12"/>
    <w:rsid w:val="005A6E26"/>
    <w:rsid w:val="005A6FBE"/>
    <w:rsid w:val="005A784B"/>
    <w:rsid w:val="005B1817"/>
    <w:rsid w:val="005B40B9"/>
    <w:rsid w:val="005C05A4"/>
    <w:rsid w:val="005C08D2"/>
    <w:rsid w:val="005C116E"/>
    <w:rsid w:val="005C50E8"/>
    <w:rsid w:val="005C5E82"/>
    <w:rsid w:val="005C60E0"/>
    <w:rsid w:val="005C6511"/>
    <w:rsid w:val="005D1975"/>
    <w:rsid w:val="005D3256"/>
    <w:rsid w:val="005D4F78"/>
    <w:rsid w:val="005D66F7"/>
    <w:rsid w:val="005D6978"/>
    <w:rsid w:val="005E0AF6"/>
    <w:rsid w:val="005E559D"/>
    <w:rsid w:val="005E5A2F"/>
    <w:rsid w:val="005E6F35"/>
    <w:rsid w:val="005F13E8"/>
    <w:rsid w:val="005F3295"/>
    <w:rsid w:val="005F3A95"/>
    <w:rsid w:val="005F5B2A"/>
    <w:rsid w:val="006126B3"/>
    <w:rsid w:val="0061317A"/>
    <w:rsid w:val="00616A2E"/>
    <w:rsid w:val="006173D1"/>
    <w:rsid w:val="00617CF7"/>
    <w:rsid w:val="00622234"/>
    <w:rsid w:val="0062500A"/>
    <w:rsid w:val="006254F5"/>
    <w:rsid w:val="00627C4C"/>
    <w:rsid w:val="006300A6"/>
    <w:rsid w:val="006300D5"/>
    <w:rsid w:val="006335BF"/>
    <w:rsid w:val="00635DBF"/>
    <w:rsid w:val="00642241"/>
    <w:rsid w:val="00643AE8"/>
    <w:rsid w:val="0064432E"/>
    <w:rsid w:val="0064440E"/>
    <w:rsid w:val="006508DA"/>
    <w:rsid w:val="0065098B"/>
    <w:rsid w:val="00651EEC"/>
    <w:rsid w:val="00652B8A"/>
    <w:rsid w:val="00653BCB"/>
    <w:rsid w:val="00655616"/>
    <w:rsid w:val="006620A5"/>
    <w:rsid w:val="006641E9"/>
    <w:rsid w:val="00664538"/>
    <w:rsid w:val="00665D7A"/>
    <w:rsid w:val="006667C3"/>
    <w:rsid w:val="00666880"/>
    <w:rsid w:val="00672747"/>
    <w:rsid w:val="00674275"/>
    <w:rsid w:val="006747DB"/>
    <w:rsid w:val="00676893"/>
    <w:rsid w:val="00677A30"/>
    <w:rsid w:val="0068468A"/>
    <w:rsid w:val="00686E28"/>
    <w:rsid w:val="00687CAB"/>
    <w:rsid w:val="00690567"/>
    <w:rsid w:val="006913B5"/>
    <w:rsid w:val="006928BB"/>
    <w:rsid w:val="00694DCD"/>
    <w:rsid w:val="006967DD"/>
    <w:rsid w:val="00697989"/>
    <w:rsid w:val="006A033F"/>
    <w:rsid w:val="006A064B"/>
    <w:rsid w:val="006A1AA8"/>
    <w:rsid w:val="006A2023"/>
    <w:rsid w:val="006A225D"/>
    <w:rsid w:val="006A46CC"/>
    <w:rsid w:val="006A49FD"/>
    <w:rsid w:val="006A7CA2"/>
    <w:rsid w:val="006B06B4"/>
    <w:rsid w:val="006B19F1"/>
    <w:rsid w:val="006B3863"/>
    <w:rsid w:val="006B49E2"/>
    <w:rsid w:val="006B7F6D"/>
    <w:rsid w:val="006C00C1"/>
    <w:rsid w:val="006C1687"/>
    <w:rsid w:val="006C4B7E"/>
    <w:rsid w:val="006D376D"/>
    <w:rsid w:val="006D689C"/>
    <w:rsid w:val="006D772E"/>
    <w:rsid w:val="006E2E74"/>
    <w:rsid w:val="006E323E"/>
    <w:rsid w:val="006E5CC0"/>
    <w:rsid w:val="006E6EB1"/>
    <w:rsid w:val="006F0438"/>
    <w:rsid w:val="006F1241"/>
    <w:rsid w:val="006F2A61"/>
    <w:rsid w:val="006F425F"/>
    <w:rsid w:val="006F68D4"/>
    <w:rsid w:val="006F79A2"/>
    <w:rsid w:val="00700AF1"/>
    <w:rsid w:val="00701397"/>
    <w:rsid w:val="00701424"/>
    <w:rsid w:val="00702E03"/>
    <w:rsid w:val="0070307B"/>
    <w:rsid w:val="0070373A"/>
    <w:rsid w:val="0070737C"/>
    <w:rsid w:val="00712450"/>
    <w:rsid w:val="00713E7D"/>
    <w:rsid w:val="00714719"/>
    <w:rsid w:val="0071544D"/>
    <w:rsid w:val="007160D7"/>
    <w:rsid w:val="007164CC"/>
    <w:rsid w:val="00717566"/>
    <w:rsid w:val="00717722"/>
    <w:rsid w:val="00717C28"/>
    <w:rsid w:val="00720420"/>
    <w:rsid w:val="00726146"/>
    <w:rsid w:val="00731260"/>
    <w:rsid w:val="007314CB"/>
    <w:rsid w:val="00731C0F"/>
    <w:rsid w:val="00732CDC"/>
    <w:rsid w:val="007361F2"/>
    <w:rsid w:val="00736232"/>
    <w:rsid w:val="00737F5D"/>
    <w:rsid w:val="0074350B"/>
    <w:rsid w:val="00744D06"/>
    <w:rsid w:val="00747E78"/>
    <w:rsid w:val="007528BA"/>
    <w:rsid w:val="00756FE6"/>
    <w:rsid w:val="0075700F"/>
    <w:rsid w:val="00760243"/>
    <w:rsid w:val="00760ADF"/>
    <w:rsid w:val="00761477"/>
    <w:rsid w:val="007639C0"/>
    <w:rsid w:val="007643F3"/>
    <w:rsid w:val="00764A75"/>
    <w:rsid w:val="00766798"/>
    <w:rsid w:val="007669E9"/>
    <w:rsid w:val="007674F5"/>
    <w:rsid w:val="00767E61"/>
    <w:rsid w:val="00771E00"/>
    <w:rsid w:val="0077247E"/>
    <w:rsid w:val="00772632"/>
    <w:rsid w:val="00772861"/>
    <w:rsid w:val="00776194"/>
    <w:rsid w:val="0077627E"/>
    <w:rsid w:val="00777BDC"/>
    <w:rsid w:val="007815C8"/>
    <w:rsid w:val="00781AB2"/>
    <w:rsid w:val="00781CC3"/>
    <w:rsid w:val="00782D48"/>
    <w:rsid w:val="0078377C"/>
    <w:rsid w:val="00786726"/>
    <w:rsid w:val="00786FD6"/>
    <w:rsid w:val="0079044A"/>
    <w:rsid w:val="007918AF"/>
    <w:rsid w:val="0079297B"/>
    <w:rsid w:val="00794D7C"/>
    <w:rsid w:val="007960BE"/>
    <w:rsid w:val="00796FF8"/>
    <w:rsid w:val="0079795D"/>
    <w:rsid w:val="007A2160"/>
    <w:rsid w:val="007A3C79"/>
    <w:rsid w:val="007A4DD4"/>
    <w:rsid w:val="007A568B"/>
    <w:rsid w:val="007A5806"/>
    <w:rsid w:val="007A7CC8"/>
    <w:rsid w:val="007B183A"/>
    <w:rsid w:val="007B4166"/>
    <w:rsid w:val="007C42A3"/>
    <w:rsid w:val="007C43D3"/>
    <w:rsid w:val="007C44B5"/>
    <w:rsid w:val="007C5024"/>
    <w:rsid w:val="007C545B"/>
    <w:rsid w:val="007D077B"/>
    <w:rsid w:val="007D427A"/>
    <w:rsid w:val="007D4448"/>
    <w:rsid w:val="007D7157"/>
    <w:rsid w:val="007E3015"/>
    <w:rsid w:val="007E5540"/>
    <w:rsid w:val="007E613E"/>
    <w:rsid w:val="007F11AC"/>
    <w:rsid w:val="007F1421"/>
    <w:rsid w:val="007F19D9"/>
    <w:rsid w:val="007F1E91"/>
    <w:rsid w:val="007F202F"/>
    <w:rsid w:val="007F2273"/>
    <w:rsid w:val="007F3F2C"/>
    <w:rsid w:val="007F431B"/>
    <w:rsid w:val="007F7F16"/>
    <w:rsid w:val="00801190"/>
    <w:rsid w:val="00802EE4"/>
    <w:rsid w:val="0080336E"/>
    <w:rsid w:val="00804365"/>
    <w:rsid w:val="00807054"/>
    <w:rsid w:val="0081090F"/>
    <w:rsid w:val="00812820"/>
    <w:rsid w:val="00813FA7"/>
    <w:rsid w:val="0081685F"/>
    <w:rsid w:val="00816942"/>
    <w:rsid w:val="008203DA"/>
    <w:rsid w:val="00820EC0"/>
    <w:rsid w:val="00822971"/>
    <w:rsid w:val="00822CDC"/>
    <w:rsid w:val="008248C1"/>
    <w:rsid w:val="00825909"/>
    <w:rsid w:val="00826013"/>
    <w:rsid w:val="0082641D"/>
    <w:rsid w:val="00827592"/>
    <w:rsid w:val="00827EEA"/>
    <w:rsid w:val="00830330"/>
    <w:rsid w:val="0083220B"/>
    <w:rsid w:val="00832230"/>
    <w:rsid w:val="00832DD6"/>
    <w:rsid w:val="00833B17"/>
    <w:rsid w:val="00836FBB"/>
    <w:rsid w:val="00837085"/>
    <w:rsid w:val="008405D0"/>
    <w:rsid w:val="008416A8"/>
    <w:rsid w:val="00842F0D"/>
    <w:rsid w:val="008442E2"/>
    <w:rsid w:val="0084685B"/>
    <w:rsid w:val="00847326"/>
    <w:rsid w:val="0085173E"/>
    <w:rsid w:val="00852285"/>
    <w:rsid w:val="00852467"/>
    <w:rsid w:val="00854F5F"/>
    <w:rsid w:val="00855305"/>
    <w:rsid w:val="00857FBD"/>
    <w:rsid w:val="0086018E"/>
    <w:rsid w:val="00860E7B"/>
    <w:rsid w:val="008634F2"/>
    <w:rsid w:val="00865317"/>
    <w:rsid w:val="0086541A"/>
    <w:rsid w:val="00865F2F"/>
    <w:rsid w:val="00870EC2"/>
    <w:rsid w:val="00873292"/>
    <w:rsid w:val="00875AAC"/>
    <w:rsid w:val="008766D9"/>
    <w:rsid w:val="00876F60"/>
    <w:rsid w:val="00880A6F"/>
    <w:rsid w:val="00884EF2"/>
    <w:rsid w:val="0088683F"/>
    <w:rsid w:val="00886C91"/>
    <w:rsid w:val="00887DB8"/>
    <w:rsid w:val="0089067E"/>
    <w:rsid w:val="008908B0"/>
    <w:rsid w:val="008914F1"/>
    <w:rsid w:val="00892566"/>
    <w:rsid w:val="00893C35"/>
    <w:rsid w:val="0089636A"/>
    <w:rsid w:val="008969D5"/>
    <w:rsid w:val="008A1864"/>
    <w:rsid w:val="008A20F0"/>
    <w:rsid w:val="008A23DB"/>
    <w:rsid w:val="008A3880"/>
    <w:rsid w:val="008A48AF"/>
    <w:rsid w:val="008A701F"/>
    <w:rsid w:val="008B118B"/>
    <w:rsid w:val="008B44D0"/>
    <w:rsid w:val="008B5B2A"/>
    <w:rsid w:val="008C407A"/>
    <w:rsid w:val="008C52BD"/>
    <w:rsid w:val="008C588F"/>
    <w:rsid w:val="008C5AC7"/>
    <w:rsid w:val="008C6230"/>
    <w:rsid w:val="008D09CD"/>
    <w:rsid w:val="008D0D6C"/>
    <w:rsid w:val="008D25D2"/>
    <w:rsid w:val="008D76E6"/>
    <w:rsid w:val="008E0540"/>
    <w:rsid w:val="008E0814"/>
    <w:rsid w:val="008E10E3"/>
    <w:rsid w:val="008E1AD0"/>
    <w:rsid w:val="008E2A87"/>
    <w:rsid w:val="008E3831"/>
    <w:rsid w:val="008E71B7"/>
    <w:rsid w:val="008E78C1"/>
    <w:rsid w:val="008F1BD1"/>
    <w:rsid w:val="008F4500"/>
    <w:rsid w:val="008F4788"/>
    <w:rsid w:val="008F7663"/>
    <w:rsid w:val="008F7DE5"/>
    <w:rsid w:val="00902C58"/>
    <w:rsid w:val="00903210"/>
    <w:rsid w:val="0090357C"/>
    <w:rsid w:val="00903611"/>
    <w:rsid w:val="009036DD"/>
    <w:rsid w:val="00905454"/>
    <w:rsid w:val="009071F2"/>
    <w:rsid w:val="009111C7"/>
    <w:rsid w:val="009122A4"/>
    <w:rsid w:val="00912C63"/>
    <w:rsid w:val="0091319E"/>
    <w:rsid w:val="009137BD"/>
    <w:rsid w:val="00913EA0"/>
    <w:rsid w:val="00920413"/>
    <w:rsid w:val="00926B03"/>
    <w:rsid w:val="00931A1D"/>
    <w:rsid w:val="00932D1E"/>
    <w:rsid w:val="00933635"/>
    <w:rsid w:val="00937D96"/>
    <w:rsid w:val="009406B7"/>
    <w:rsid w:val="00942BD6"/>
    <w:rsid w:val="009440D5"/>
    <w:rsid w:val="00944CD7"/>
    <w:rsid w:val="00945252"/>
    <w:rsid w:val="00945CDB"/>
    <w:rsid w:val="009530C0"/>
    <w:rsid w:val="00954B94"/>
    <w:rsid w:val="00955931"/>
    <w:rsid w:val="0095655A"/>
    <w:rsid w:val="0095714B"/>
    <w:rsid w:val="00960EDD"/>
    <w:rsid w:val="00961814"/>
    <w:rsid w:val="00964289"/>
    <w:rsid w:val="00964B71"/>
    <w:rsid w:val="009659BA"/>
    <w:rsid w:val="00967355"/>
    <w:rsid w:val="00972397"/>
    <w:rsid w:val="00974CBF"/>
    <w:rsid w:val="00977D48"/>
    <w:rsid w:val="00983A9B"/>
    <w:rsid w:val="00985A36"/>
    <w:rsid w:val="00985EEE"/>
    <w:rsid w:val="009869D2"/>
    <w:rsid w:val="0099130C"/>
    <w:rsid w:val="00992AE3"/>
    <w:rsid w:val="00993567"/>
    <w:rsid w:val="009939B1"/>
    <w:rsid w:val="00996F87"/>
    <w:rsid w:val="00997127"/>
    <w:rsid w:val="009A3F1E"/>
    <w:rsid w:val="009A6F9E"/>
    <w:rsid w:val="009B0A47"/>
    <w:rsid w:val="009B1F05"/>
    <w:rsid w:val="009B25F3"/>
    <w:rsid w:val="009B2DD2"/>
    <w:rsid w:val="009B31A2"/>
    <w:rsid w:val="009B3435"/>
    <w:rsid w:val="009B41B8"/>
    <w:rsid w:val="009B6F84"/>
    <w:rsid w:val="009B717B"/>
    <w:rsid w:val="009C170A"/>
    <w:rsid w:val="009C1B20"/>
    <w:rsid w:val="009C4A7D"/>
    <w:rsid w:val="009C4EFD"/>
    <w:rsid w:val="009D3327"/>
    <w:rsid w:val="009D7455"/>
    <w:rsid w:val="009E0A9D"/>
    <w:rsid w:val="009E0F71"/>
    <w:rsid w:val="009E55B9"/>
    <w:rsid w:val="009E6367"/>
    <w:rsid w:val="009E6CE3"/>
    <w:rsid w:val="009E7DB5"/>
    <w:rsid w:val="009F1741"/>
    <w:rsid w:val="009F547D"/>
    <w:rsid w:val="009F5DC0"/>
    <w:rsid w:val="009F66FA"/>
    <w:rsid w:val="00A0194B"/>
    <w:rsid w:val="00A05448"/>
    <w:rsid w:val="00A10101"/>
    <w:rsid w:val="00A103A2"/>
    <w:rsid w:val="00A11D85"/>
    <w:rsid w:val="00A122C5"/>
    <w:rsid w:val="00A12B54"/>
    <w:rsid w:val="00A13076"/>
    <w:rsid w:val="00A131AF"/>
    <w:rsid w:val="00A14648"/>
    <w:rsid w:val="00A15704"/>
    <w:rsid w:val="00A174E1"/>
    <w:rsid w:val="00A2378C"/>
    <w:rsid w:val="00A274A2"/>
    <w:rsid w:val="00A30674"/>
    <w:rsid w:val="00A3413D"/>
    <w:rsid w:val="00A344E4"/>
    <w:rsid w:val="00A34A14"/>
    <w:rsid w:val="00A34D94"/>
    <w:rsid w:val="00A400B9"/>
    <w:rsid w:val="00A40D95"/>
    <w:rsid w:val="00A473A8"/>
    <w:rsid w:val="00A47A8F"/>
    <w:rsid w:val="00A52F00"/>
    <w:rsid w:val="00A52F5A"/>
    <w:rsid w:val="00A5389E"/>
    <w:rsid w:val="00A542E3"/>
    <w:rsid w:val="00A563F5"/>
    <w:rsid w:val="00A626FA"/>
    <w:rsid w:val="00A62BDE"/>
    <w:rsid w:val="00A6386D"/>
    <w:rsid w:val="00A64A26"/>
    <w:rsid w:val="00A6537E"/>
    <w:rsid w:val="00A65694"/>
    <w:rsid w:val="00A661D9"/>
    <w:rsid w:val="00A66ACB"/>
    <w:rsid w:val="00A7400A"/>
    <w:rsid w:val="00A80BF8"/>
    <w:rsid w:val="00A813D7"/>
    <w:rsid w:val="00A8293B"/>
    <w:rsid w:val="00A85029"/>
    <w:rsid w:val="00A90EDB"/>
    <w:rsid w:val="00A919E8"/>
    <w:rsid w:val="00A92DE8"/>
    <w:rsid w:val="00A93846"/>
    <w:rsid w:val="00A94115"/>
    <w:rsid w:val="00A95F1E"/>
    <w:rsid w:val="00AA1E6E"/>
    <w:rsid w:val="00AA2215"/>
    <w:rsid w:val="00AA4F24"/>
    <w:rsid w:val="00AA6126"/>
    <w:rsid w:val="00AB0B77"/>
    <w:rsid w:val="00AB12B8"/>
    <w:rsid w:val="00AB14C4"/>
    <w:rsid w:val="00AB3F7E"/>
    <w:rsid w:val="00AB76BD"/>
    <w:rsid w:val="00AB7B18"/>
    <w:rsid w:val="00AC343C"/>
    <w:rsid w:val="00AC681B"/>
    <w:rsid w:val="00AC7680"/>
    <w:rsid w:val="00AD0229"/>
    <w:rsid w:val="00AD03F0"/>
    <w:rsid w:val="00AD3FC9"/>
    <w:rsid w:val="00AD587C"/>
    <w:rsid w:val="00AD7D66"/>
    <w:rsid w:val="00AE1C95"/>
    <w:rsid w:val="00AE2F2E"/>
    <w:rsid w:val="00AE3539"/>
    <w:rsid w:val="00AE6517"/>
    <w:rsid w:val="00AE693F"/>
    <w:rsid w:val="00AF0956"/>
    <w:rsid w:val="00AF0E8F"/>
    <w:rsid w:val="00AF5076"/>
    <w:rsid w:val="00AF5476"/>
    <w:rsid w:val="00AF56AF"/>
    <w:rsid w:val="00AF5A4F"/>
    <w:rsid w:val="00AF6741"/>
    <w:rsid w:val="00B0153E"/>
    <w:rsid w:val="00B0527F"/>
    <w:rsid w:val="00B058E7"/>
    <w:rsid w:val="00B066EA"/>
    <w:rsid w:val="00B10514"/>
    <w:rsid w:val="00B10987"/>
    <w:rsid w:val="00B11E2D"/>
    <w:rsid w:val="00B121BE"/>
    <w:rsid w:val="00B12E96"/>
    <w:rsid w:val="00B136F0"/>
    <w:rsid w:val="00B15A13"/>
    <w:rsid w:val="00B162AA"/>
    <w:rsid w:val="00B168C1"/>
    <w:rsid w:val="00B226DC"/>
    <w:rsid w:val="00B2592E"/>
    <w:rsid w:val="00B332B8"/>
    <w:rsid w:val="00B33950"/>
    <w:rsid w:val="00B34C8F"/>
    <w:rsid w:val="00B35326"/>
    <w:rsid w:val="00B365C4"/>
    <w:rsid w:val="00B36876"/>
    <w:rsid w:val="00B374EE"/>
    <w:rsid w:val="00B40837"/>
    <w:rsid w:val="00B40CB8"/>
    <w:rsid w:val="00B433F4"/>
    <w:rsid w:val="00B4611B"/>
    <w:rsid w:val="00B4755A"/>
    <w:rsid w:val="00B47AE7"/>
    <w:rsid w:val="00B50814"/>
    <w:rsid w:val="00B530E9"/>
    <w:rsid w:val="00B61AD3"/>
    <w:rsid w:val="00B65FE4"/>
    <w:rsid w:val="00B67697"/>
    <w:rsid w:val="00B70E54"/>
    <w:rsid w:val="00B70F0D"/>
    <w:rsid w:val="00B720E4"/>
    <w:rsid w:val="00B72BF8"/>
    <w:rsid w:val="00B74ED6"/>
    <w:rsid w:val="00B764FF"/>
    <w:rsid w:val="00B77199"/>
    <w:rsid w:val="00B802C5"/>
    <w:rsid w:val="00B82442"/>
    <w:rsid w:val="00B836EC"/>
    <w:rsid w:val="00B847D0"/>
    <w:rsid w:val="00B84F09"/>
    <w:rsid w:val="00B867B0"/>
    <w:rsid w:val="00B871BA"/>
    <w:rsid w:val="00B90E87"/>
    <w:rsid w:val="00B92DFA"/>
    <w:rsid w:val="00BA3023"/>
    <w:rsid w:val="00BA3630"/>
    <w:rsid w:val="00BA4548"/>
    <w:rsid w:val="00BA7D0E"/>
    <w:rsid w:val="00BB1617"/>
    <w:rsid w:val="00BB1FD2"/>
    <w:rsid w:val="00BB45C6"/>
    <w:rsid w:val="00BB4AF9"/>
    <w:rsid w:val="00BB5119"/>
    <w:rsid w:val="00BB530D"/>
    <w:rsid w:val="00BB6BD9"/>
    <w:rsid w:val="00BB6E4C"/>
    <w:rsid w:val="00BB7194"/>
    <w:rsid w:val="00BC1849"/>
    <w:rsid w:val="00BC26CC"/>
    <w:rsid w:val="00BD1F06"/>
    <w:rsid w:val="00BD5024"/>
    <w:rsid w:val="00BD7A84"/>
    <w:rsid w:val="00BD7B13"/>
    <w:rsid w:val="00BE004B"/>
    <w:rsid w:val="00BE0BB3"/>
    <w:rsid w:val="00BE0FAE"/>
    <w:rsid w:val="00BE260C"/>
    <w:rsid w:val="00BE2E7B"/>
    <w:rsid w:val="00BE59F6"/>
    <w:rsid w:val="00BE65B3"/>
    <w:rsid w:val="00BF12DA"/>
    <w:rsid w:val="00BF4C62"/>
    <w:rsid w:val="00C023F6"/>
    <w:rsid w:val="00C05885"/>
    <w:rsid w:val="00C05FCE"/>
    <w:rsid w:val="00C0688A"/>
    <w:rsid w:val="00C06EA2"/>
    <w:rsid w:val="00C071A8"/>
    <w:rsid w:val="00C131BC"/>
    <w:rsid w:val="00C15FDA"/>
    <w:rsid w:val="00C16F11"/>
    <w:rsid w:val="00C17A58"/>
    <w:rsid w:val="00C202BF"/>
    <w:rsid w:val="00C204AD"/>
    <w:rsid w:val="00C213FB"/>
    <w:rsid w:val="00C23526"/>
    <w:rsid w:val="00C238C6"/>
    <w:rsid w:val="00C239AF"/>
    <w:rsid w:val="00C257F8"/>
    <w:rsid w:val="00C259A2"/>
    <w:rsid w:val="00C33505"/>
    <w:rsid w:val="00C37A35"/>
    <w:rsid w:val="00C40D18"/>
    <w:rsid w:val="00C4188D"/>
    <w:rsid w:val="00C41A9F"/>
    <w:rsid w:val="00C42E34"/>
    <w:rsid w:val="00C446FF"/>
    <w:rsid w:val="00C44993"/>
    <w:rsid w:val="00C44C5C"/>
    <w:rsid w:val="00C47093"/>
    <w:rsid w:val="00C504EF"/>
    <w:rsid w:val="00C54147"/>
    <w:rsid w:val="00C573EC"/>
    <w:rsid w:val="00C57D38"/>
    <w:rsid w:val="00C61F4B"/>
    <w:rsid w:val="00C630DA"/>
    <w:rsid w:val="00C6324C"/>
    <w:rsid w:val="00C63BFE"/>
    <w:rsid w:val="00C63EB0"/>
    <w:rsid w:val="00C654BF"/>
    <w:rsid w:val="00C67C7E"/>
    <w:rsid w:val="00C72173"/>
    <w:rsid w:val="00C734CF"/>
    <w:rsid w:val="00C76488"/>
    <w:rsid w:val="00C77CE2"/>
    <w:rsid w:val="00C80495"/>
    <w:rsid w:val="00C80E37"/>
    <w:rsid w:val="00C81EE4"/>
    <w:rsid w:val="00C822D1"/>
    <w:rsid w:val="00C8367D"/>
    <w:rsid w:val="00C8523F"/>
    <w:rsid w:val="00C86D12"/>
    <w:rsid w:val="00C9442F"/>
    <w:rsid w:val="00CA0E4E"/>
    <w:rsid w:val="00CA1BCC"/>
    <w:rsid w:val="00CA2841"/>
    <w:rsid w:val="00CA2BDB"/>
    <w:rsid w:val="00CA2C39"/>
    <w:rsid w:val="00CA2D9A"/>
    <w:rsid w:val="00CA357F"/>
    <w:rsid w:val="00CA5328"/>
    <w:rsid w:val="00CA68E9"/>
    <w:rsid w:val="00CA76C5"/>
    <w:rsid w:val="00CA7B39"/>
    <w:rsid w:val="00CB15F5"/>
    <w:rsid w:val="00CB263C"/>
    <w:rsid w:val="00CB3901"/>
    <w:rsid w:val="00CB4A9E"/>
    <w:rsid w:val="00CB4DBC"/>
    <w:rsid w:val="00CB690D"/>
    <w:rsid w:val="00CC5304"/>
    <w:rsid w:val="00CC5530"/>
    <w:rsid w:val="00CD030E"/>
    <w:rsid w:val="00CD05AD"/>
    <w:rsid w:val="00CD167E"/>
    <w:rsid w:val="00CD2342"/>
    <w:rsid w:val="00CD59A2"/>
    <w:rsid w:val="00CD6288"/>
    <w:rsid w:val="00CD79ED"/>
    <w:rsid w:val="00CE0306"/>
    <w:rsid w:val="00CE3BD1"/>
    <w:rsid w:val="00CE5023"/>
    <w:rsid w:val="00CE5915"/>
    <w:rsid w:val="00CE6766"/>
    <w:rsid w:val="00CE7520"/>
    <w:rsid w:val="00CF0657"/>
    <w:rsid w:val="00CF0E2D"/>
    <w:rsid w:val="00CF14D2"/>
    <w:rsid w:val="00CF22F8"/>
    <w:rsid w:val="00CF2642"/>
    <w:rsid w:val="00CF343A"/>
    <w:rsid w:val="00CF6101"/>
    <w:rsid w:val="00CF648A"/>
    <w:rsid w:val="00CF6788"/>
    <w:rsid w:val="00CF6BEA"/>
    <w:rsid w:val="00CF73EE"/>
    <w:rsid w:val="00D03113"/>
    <w:rsid w:val="00D0492D"/>
    <w:rsid w:val="00D04C2F"/>
    <w:rsid w:val="00D0600E"/>
    <w:rsid w:val="00D117E6"/>
    <w:rsid w:val="00D1350D"/>
    <w:rsid w:val="00D154AD"/>
    <w:rsid w:val="00D15E7A"/>
    <w:rsid w:val="00D1719A"/>
    <w:rsid w:val="00D2137C"/>
    <w:rsid w:val="00D21733"/>
    <w:rsid w:val="00D224C0"/>
    <w:rsid w:val="00D23A85"/>
    <w:rsid w:val="00D2438C"/>
    <w:rsid w:val="00D244F3"/>
    <w:rsid w:val="00D2473F"/>
    <w:rsid w:val="00D265BE"/>
    <w:rsid w:val="00D26A22"/>
    <w:rsid w:val="00D26F49"/>
    <w:rsid w:val="00D3178A"/>
    <w:rsid w:val="00D31EAA"/>
    <w:rsid w:val="00D33617"/>
    <w:rsid w:val="00D3546B"/>
    <w:rsid w:val="00D3682E"/>
    <w:rsid w:val="00D40276"/>
    <w:rsid w:val="00D411CB"/>
    <w:rsid w:val="00D427C9"/>
    <w:rsid w:val="00D42901"/>
    <w:rsid w:val="00D4431C"/>
    <w:rsid w:val="00D507AA"/>
    <w:rsid w:val="00D50EB5"/>
    <w:rsid w:val="00D50F2E"/>
    <w:rsid w:val="00D5249D"/>
    <w:rsid w:val="00D52CD1"/>
    <w:rsid w:val="00D53E14"/>
    <w:rsid w:val="00D5502B"/>
    <w:rsid w:val="00D5710E"/>
    <w:rsid w:val="00D62FF1"/>
    <w:rsid w:val="00D6362D"/>
    <w:rsid w:val="00D66E80"/>
    <w:rsid w:val="00D67639"/>
    <w:rsid w:val="00D70C52"/>
    <w:rsid w:val="00D7342C"/>
    <w:rsid w:val="00D75B7A"/>
    <w:rsid w:val="00D823CE"/>
    <w:rsid w:val="00D828D5"/>
    <w:rsid w:val="00D829DE"/>
    <w:rsid w:val="00D83D5C"/>
    <w:rsid w:val="00D842D6"/>
    <w:rsid w:val="00D84C66"/>
    <w:rsid w:val="00D8584F"/>
    <w:rsid w:val="00D90BF8"/>
    <w:rsid w:val="00D935AB"/>
    <w:rsid w:val="00D948A2"/>
    <w:rsid w:val="00D973E8"/>
    <w:rsid w:val="00D97497"/>
    <w:rsid w:val="00DA52D9"/>
    <w:rsid w:val="00DA584A"/>
    <w:rsid w:val="00DB3637"/>
    <w:rsid w:val="00DB51E7"/>
    <w:rsid w:val="00DB59D7"/>
    <w:rsid w:val="00DB7C60"/>
    <w:rsid w:val="00DC14E5"/>
    <w:rsid w:val="00DC4E12"/>
    <w:rsid w:val="00DC63E3"/>
    <w:rsid w:val="00DD2AB6"/>
    <w:rsid w:val="00DE1CE5"/>
    <w:rsid w:val="00DE3EFB"/>
    <w:rsid w:val="00DE5315"/>
    <w:rsid w:val="00DE5A9A"/>
    <w:rsid w:val="00DE5C5A"/>
    <w:rsid w:val="00DE725C"/>
    <w:rsid w:val="00DF327E"/>
    <w:rsid w:val="00DF429A"/>
    <w:rsid w:val="00DF799D"/>
    <w:rsid w:val="00DF79BB"/>
    <w:rsid w:val="00E078FD"/>
    <w:rsid w:val="00E12B3C"/>
    <w:rsid w:val="00E13993"/>
    <w:rsid w:val="00E14CCB"/>
    <w:rsid w:val="00E16C65"/>
    <w:rsid w:val="00E205EE"/>
    <w:rsid w:val="00E2435F"/>
    <w:rsid w:val="00E25236"/>
    <w:rsid w:val="00E25C34"/>
    <w:rsid w:val="00E25F65"/>
    <w:rsid w:val="00E2612B"/>
    <w:rsid w:val="00E265BF"/>
    <w:rsid w:val="00E26D74"/>
    <w:rsid w:val="00E326A0"/>
    <w:rsid w:val="00E3786C"/>
    <w:rsid w:val="00E434FA"/>
    <w:rsid w:val="00E43582"/>
    <w:rsid w:val="00E502F6"/>
    <w:rsid w:val="00E50C80"/>
    <w:rsid w:val="00E518D2"/>
    <w:rsid w:val="00E5333D"/>
    <w:rsid w:val="00E573B5"/>
    <w:rsid w:val="00E622FC"/>
    <w:rsid w:val="00E627DD"/>
    <w:rsid w:val="00E63F5D"/>
    <w:rsid w:val="00E71DAD"/>
    <w:rsid w:val="00E75AA5"/>
    <w:rsid w:val="00E7603F"/>
    <w:rsid w:val="00E805A7"/>
    <w:rsid w:val="00E8176D"/>
    <w:rsid w:val="00E82E15"/>
    <w:rsid w:val="00E8394A"/>
    <w:rsid w:val="00E84E4A"/>
    <w:rsid w:val="00E85AEE"/>
    <w:rsid w:val="00E86444"/>
    <w:rsid w:val="00E868DE"/>
    <w:rsid w:val="00E8785D"/>
    <w:rsid w:val="00E9190D"/>
    <w:rsid w:val="00E91E3E"/>
    <w:rsid w:val="00E920FF"/>
    <w:rsid w:val="00E94024"/>
    <w:rsid w:val="00E95486"/>
    <w:rsid w:val="00E95FC4"/>
    <w:rsid w:val="00EA0409"/>
    <w:rsid w:val="00EA0EC4"/>
    <w:rsid w:val="00EA288E"/>
    <w:rsid w:val="00EB0280"/>
    <w:rsid w:val="00EB060A"/>
    <w:rsid w:val="00EB2293"/>
    <w:rsid w:val="00EB2C50"/>
    <w:rsid w:val="00EB56E3"/>
    <w:rsid w:val="00EB5FA6"/>
    <w:rsid w:val="00EB7FD3"/>
    <w:rsid w:val="00EC1E64"/>
    <w:rsid w:val="00EC1ED9"/>
    <w:rsid w:val="00EC232A"/>
    <w:rsid w:val="00EC2E73"/>
    <w:rsid w:val="00EC2F60"/>
    <w:rsid w:val="00EC6577"/>
    <w:rsid w:val="00ED0145"/>
    <w:rsid w:val="00ED27B7"/>
    <w:rsid w:val="00ED3BA3"/>
    <w:rsid w:val="00ED455D"/>
    <w:rsid w:val="00ED461D"/>
    <w:rsid w:val="00ED5DE0"/>
    <w:rsid w:val="00ED64D2"/>
    <w:rsid w:val="00EE0553"/>
    <w:rsid w:val="00EE0BC1"/>
    <w:rsid w:val="00EE134D"/>
    <w:rsid w:val="00EE268F"/>
    <w:rsid w:val="00EE6B93"/>
    <w:rsid w:val="00EE7857"/>
    <w:rsid w:val="00EE7F5E"/>
    <w:rsid w:val="00EF0A19"/>
    <w:rsid w:val="00EF64FD"/>
    <w:rsid w:val="00EF6629"/>
    <w:rsid w:val="00EF7CB0"/>
    <w:rsid w:val="00F000D8"/>
    <w:rsid w:val="00F01FFB"/>
    <w:rsid w:val="00F02DCE"/>
    <w:rsid w:val="00F0737E"/>
    <w:rsid w:val="00F102E0"/>
    <w:rsid w:val="00F11760"/>
    <w:rsid w:val="00F12450"/>
    <w:rsid w:val="00F139EC"/>
    <w:rsid w:val="00F14772"/>
    <w:rsid w:val="00F15896"/>
    <w:rsid w:val="00F2061B"/>
    <w:rsid w:val="00F20DA4"/>
    <w:rsid w:val="00F2165F"/>
    <w:rsid w:val="00F2261B"/>
    <w:rsid w:val="00F23083"/>
    <w:rsid w:val="00F23F1A"/>
    <w:rsid w:val="00F272B4"/>
    <w:rsid w:val="00F2747B"/>
    <w:rsid w:val="00F30B5F"/>
    <w:rsid w:val="00F31C0F"/>
    <w:rsid w:val="00F330A8"/>
    <w:rsid w:val="00F3311C"/>
    <w:rsid w:val="00F335EA"/>
    <w:rsid w:val="00F34C0E"/>
    <w:rsid w:val="00F42067"/>
    <w:rsid w:val="00F440B1"/>
    <w:rsid w:val="00F45394"/>
    <w:rsid w:val="00F45724"/>
    <w:rsid w:val="00F46724"/>
    <w:rsid w:val="00F47630"/>
    <w:rsid w:val="00F47D6D"/>
    <w:rsid w:val="00F506DA"/>
    <w:rsid w:val="00F51D2C"/>
    <w:rsid w:val="00F53E1F"/>
    <w:rsid w:val="00F54A8B"/>
    <w:rsid w:val="00F645FE"/>
    <w:rsid w:val="00F708F1"/>
    <w:rsid w:val="00F72DE5"/>
    <w:rsid w:val="00F751A5"/>
    <w:rsid w:val="00F752CE"/>
    <w:rsid w:val="00F75CBA"/>
    <w:rsid w:val="00F767FE"/>
    <w:rsid w:val="00F802E8"/>
    <w:rsid w:val="00F80B14"/>
    <w:rsid w:val="00F86412"/>
    <w:rsid w:val="00F93412"/>
    <w:rsid w:val="00F94D96"/>
    <w:rsid w:val="00F9533D"/>
    <w:rsid w:val="00F96CF9"/>
    <w:rsid w:val="00F973D9"/>
    <w:rsid w:val="00F97440"/>
    <w:rsid w:val="00FA3635"/>
    <w:rsid w:val="00FA43AF"/>
    <w:rsid w:val="00FA65F3"/>
    <w:rsid w:val="00FA6F86"/>
    <w:rsid w:val="00FB0D4C"/>
    <w:rsid w:val="00FB122A"/>
    <w:rsid w:val="00FB3942"/>
    <w:rsid w:val="00FB4909"/>
    <w:rsid w:val="00FC07D8"/>
    <w:rsid w:val="00FC0EA3"/>
    <w:rsid w:val="00FC42C5"/>
    <w:rsid w:val="00FC50A7"/>
    <w:rsid w:val="00FD0D8C"/>
    <w:rsid w:val="00FD1018"/>
    <w:rsid w:val="00FD1C46"/>
    <w:rsid w:val="00FD1D03"/>
    <w:rsid w:val="00FD20AD"/>
    <w:rsid w:val="00FD2AAE"/>
    <w:rsid w:val="00FD5E95"/>
    <w:rsid w:val="00FD6D90"/>
    <w:rsid w:val="00FD783C"/>
    <w:rsid w:val="00FD7D38"/>
    <w:rsid w:val="00FE5F2D"/>
    <w:rsid w:val="00FF2169"/>
    <w:rsid w:val="00FF4296"/>
    <w:rsid w:val="00FF6E79"/>
    <w:rsid w:val="00FF782A"/>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09BB84"/>
  <w15:chartTrackingRefBased/>
  <w15:docId w15:val="{9F1ED78D-7E5D-4C19-8E39-CB1FF0F093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imes New Roman"/>
        <w:sz w:val="24"/>
        <w:szCs w:val="24"/>
        <w:lang w:val="da-DK" w:eastAsia="en-US" w:bidi="ar-SA"/>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6146"/>
    <w:pPr>
      <w:spacing w:line="276" w:lineRule="auto"/>
    </w:pPr>
    <w:rPr>
      <w:rFonts w:ascii="Calibri" w:hAnsi="Calibri"/>
      <w:sz w:val="22"/>
      <w:szCs w:val="22"/>
    </w:rPr>
  </w:style>
  <w:style w:type="paragraph" w:styleId="Heading1">
    <w:name w:val="heading 1"/>
    <w:basedOn w:val="Heading3"/>
    <w:next w:val="Normal"/>
    <w:link w:val="Heading1Char"/>
    <w:uiPriority w:val="9"/>
    <w:qFormat/>
    <w:rsid w:val="007C43D3"/>
    <w:pPr>
      <w:numPr>
        <w:numId w:val="26"/>
      </w:numPr>
      <w:spacing w:before="960"/>
      <w:ind w:left="357" w:hanging="357"/>
      <w:outlineLvl w:val="0"/>
    </w:pPr>
    <w:rPr>
      <w:sz w:val="36"/>
      <w:szCs w:val="36"/>
    </w:rPr>
  </w:style>
  <w:style w:type="paragraph" w:styleId="Heading2">
    <w:name w:val="heading 2"/>
    <w:basedOn w:val="Normal"/>
    <w:next w:val="Normal"/>
    <w:link w:val="Heading2Char"/>
    <w:uiPriority w:val="9"/>
    <w:unhideWhenUsed/>
    <w:qFormat/>
    <w:rsid w:val="00FF782A"/>
    <w:pPr>
      <w:keepNext/>
      <w:keepLines/>
      <w:spacing w:before="400"/>
      <w:outlineLvl w:val="1"/>
    </w:pPr>
    <w:rPr>
      <w:rFonts w:eastAsiaTheme="majorEastAsia" w:cstheme="majorBidi"/>
      <w:b/>
      <w:sz w:val="28"/>
      <w:szCs w:val="24"/>
      <w:lang w:val="en-US"/>
    </w:rPr>
  </w:style>
  <w:style w:type="paragraph" w:styleId="Heading3">
    <w:name w:val="heading 3"/>
    <w:basedOn w:val="Normal"/>
    <w:next w:val="Normal"/>
    <w:link w:val="Heading3Char"/>
    <w:uiPriority w:val="9"/>
    <w:unhideWhenUsed/>
    <w:qFormat/>
    <w:rsid w:val="00830330"/>
    <w:pPr>
      <w:outlineLvl w:val="2"/>
    </w:pPr>
    <w:rPr>
      <w:b/>
      <w:bCs/>
    </w:rPr>
  </w:style>
  <w:style w:type="paragraph" w:styleId="Heading4">
    <w:name w:val="heading 4"/>
    <w:basedOn w:val="Normal"/>
    <w:next w:val="Normal"/>
    <w:link w:val="Heading4Char"/>
    <w:uiPriority w:val="9"/>
    <w:unhideWhenUsed/>
    <w:qFormat/>
    <w:rsid w:val="000668BF"/>
    <w:pPr>
      <w:keepNext/>
      <w:outlineLvl w:val="3"/>
    </w:pPr>
    <w:rPr>
      <w:i/>
      <w:iCs/>
    </w:rPr>
  </w:style>
  <w:style w:type="paragraph" w:styleId="Heading5">
    <w:name w:val="heading 5"/>
    <w:basedOn w:val="Heading4"/>
    <w:next w:val="Normal"/>
    <w:link w:val="Heading5Char"/>
    <w:uiPriority w:val="9"/>
    <w:unhideWhenUsed/>
    <w:rsid w:val="00414C25"/>
    <w:pPr>
      <w:numPr>
        <w:ilvl w:val="4"/>
      </w:numPr>
      <w:outlineLvl w:val="4"/>
    </w:pPr>
    <w:rPr>
      <w:sz w:val="29"/>
      <w:szCs w:val="29"/>
    </w:rPr>
  </w:style>
  <w:style w:type="paragraph" w:styleId="Heading6">
    <w:name w:val="heading 6"/>
    <w:basedOn w:val="Heading5"/>
    <w:next w:val="Normal"/>
    <w:link w:val="Heading6Char"/>
    <w:uiPriority w:val="9"/>
    <w:unhideWhenUsed/>
    <w:rsid w:val="00414C25"/>
    <w:pPr>
      <w:numPr>
        <w:ilvl w:val="5"/>
      </w:numPr>
      <w:outlineLvl w:val="5"/>
    </w:pPr>
    <w:rPr>
      <w:sz w:val="26"/>
      <w:szCs w:val="26"/>
    </w:rPr>
  </w:style>
  <w:style w:type="paragraph" w:styleId="Heading7">
    <w:name w:val="heading 7"/>
    <w:basedOn w:val="Normal"/>
    <w:next w:val="Normal"/>
    <w:link w:val="Heading7Char"/>
    <w:uiPriority w:val="9"/>
    <w:semiHidden/>
    <w:unhideWhenUsed/>
    <w:rsid w:val="00414C25"/>
    <w:pPr>
      <w:keepNext/>
      <w:keepLines/>
      <w:numPr>
        <w:ilvl w:val="6"/>
        <w:numId w:val="5"/>
      </w:numPr>
      <w:spacing w:before="40" w:after="0"/>
      <w:outlineLvl w:val="6"/>
    </w:pPr>
    <w:rPr>
      <w:rFonts w:asciiTheme="majorHAnsi" w:eastAsiaTheme="majorEastAsia" w:hAnsiTheme="majorHAnsi" w:cstheme="majorBidi"/>
      <w:i/>
      <w:iCs/>
      <w:color w:val="001B32" w:themeColor="accent1" w:themeShade="7F"/>
    </w:rPr>
  </w:style>
  <w:style w:type="paragraph" w:styleId="Heading8">
    <w:name w:val="heading 8"/>
    <w:basedOn w:val="Normal"/>
    <w:next w:val="Normal"/>
    <w:link w:val="Heading8Char"/>
    <w:uiPriority w:val="9"/>
    <w:semiHidden/>
    <w:unhideWhenUsed/>
    <w:rsid w:val="00414C25"/>
    <w:pPr>
      <w:keepNext/>
      <w:keepLines/>
      <w:numPr>
        <w:ilvl w:val="7"/>
        <w:numId w:val="5"/>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rsid w:val="00414C25"/>
    <w:pPr>
      <w:keepNext/>
      <w:keepLines/>
      <w:numPr>
        <w:ilvl w:val="8"/>
        <w:numId w:val="5"/>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FF782A"/>
    <w:rPr>
      <w:rFonts w:ascii="Calibri" w:eastAsiaTheme="majorEastAsia" w:hAnsi="Calibri" w:cstheme="majorBidi"/>
      <w:b/>
      <w:sz w:val="28"/>
      <w:lang w:val="en-US"/>
    </w:rPr>
  </w:style>
  <w:style w:type="paragraph" w:styleId="ListParagraph">
    <w:name w:val="List Paragraph"/>
    <w:basedOn w:val="Nummereretliste"/>
    <w:uiPriority w:val="34"/>
    <w:qFormat/>
    <w:rsid w:val="00414C25"/>
  </w:style>
  <w:style w:type="paragraph" w:customStyle="1" w:styleId="ListeCEPOS-notat">
    <w:name w:val="Liste CEPOS-notat"/>
    <w:basedOn w:val="Normal"/>
    <w:link w:val="ListeCEPOS-notatTegn"/>
    <w:rsid w:val="00414C25"/>
    <w:pPr>
      <w:ind w:left="720" w:hanging="360"/>
    </w:pPr>
  </w:style>
  <w:style w:type="paragraph" w:customStyle="1" w:styleId="Punktopstilling">
    <w:name w:val="Punktopstilling"/>
    <w:basedOn w:val="ListeCEPOS-notat"/>
    <w:link w:val="PunktopstillingTegn"/>
    <w:qFormat/>
    <w:rsid w:val="00CF73EE"/>
    <w:pPr>
      <w:numPr>
        <w:numId w:val="29"/>
      </w:numPr>
      <w:spacing w:before="120"/>
    </w:pPr>
  </w:style>
  <w:style w:type="paragraph" w:customStyle="1" w:styleId="Nummereretliste">
    <w:name w:val="Nummereret liste"/>
    <w:basedOn w:val="Punktopstilling"/>
    <w:link w:val="NummereretlisteTegn"/>
    <w:qFormat/>
    <w:rsid w:val="00CF73EE"/>
    <w:pPr>
      <w:numPr>
        <w:numId w:val="0"/>
      </w:numPr>
      <w:ind w:left="714" w:hanging="357"/>
    </w:pPr>
  </w:style>
  <w:style w:type="character" w:customStyle="1" w:styleId="ListeCEPOS-notatTegn">
    <w:name w:val="Liste CEPOS-notat Tegn"/>
    <w:basedOn w:val="DefaultParagraphFont"/>
    <w:link w:val="ListeCEPOS-notat"/>
    <w:rsid w:val="00414C25"/>
    <w:rPr>
      <w:rFonts w:ascii="Calibri" w:hAnsi="Calibri"/>
      <w:sz w:val="22"/>
      <w:szCs w:val="22"/>
    </w:rPr>
  </w:style>
  <w:style w:type="character" w:customStyle="1" w:styleId="PunktopstillingTegn">
    <w:name w:val="Punktopstilling Tegn"/>
    <w:basedOn w:val="ListeCEPOS-notatTegn"/>
    <w:link w:val="Punktopstilling"/>
    <w:rsid w:val="00CF73EE"/>
    <w:rPr>
      <w:rFonts w:ascii="Calibri" w:hAnsi="Calibri"/>
      <w:sz w:val="22"/>
      <w:szCs w:val="22"/>
    </w:rPr>
  </w:style>
  <w:style w:type="character" w:customStyle="1" w:styleId="Heading3Char">
    <w:name w:val="Heading 3 Char"/>
    <w:basedOn w:val="DefaultParagraphFont"/>
    <w:link w:val="Heading3"/>
    <w:uiPriority w:val="9"/>
    <w:rsid w:val="00830330"/>
    <w:rPr>
      <w:rFonts w:ascii="Calibri" w:hAnsi="Calibri"/>
      <w:b/>
      <w:bCs/>
      <w:sz w:val="22"/>
      <w:szCs w:val="22"/>
    </w:rPr>
  </w:style>
  <w:style w:type="character" w:customStyle="1" w:styleId="NummereretlisteTegn">
    <w:name w:val="Nummereret liste Tegn"/>
    <w:basedOn w:val="PunktopstillingTegn"/>
    <w:link w:val="Nummereretliste"/>
    <w:rsid w:val="00CF73EE"/>
    <w:rPr>
      <w:rFonts w:ascii="Calibri" w:hAnsi="Calibri"/>
      <w:sz w:val="22"/>
      <w:szCs w:val="22"/>
    </w:rPr>
  </w:style>
  <w:style w:type="character" w:customStyle="1" w:styleId="Heading4Char">
    <w:name w:val="Heading 4 Char"/>
    <w:basedOn w:val="DefaultParagraphFont"/>
    <w:link w:val="Heading4"/>
    <w:uiPriority w:val="9"/>
    <w:rsid w:val="000668BF"/>
    <w:rPr>
      <w:rFonts w:ascii="Calibri" w:hAnsi="Calibri"/>
      <w:i/>
      <w:iCs/>
      <w:sz w:val="22"/>
      <w:szCs w:val="22"/>
    </w:rPr>
  </w:style>
  <w:style w:type="character" w:customStyle="1" w:styleId="Heading5Char">
    <w:name w:val="Heading 5 Char"/>
    <w:basedOn w:val="DefaultParagraphFont"/>
    <w:link w:val="Heading5"/>
    <w:uiPriority w:val="9"/>
    <w:rsid w:val="00414C25"/>
    <w:rPr>
      <w:rFonts w:ascii="Calibri" w:eastAsiaTheme="majorEastAsia" w:hAnsi="Calibri" w:cstheme="majorBidi"/>
      <w:bCs/>
      <w:color w:val="07385E"/>
      <w:sz w:val="29"/>
      <w:szCs w:val="29"/>
    </w:rPr>
  </w:style>
  <w:style w:type="character" w:customStyle="1" w:styleId="Heading6Char">
    <w:name w:val="Heading 6 Char"/>
    <w:basedOn w:val="DefaultParagraphFont"/>
    <w:link w:val="Heading6"/>
    <w:uiPriority w:val="9"/>
    <w:rsid w:val="00414C25"/>
    <w:rPr>
      <w:rFonts w:ascii="Calibri" w:eastAsiaTheme="majorEastAsia" w:hAnsi="Calibri" w:cstheme="majorBidi"/>
      <w:bCs/>
      <w:color w:val="07385E"/>
      <w:sz w:val="26"/>
      <w:szCs w:val="26"/>
    </w:rPr>
  </w:style>
  <w:style w:type="paragraph" w:customStyle="1" w:styleId="Resum">
    <w:name w:val="Resumé"/>
    <w:basedOn w:val="Normal"/>
    <w:link w:val="ResumTegn"/>
    <w:qFormat/>
    <w:rsid w:val="00CF73EE"/>
    <w:rPr>
      <w:i/>
    </w:rPr>
  </w:style>
  <w:style w:type="paragraph" w:customStyle="1" w:styleId="BrdtekstCEPOS-notat">
    <w:name w:val="Brødtekst CEPOS-notat"/>
    <w:basedOn w:val="Normal"/>
    <w:link w:val="BrdtekstCEPOS-notatTegn"/>
    <w:rsid w:val="00414C25"/>
    <w:rPr>
      <w:rFonts w:asciiTheme="minorHAnsi" w:hAnsiTheme="minorHAnsi"/>
      <w:lang w:val="fr-FR"/>
    </w:rPr>
  </w:style>
  <w:style w:type="character" w:customStyle="1" w:styleId="ResumTegn">
    <w:name w:val="Resumé Tegn"/>
    <w:basedOn w:val="DefaultParagraphFont"/>
    <w:link w:val="Resum"/>
    <w:rsid w:val="00CF73EE"/>
    <w:rPr>
      <w:rFonts w:ascii="Calibri" w:hAnsi="Calibri"/>
      <w:i/>
      <w:sz w:val="22"/>
      <w:szCs w:val="22"/>
    </w:rPr>
  </w:style>
  <w:style w:type="character" w:customStyle="1" w:styleId="BrdtekstCEPOS-notatTegn">
    <w:name w:val="Brødtekst CEPOS-notat Tegn"/>
    <w:basedOn w:val="DefaultParagraphFont"/>
    <w:link w:val="BrdtekstCEPOS-notat"/>
    <w:rsid w:val="00414C25"/>
    <w:rPr>
      <w:rFonts w:asciiTheme="minorHAnsi" w:hAnsiTheme="minorHAnsi"/>
      <w:sz w:val="22"/>
      <w:szCs w:val="22"/>
      <w:lang w:val="fr-FR"/>
    </w:rPr>
  </w:style>
  <w:style w:type="table" w:styleId="TableGrid">
    <w:name w:val="Table Grid"/>
    <w:basedOn w:val="TableNormal"/>
    <w:uiPriority w:val="59"/>
    <w:rsid w:val="00414C25"/>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argentekstfigur">
    <w:name w:val="Margentekst figur"/>
    <w:basedOn w:val="Normal"/>
    <w:link w:val="MargentekstfigurTegn"/>
    <w:rsid w:val="00414C25"/>
    <w:pPr>
      <w:spacing w:after="0"/>
    </w:pPr>
    <w:rPr>
      <w:b/>
      <w:color w:val="003865" w:themeColor="text2"/>
    </w:rPr>
  </w:style>
  <w:style w:type="paragraph" w:customStyle="1" w:styleId="Undertekstfigur">
    <w:name w:val="Undertekst figur"/>
    <w:basedOn w:val="Normal"/>
    <w:link w:val="UndertekstfigurTegn"/>
    <w:autoRedefine/>
    <w:qFormat/>
    <w:rsid w:val="00D97497"/>
    <w:pPr>
      <w:spacing w:after="100"/>
      <w:contextualSpacing/>
    </w:pPr>
    <w:rPr>
      <w:i/>
      <w:sz w:val="19"/>
      <w:szCs w:val="19"/>
      <w:lang w:val="en-US"/>
    </w:rPr>
  </w:style>
  <w:style w:type="character" w:customStyle="1" w:styleId="MargentekstfigurTegn">
    <w:name w:val="Margentekst figur Tegn"/>
    <w:basedOn w:val="DefaultParagraphFont"/>
    <w:link w:val="Margentekstfigur"/>
    <w:rsid w:val="00414C25"/>
    <w:rPr>
      <w:rFonts w:ascii="Calibri" w:hAnsi="Calibri"/>
      <w:b/>
      <w:color w:val="003865" w:themeColor="text2"/>
      <w:sz w:val="22"/>
      <w:szCs w:val="22"/>
    </w:rPr>
  </w:style>
  <w:style w:type="paragraph" w:styleId="FootnoteText">
    <w:name w:val="footnote text"/>
    <w:basedOn w:val="Normal"/>
    <w:link w:val="FootnoteTextChar"/>
    <w:autoRedefine/>
    <w:uiPriority w:val="99"/>
    <w:unhideWhenUsed/>
    <w:qFormat/>
    <w:rsid w:val="00876F60"/>
    <w:pPr>
      <w:spacing w:after="0"/>
      <w:contextualSpacing/>
    </w:pPr>
    <w:rPr>
      <w:sz w:val="16"/>
      <w:szCs w:val="16"/>
    </w:rPr>
  </w:style>
  <w:style w:type="character" w:customStyle="1" w:styleId="UndertekstfigurTegn">
    <w:name w:val="Undertekst figur Tegn"/>
    <w:basedOn w:val="DefaultParagraphFont"/>
    <w:link w:val="Undertekstfigur"/>
    <w:rsid w:val="00D97497"/>
    <w:rPr>
      <w:rFonts w:ascii="Calibri" w:hAnsi="Calibri"/>
      <w:i/>
      <w:sz w:val="19"/>
      <w:szCs w:val="19"/>
      <w:lang w:val="en-US"/>
    </w:rPr>
  </w:style>
  <w:style w:type="character" w:customStyle="1" w:styleId="FootnoteTextChar">
    <w:name w:val="Footnote Text Char"/>
    <w:basedOn w:val="DefaultParagraphFont"/>
    <w:link w:val="FootnoteText"/>
    <w:uiPriority w:val="99"/>
    <w:rsid w:val="00876F60"/>
    <w:rPr>
      <w:rFonts w:ascii="Calibri" w:hAnsi="Calibri"/>
      <w:sz w:val="16"/>
      <w:szCs w:val="16"/>
    </w:rPr>
  </w:style>
  <w:style w:type="character" w:styleId="FootnoteReference">
    <w:name w:val="footnote reference"/>
    <w:basedOn w:val="DefaultParagraphFont"/>
    <w:uiPriority w:val="99"/>
    <w:unhideWhenUsed/>
    <w:rsid w:val="00414C25"/>
    <w:rPr>
      <w:vertAlign w:val="superscript"/>
    </w:rPr>
  </w:style>
  <w:style w:type="paragraph" w:styleId="Footer">
    <w:name w:val="footer"/>
    <w:aliases w:val="Notes for tables and figures"/>
    <w:basedOn w:val="Normal"/>
    <w:link w:val="FooterChar"/>
    <w:uiPriority w:val="99"/>
    <w:unhideWhenUsed/>
    <w:rsid w:val="00414C25"/>
    <w:pPr>
      <w:tabs>
        <w:tab w:val="center" w:pos="4819"/>
        <w:tab w:val="right" w:pos="9638"/>
      </w:tabs>
      <w:spacing w:after="0"/>
    </w:pPr>
  </w:style>
  <w:style w:type="character" w:customStyle="1" w:styleId="FooterChar">
    <w:name w:val="Footer Char"/>
    <w:aliases w:val="Notes for tables and figures Char"/>
    <w:basedOn w:val="DefaultParagraphFont"/>
    <w:link w:val="Footer"/>
    <w:uiPriority w:val="99"/>
    <w:rsid w:val="00414C25"/>
    <w:rPr>
      <w:rFonts w:ascii="Calibri" w:hAnsi="Calibri"/>
      <w:sz w:val="22"/>
      <w:szCs w:val="22"/>
    </w:rPr>
  </w:style>
  <w:style w:type="paragraph" w:styleId="Header">
    <w:name w:val="header"/>
    <w:basedOn w:val="Normal"/>
    <w:link w:val="HeaderChar"/>
    <w:uiPriority w:val="99"/>
    <w:unhideWhenUsed/>
    <w:rsid w:val="00414C25"/>
    <w:pPr>
      <w:tabs>
        <w:tab w:val="center" w:pos="4819"/>
        <w:tab w:val="right" w:pos="9638"/>
      </w:tabs>
      <w:spacing w:after="0"/>
    </w:pPr>
  </w:style>
  <w:style w:type="character" w:customStyle="1" w:styleId="HeaderChar">
    <w:name w:val="Header Char"/>
    <w:basedOn w:val="DefaultParagraphFont"/>
    <w:link w:val="Header"/>
    <w:uiPriority w:val="99"/>
    <w:rsid w:val="00414C25"/>
    <w:rPr>
      <w:rFonts w:ascii="Calibri" w:hAnsi="Calibri"/>
      <w:sz w:val="22"/>
      <w:szCs w:val="22"/>
    </w:rPr>
  </w:style>
  <w:style w:type="paragraph" w:styleId="BalloonText">
    <w:name w:val="Balloon Text"/>
    <w:basedOn w:val="Normal"/>
    <w:link w:val="BalloonTextChar"/>
    <w:uiPriority w:val="99"/>
    <w:semiHidden/>
    <w:unhideWhenUsed/>
    <w:rsid w:val="00414C25"/>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414C25"/>
    <w:rPr>
      <w:rFonts w:ascii="Tahoma" w:hAnsi="Tahoma" w:cs="Tahoma"/>
      <w:sz w:val="16"/>
      <w:szCs w:val="16"/>
    </w:rPr>
  </w:style>
  <w:style w:type="paragraph" w:customStyle="1" w:styleId="Sidefodtekst">
    <w:name w:val="Sidefodtekst"/>
    <w:basedOn w:val="Footer"/>
    <w:link w:val="SidefodtekstTegn"/>
    <w:rsid w:val="00414C25"/>
    <w:pPr>
      <w:tabs>
        <w:tab w:val="clear" w:pos="9638"/>
        <w:tab w:val="right" w:pos="8364"/>
      </w:tabs>
      <w:jc w:val="right"/>
    </w:pPr>
    <w:rPr>
      <w:rFonts w:ascii="Bebas Neue" w:hAnsi="Bebas Neue"/>
      <w:color w:val="B0998E"/>
      <w:sz w:val="28"/>
      <w:szCs w:val="28"/>
    </w:rPr>
  </w:style>
  <w:style w:type="character" w:customStyle="1" w:styleId="SidefodtekstTegn">
    <w:name w:val="Sidefodtekst Tegn"/>
    <w:basedOn w:val="FooterChar"/>
    <w:link w:val="Sidefodtekst"/>
    <w:rsid w:val="00414C25"/>
    <w:rPr>
      <w:rFonts w:ascii="Bebas Neue" w:hAnsi="Bebas Neue"/>
      <w:color w:val="B0998E"/>
      <w:sz w:val="28"/>
      <w:szCs w:val="28"/>
    </w:rPr>
  </w:style>
  <w:style w:type="paragraph" w:styleId="Title">
    <w:name w:val="Title"/>
    <w:basedOn w:val="Header"/>
    <w:next w:val="Normal"/>
    <w:link w:val="TitleChar"/>
    <w:uiPriority w:val="10"/>
    <w:rsid w:val="00414C25"/>
    <w:pPr>
      <w:suppressAutoHyphens/>
      <w:spacing w:before="120" w:after="200"/>
    </w:pPr>
    <w:rPr>
      <w:rFonts w:ascii="Bebas Neue" w:hAnsi="Bebas Neue"/>
      <w:color w:val="FFFFFF" w:themeColor="background1"/>
      <w:sz w:val="52"/>
    </w:rPr>
  </w:style>
  <w:style w:type="character" w:customStyle="1" w:styleId="TitleChar">
    <w:name w:val="Title Char"/>
    <w:basedOn w:val="DefaultParagraphFont"/>
    <w:link w:val="Title"/>
    <w:uiPriority w:val="10"/>
    <w:rsid w:val="00414C25"/>
    <w:rPr>
      <w:rFonts w:ascii="Bebas Neue" w:hAnsi="Bebas Neue"/>
      <w:color w:val="FFFFFF" w:themeColor="background1"/>
      <w:sz w:val="52"/>
      <w:szCs w:val="22"/>
    </w:rPr>
  </w:style>
  <w:style w:type="character" w:styleId="PlaceholderText">
    <w:name w:val="Placeholder Text"/>
    <w:basedOn w:val="DefaultParagraphFont"/>
    <w:uiPriority w:val="99"/>
    <w:semiHidden/>
    <w:rsid w:val="00414C25"/>
    <w:rPr>
      <w:color w:val="808080"/>
    </w:rPr>
  </w:style>
  <w:style w:type="character" w:customStyle="1" w:styleId="Heading1Char">
    <w:name w:val="Heading 1 Char"/>
    <w:basedOn w:val="DefaultParagraphFont"/>
    <w:link w:val="Heading1"/>
    <w:uiPriority w:val="9"/>
    <w:rsid w:val="007C43D3"/>
    <w:rPr>
      <w:rFonts w:ascii="Calibri" w:eastAsiaTheme="majorEastAsia" w:hAnsi="Calibri" w:cstheme="majorBidi"/>
      <w:b/>
      <w:sz w:val="36"/>
      <w:szCs w:val="36"/>
      <w:lang w:val="en-US"/>
    </w:rPr>
  </w:style>
  <w:style w:type="paragraph" w:customStyle="1" w:styleId="Sidehovedtekst">
    <w:name w:val="Sidehovedtekst"/>
    <w:basedOn w:val="Header"/>
    <w:link w:val="SidehovedtekstTegn"/>
    <w:rsid w:val="00414C25"/>
    <w:pPr>
      <w:jc w:val="right"/>
    </w:pPr>
    <w:rPr>
      <w:rFonts w:ascii="Bebas Neue" w:hAnsi="Bebas Neue"/>
      <w:color w:val="07385E"/>
      <w:sz w:val="30"/>
      <w:szCs w:val="30"/>
    </w:rPr>
  </w:style>
  <w:style w:type="character" w:customStyle="1" w:styleId="SidehovedtekstTegn">
    <w:name w:val="Sidehovedtekst Tegn"/>
    <w:basedOn w:val="HeaderChar"/>
    <w:link w:val="Sidehovedtekst"/>
    <w:rsid w:val="00414C25"/>
    <w:rPr>
      <w:rFonts w:ascii="Bebas Neue" w:hAnsi="Bebas Neue"/>
      <w:color w:val="07385E"/>
      <w:sz w:val="30"/>
      <w:szCs w:val="30"/>
    </w:rPr>
  </w:style>
  <w:style w:type="paragraph" w:customStyle="1" w:styleId="Tabeltekst">
    <w:name w:val="Tabeltekst"/>
    <w:basedOn w:val="Normal"/>
    <w:link w:val="TabeltekstTegn"/>
    <w:qFormat/>
    <w:rsid w:val="00CF73EE"/>
    <w:pPr>
      <w:keepNext/>
      <w:keepLines/>
      <w:spacing w:after="0"/>
    </w:pPr>
    <w:rPr>
      <w:bCs/>
      <w:sz w:val="18"/>
      <w:szCs w:val="18"/>
      <w:lang w:eastAsia="da-DK"/>
    </w:rPr>
  </w:style>
  <w:style w:type="character" w:customStyle="1" w:styleId="TabeltekstTegn">
    <w:name w:val="Tabeltekst Tegn"/>
    <w:basedOn w:val="DefaultParagraphFont"/>
    <w:link w:val="Tabeltekst"/>
    <w:rsid w:val="00CF73EE"/>
    <w:rPr>
      <w:rFonts w:ascii="Calibri" w:hAnsi="Calibri"/>
      <w:bCs/>
      <w:sz w:val="18"/>
      <w:szCs w:val="18"/>
      <w:lang w:eastAsia="da-DK"/>
    </w:rPr>
  </w:style>
  <w:style w:type="table" w:customStyle="1" w:styleId="CEPOS-tabeludenfrstekolonne">
    <w:name w:val="CEPOS-tabel uden første kolonne"/>
    <w:basedOn w:val="MediumShading1-Accent1"/>
    <w:uiPriority w:val="99"/>
    <w:rsid w:val="00414C25"/>
    <w:rPr>
      <w:rFonts w:ascii="Lato" w:hAnsi="Lato"/>
      <w:sz w:val="21"/>
      <w:szCs w:val="20"/>
      <w:lang w:eastAsia="da-DK"/>
    </w:rPr>
    <w:tblPr>
      <w:tblBorders>
        <w:top w:val="single" w:sz="4" w:space="0" w:color="07385E"/>
        <w:left w:val="single" w:sz="4" w:space="0" w:color="07385E"/>
        <w:bottom w:val="single" w:sz="4" w:space="0" w:color="07385E"/>
        <w:right w:val="single" w:sz="4" w:space="0" w:color="07385E"/>
        <w:insideH w:val="single" w:sz="4" w:space="0" w:color="07385E"/>
      </w:tblBorders>
    </w:tblPr>
    <w:tcPr>
      <w:vAlign w:val="center"/>
    </w:tcPr>
    <w:tblStylePr w:type="firstRow">
      <w:pPr>
        <w:spacing w:before="0" w:after="0" w:line="240" w:lineRule="auto"/>
      </w:pPr>
      <w:rPr>
        <w:b/>
        <w:bCs/>
        <w:color w:val="FFFFFF" w:themeColor="background1"/>
      </w:rPr>
      <w:tblPr/>
      <w:tcPr>
        <w:tcBorders>
          <w:top w:val="nil"/>
          <w:left w:val="nil"/>
          <w:bottom w:val="nil"/>
          <w:right w:val="nil"/>
          <w:insideH w:val="nil"/>
          <w:insideV w:val="nil"/>
          <w:tl2br w:val="nil"/>
          <w:tr2bl w:val="nil"/>
        </w:tcBorders>
        <w:shd w:val="clear" w:color="auto" w:fill="07385E"/>
      </w:tcPr>
    </w:tblStylePr>
    <w:tblStylePr w:type="lastRow">
      <w:pPr>
        <w:spacing w:before="0" w:after="0" w:line="240" w:lineRule="auto"/>
      </w:pPr>
      <w:rPr>
        <w:b w:val="0"/>
        <w:bCs/>
      </w:rPr>
      <w:tblPr/>
      <w:tcPr>
        <w:tcBorders>
          <w:top w:val="nil"/>
          <w:left w:val="nil"/>
          <w:bottom w:val="nil"/>
          <w:right w:val="nil"/>
          <w:insideH w:val="nil"/>
          <w:insideV w:val="nil"/>
          <w:tl2br w:val="nil"/>
          <w:tr2bl w:val="nil"/>
        </w:tcBorders>
      </w:tcPr>
    </w:tblStylePr>
    <w:tblStylePr w:type="firstCol">
      <w:rPr>
        <w:b w:val="0"/>
        <w:bCs/>
      </w:rPr>
    </w:tblStylePr>
    <w:tblStylePr w:type="lastCol">
      <w:rPr>
        <w:b w:val="0"/>
        <w:bCs/>
      </w:rPr>
    </w:tblStylePr>
    <w:tblStylePr w:type="band1Vert">
      <w:tblPr/>
      <w:tcPr>
        <w:shd w:val="clear" w:color="auto" w:fill="FFFFFF" w:themeFill="background1"/>
      </w:tcPr>
    </w:tblStylePr>
    <w:tblStylePr w:type="band1Horz">
      <w:tblPr/>
      <w:tcPr>
        <w:tcBorders>
          <w:insideH w:val="nil"/>
          <w:insideV w:val="nil"/>
        </w:tcBorders>
        <w:shd w:val="clear" w:color="auto" w:fill="FFFFFF" w:themeFill="background1"/>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14C25"/>
    <w:rPr>
      <w:szCs w:val="22"/>
    </w:rPr>
    <w:tblPr>
      <w:tblStyleRowBandSize w:val="1"/>
      <w:tblStyleColBandSize w:val="1"/>
      <w:tblBorders>
        <w:top w:val="single" w:sz="8" w:space="0" w:color="0070CB" w:themeColor="accent1" w:themeTint="BF"/>
        <w:left w:val="single" w:sz="8" w:space="0" w:color="0070CB" w:themeColor="accent1" w:themeTint="BF"/>
        <w:bottom w:val="single" w:sz="8" w:space="0" w:color="0070CB" w:themeColor="accent1" w:themeTint="BF"/>
        <w:right w:val="single" w:sz="8" w:space="0" w:color="0070CB" w:themeColor="accent1" w:themeTint="BF"/>
        <w:insideH w:val="single" w:sz="8" w:space="0" w:color="0070CB" w:themeColor="accent1" w:themeTint="BF"/>
      </w:tblBorders>
    </w:tblPr>
    <w:tblStylePr w:type="firstRow">
      <w:pPr>
        <w:spacing w:before="0" w:after="0" w:line="240" w:lineRule="auto"/>
      </w:pPr>
      <w:rPr>
        <w:b/>
        <w:bCs/>
        <w:color w:val="FFFFFF" w:themeColor="background1"/>
      </w:rPr>
      <w:tblPr/>
      <w:tcPr>
        <w:tcBorders>
          <w:top w:val="single" w:sz="8" w:space="0" w:color="0070CB" w:themeColor="accent1" w:themeTint="BF"/>
          <w:left w:val="single" w:sz="8" w:space="0" w:color="0070CB" w:themeColor="accent1" w:themeTint="BF"/>
          <w:bottom w:val="single" w:sz="8" w:space="0" w:color="0070CB" w:themeColor="accent1" w:themeTint="BF"/>
          <w:right w:val="single" w:sz="8" w:space="0" w:color="0070CB" w:themeColor="accent1" w:themeTint="BF"/>
          <w:insideH w:val="nil"/>
          <w:insideV w:val="nil"/>
        </w:tcBorders>
        <w:shd w:val="clear" w:color="auto" w:fill="003865" w:themeFill="accent1"/>
      </w:tcPr>
    </w:tblStylePr>
    <w:tblStylePr w:type="lastRow">
      <w:pPr>
        <w:spacing w:before="0" w:after="0" w:line="240" w:lineRule="auto"/>
      </w:pPr>
      <w:rPr>
        <w:b/>
        <w:bCs/>
      </w:rPr>
      <w:tblPr/>
      <w:tcPr>
        <w:tcBorders>
          <w:top w:val="double" w:sz="6" w:space="0" w:color="0070CB" w:themeColor="accent1" w:themeTint="BF"/>
          <w:left w:val="single" w:sz="8" w:space="0" w:color="0070CB" w:themeColor="accent1" w:themeTint="BF"/>
          <w:bottom w:val="single" w:sz="8" w:space="0" w:color="0070CB" w:themeColor="accent1" w:themeTint="BF"/>
          <w:right w:val="single" w:sz="8" w:space="0" w:color="0070CB" w:themeColor="accent1" w:themeTint="BF"/>
          <w:insideH w:val="nil"/>
          <w:insideV w:val="nil"/>
        </w:tcBorders>
      </w:tcPr>
    </w:tblStylePr>
    <w:tblStylePr w:type="firstCol">
      <w:rPr>
        <w:b/>
        <w:bCs/>
      </w:rPr>
    </w:tblStylePr>
    <w:tblStylePr w:type="lastCol">
      <w:rPr>
        <w:b/>
        <w:bCs/>
      </w:rPr>
    </w:tblStylePr>
    <w:tblStylePr w:type="band1Vert">
      <w:tblPr/>
      <w:tcPr>
        <w:shd w:val="clear" w:color="auto" w:fill="99D1FF" w:themeFill="accent1" w:themeFillTint="3F"/>
      </w:tcPr>
    </w:tblStylePr>
    <w:tblStylePr w:type="band1Horz">
      <w:tblPr/>
      <w:tcPr>
        <w:tcBorders>
          <w:insideH w:val="nil"/>
          <w:insideV w:val="nil"/>
        </w:tcBorders>
        <w:shd w:val="clear" w:color="auto" w:fill="99D1FF" w:themeFill="accent1" w:themeFillTint="3F"/>
      </w:tcPr>
    </w:tblStylePr>
    <w:tblStylePr w:type="band2Horz">
      <w:tblPr/>
      <w:tcPr>
        <w:tcBorders>
          <w:insideH w:val="nil"/>
          <w:insideV w:val="nil"/>
        </w:tcBorders>
      </w:tcPr>
    </w:tblStylePr>
  </w:style>
  <w:style w:type="paragraph" w:styleId="NoSpacing">
    <w:name w:val="No Spacing"/>
    <w:uiPriority w:val="1"/>
    <w:qFormat/>
    <w:rsid w:val="00CF73EE"/>
    <w:pPr>
      <w:spacing w:line="276" w:lineRule="auto"/>
    </w:pPr>
    <w:rPr>
      <w:rFonts w:ascii="Calibri" w:hAnsi="Calibri" w:cstheme="minorBidi"/>
      <w:sz w:val="22"/>
      <w:szCs w:val="22"/>
    </w:rPr>
  </w:style>
  <w:style w:type="paragraph" w:customStyle="1" w:styleId="Default">
    <w:name w:val="Default"/>
    <w:rsid w:val="00414C25"/>
    <w:pPr>
      <w:autoSpaceDE w:val="0"/>
      <w:autoSpaceDN w:val="0"/>
      <w:adjustRightInd w:val="0"/>
    </w:pPr>
    <w:rPr>
      <w:rFonts w:ascii="Arial" w:hAnsi="Arial" w:cs="Arial"/>
      <w:color w:val="000000"/>
    </w:rPr>
  </w:style>
  <w:style w:type="paragraph" w:customStyle="1" w:styleId="Logo">
    <w:name w:val="Logo"/>
    <w:basedOn w:val="Normal"/>
    <w:link w:val="LogoTegn"/>
    <w:rsid w:val="00414C25"/>
    <w:rPr>
      <w:rFonts w:ascii="Bingo Serif" w:hAnsi="Bingo Serif"/>
      <w:color w:val="003865" w:themeColor="text2"/>
      <w:sz w:val="56"/>
      <w:lang w:eastAsia="da-DK"/>
    </w:rPr>
  </w:style>
  <w:style w:type="paragraph" w:customStyle="1" w:styleId="StorLogo">
    <w:name w:val="StorLogo"/>
    <w:basedOn w:val="Normal"/>
    <w:link w:val="StorLogoTegn"/>
    <w:rsid w:val="00414C25"/>
    <w:rPr>
      <w:rFonts w:ascii="Bingo Serif" w:hAnsi="Bingo Serif"/>
      <w:color w:val="D9D9D6"/>
      <w:sz w:val="760"/>
      <w:szCs w:val="760"/>
    </w:rPr>
  </w:style>
  <w:style w:type="character" w:customStyle="1" w:styleId="LogoTegn">
    <w:name w:val="Logo Tegn"/>
    <w:basedOn w:val="DefaultParagraphFont"/>
    <w:link w:val="Logo"/>
    <w:rsid w:val="00414C25"/>
    <w:rPr>
      <w:rFonts w:ascii="Bingo Serif" w:hAnsi="Bingo Serif"/>
      <w:color w:val="003865" w:themeColor="text2"/>
      <w:sz w:val="56"/>
      <w:szCs w:val="22"/>
      <w:lang w:eastAsia="da-DK"/>
    </w:rPr>
  </w:style>
  <w:style w:type="paragraph" w:styleId="EndnoteText">
    <w:name w:val="endnote text"/>
    <w:basedOn w:val="Normal"/>
    <w:link w:val="EndnoteTextChar"/>
    <w:uiPriority w:val="99"/>
    <w:semiHidden/>
    <w:unhideWhenUsed/>
    <w:rsid w:val="00414C25"/>
    <w:pPr>
      <w:spacing w:after="0"/>
    </w:pPr>
    <w:rPr>
      <w:szCs w:val="20"/>
    </w:rPr>
  </w:style>
  <w:style w:type="character" w:customStyle="1" w:styleId="StorLogoTegn">
    <w:name w:val="StorLogo Tegn"/>
    <w:basedOn w:val="DefaultParagraphFont"/>
    <w:link w:val="StorLogo"/>
    <w:rsid w:val="00414C25"/>
    <w:rPr>
      <w:rFonts w:ascii="Bingo Serif" w:hAnsi="Bingo Serif"/>
      <w:color w:val="D9D9D6"/>
      <w:sz w:val="760"/>
      <w:szCs w:val="760"/>
    </w:rPr>
  </w:style>
  <w:style w:type="character" w:customStyle="1" w:styleId="EndnoteTextChar">
    <w:name w:val="Endnote Text Char"/>
    <w:basedOn w:val="DefaultParagraphFont"/>
    <w:link w:val="EndnoteText"/>
    <w:uiPriority w:val="99"/>
    <w:semiHidden/>
    <w:rsid w:val="00414C25"/>
    <w:rPr>
      <w:rFonts w:ascii="Calibri" w:hAnsi="Calibri"/>
      <w:sz w:val="22"/>
      <w:szCs w:val="20"/>
    </w:rPr>
  </w:style>
  <w:style w:type="character" w:styleId="EndnoteReference">
    <w:name w:val="endnote reference"/>
    <w:basedOn w:val="DefaultParagraphFont"/>
    <w:uiPriority w:val="99"/>
    <w:semiHidden/>
    <w:unhideWhenUsed/>
    <w:rsid w:val="00414C25"/>
    <w:rPr>
      <w:vertAlign w:val="superscript"/>
    </w:rPr>
  </w:style>
  <w:style w:type="paragraph" w:customStyle="1" w:styleId="StortLogo">
    <w:name w:val="StortLogo"/>
    <w:basedOn w:val="Normal"/>
    <w:link w:val="StortLogoTegn"/>
    <w:rsid w:val="00414C25"/>
  </w:style>
  <w:style w:type="character" w:customStyle="1" w:styleId="StortLogoTegn">
    <w:name w:val="StortLogo Tegn"/>
    <w:basedOn w:val="DefaultParagraphFont"/>
    <w:link w:val="StortLogo"/>
    <w:rsid w:val="00414C25"/>
    <w:rPr>
      <w:rFonts w:ascii="Calibri" w:hAnsi="Calibri"/>
      <w:sz w:val="22"/>
      <w:szCs w:val="22"/>
    </w:rPr>
  </w:style>
  <w:style w:type="character" w:styleId="CommentReference">
    <w:name w:val="annotation reference"/>
    <w:basedOn w:val="DefaultParagraphFont"/>
    <w:uiPriority w:val="99"/>
    <w:semiHidden/>
    <w:unhideWhenUsed/>
    <w:rsid w:val="00414C25"/>
    <w:rPr>
      <w:sz w:val="16"/>
      <w:szCs w:val="16"/>
    </w:rPr>
  </w:style>
  <w:style w:type="paragraph" w:styleId="CommentText">
    <w:name w:val="annotation text"/>
    <w:basedOn w:val="Normal"/>
    <w:link w:val="CommentTextChar"/>
    <w:uiPriority w:val="99"/>
    <w:unhideWhenUsed/>
    <w:rsid w:val="00414C25"/>
    <w:rPr>
      <w:sz w:val="20"/>
      <w:szCs w:val="20"/>
    </w:rPr>
  </w:style>
  <w:style w:type="character" w:customStyle="1" w:styleId="CommentTextChar">
    <w:name w:val="Comment Text Char"/>
    <w:basedOn w:val="DefaultParagraphFont"/>
    <w:link w:val="CommentText"/>
    <w:uiPriority w:val="99"/>
    <w:rsid w:val="00414C25"/>
    <w:rPr>
      <w:rFonts w:ascii="Calibri" w:hAnsi="Calibri"/>
      <w:sz w:val="20"/>
      <w:szCs w:val="20"/>
    </w:rPr>
  </w:style>
  <w:style w:type="paragraph" w:styleId="CommentSubject">
    <w:name w:val="annotation subject"/>
    <w:basedOn w:val="CommentText"/>
    <w:next w:val="CommentText"/>
    <w:link w:val="CommentSubjectChar"/>
    <w:uiPriority w:val="99"/>
    <w:semiHidden/>
    <w:unhideWhenUsed/>
    <w:rsid w:val="00414C25"/>
    <w:rPr>
      <w:b/>
      <w:bCs/>
    </w:rPr>
  </w:style>
  <w:style w:type="character" w:customStyle="1" w:styleId="CommentSubjectChar">
    <w:name w:val="Comment Subject Char"/>
    <w:basedOn w:val="CommentTextChar"/>
    <w:link w:val="CommentSubject"/>
    <w:uiPriority w:val="99"/>
    <w:semiHidden/>
    <w:rsid w:val="00414C25"/>
    <w:rPr>
      <w:rFonts w:ascii="Calibri" w:hAnsi="Calibri"/>
      <w:b/>
      <w:bCs/>
      <w:sz w:val="20"/>
      <w:szCs w:val="20"/>
    </w:rPr>
  </w:style>
  <w:style w:type="paragraph" w:styleId="NormalWeb">
    <w:name w:val="Normal (Web)"/>
    <w:basedOn w:val="Normal"/>
    <w:uiPriority w:val="99"/>
    <w:semiHidden/>
    <w:unhideWhenUsed/>
    <w:rsid w:val="00414C25"/>
    <w:pPr>
      <w:spacing w:after="100" w:afterAutospacing="1"/>
    </w:pPr>
    <w:rPr>
      <w:rFonts w:ascii="Times New Roman" w:eastAsiaTheme="minorEastAsia" w:hAnsi="Times New Roman"/>
      <w:sz w:val="24"/>
      <w:szCs w:val="24"/>
      <w:lang w:eastAsia="da-DK"/>
    </w:rPr>
  </w:style>
  <w:style w:type="paragraph" w:styleId="TOC1">
    <w:name w:val="toc 1"/>
    <w:basedOn w:val="Normal"/>
    <w:next w:val="Normal"/>
    <w:autoRedefine/>
    <w:uiPriority w:val="39"/>
    <w:unhideWhenUsed/>
    <w:rsid w:val="00414C25"/>
    <w:pPr>
      <w:tabs>
        <w:tab w:val="right" w:leader="dot" w:pos="9202"/>
      </w:tabs>
      <w:spacing w:after="100"/>
      <w:ind w:left="567" w:hanging="567"/>
    </w:pPr>
  </w:style>
  <w:style w:type="character" w:styleId="Hyperlink">
    <w:name w:val="Hyperlink"/>
    <w:uiPriority w:val="99"/>
    <w:unhideWhenUsed/>
    <w:rsid w:val="00414C25"/>
    <w:rPr>
      <w:rFonts w:ascii="Lato" w:hAnsi="Lato"/>
      <w:color w:val="003865" w:themeColor="text2"/>
      <w:u w:val="single"/>
    </w:rPr>
  </w:style>
  <w:style w:type="paragraph" w:customStyle="1" w:styleId="NumberedHeading1">
    <w:name w:val="Numbered Heading 1"/>
    <w:basedOn w:val="Heading2"/>
    <w:next w:val="Normal"/>
    <w:link w:val="NumberedHeading1Char"/>
    <w:rsid w:val="00414C25"/>
    <w:pPr>
      <w:numPr>
        <w:numId w:val="9"/>
      </w:numPr>
    </w:pPr>
    <w:rPr>
      <w:noProof/>
      <w:sz w:val="36"/>
      <w:lang w:eastAsia="da-DK"/>
    </w:rPr>
  </w:style>
  <w:style w:type="character" w:customStyle="1" w:styleId="NumberedHeading1Char">
    <w:name w:val="Numbered Heading 1 Char"/>
    <w:basedOn w:val="Heading2Char"/>
    <w:link w:val="NumberedHeading1"/>
    <w:rsid w:val="00414C25"/>
    <w:rPr>
      <w:rFonts w:ascii="Calibri" w:eastAsiaTheme="majorEastAsia" w:hAnsi="Calibri" w:cstheme="majorBidi"/>
      <w:b/>
      <w:bCs w:val="0"/>
      <w:noProof/>
      <w:color w:val="07385E"/>
      <w:sz w:val="36"/>
      <w:u w:val="single"/>
      <w:lang w:val="en-US" w:eastAsia="da-DK"/>
    </w:rPr>
  </w:style>
  <w:style w:type="paragraph" w:styleId="TOC2">
    <w:name w:val="toc 2"/>
    <w:basedOn w:val="Normal"/>
    <w:next w:val="Normal"/>
    <w:autoRedefine/>
    <w:uiPriority w:val="39"/>
    <w:unhideWhenUsed/>
    <w:rsid w:val="00414C25"/>
    <w:pPr>
      <w:tabs>
        <w:tab w:val="right" w:leader="dot" w:pos="9202"/>
      </w:tabs>
      <w:spacing w:after="100"/>
      <w:ind w:left="567" w:hanging="425"/>
    </w:pPr>
  </w:style>
  <w:style w:type="character" w:customStyle="1" w:styleId="UnresolvedMention1">
    <w:name w:val="Unresolved Mention1"/>
    <w:basedOn w:val="DefaultParagraphFont"/>
    <w:uiPriority w:val="99"/>
    <w:semiHidden/>
    <w:unhideWhenUsed/>
    <w:rsid w:val="00414C25"/>
    <w:rPr>
      <w:color w:val="808080"/>
      <w:shd w:val="clear" w:color="auto" w:fill="E6E6E6"/>
    </w:rPr>
  </w:style>
  <w:style w:type="character" w:styleId="FollowedHyperlink">
    <w:name w:val="FollowedHyperlink"/>
    <w:basedOn w:val="DefaultParagraphFont"/>
    <w:uiPriority w:val="99"/>
    <w:semiHidden/>
    <w:unhideWhenUsed/>
    <w:rsid w:val="00414C25"/>
    <w:rPr>
      <w:color w:val="003865" w:themeColor="followedHyperlink"/>
      <w:u w:val="single"/>
    </w:rPr>
  </w:style>
  <w:style w:type="paragraph" w:styleId="BodyText">
    <w:name w:val="Body Text"/>
    <w:basedOn w:val="Normal"/>
    <w:link w:val="BodyTextChar"/>
    <w:uiPriority w:val="99"/>
    <w:unhideWhenUsed/>
    <w:rsid w:val="00414C25"/>
  </w:style>
  <w:style w:type="character" w:customStyle="1" w:styleId="BodyTextChar">
    <w:name w:val="Body Text Char"/>
    <w:basedOn w:val="DefaultParagraphFont"/>
    <w:link w:val="BodyText"/>
    <w:uiPriority w:val="99"/>
    <w:rsid w:val="00414C25"/>
    <w:rPr>
      <w:rFonts w:ascii="Calibri" w:hAnsi="Calibri"/>
      <w:sz w:val="22"/>
      <w:szCs w:val="22"/>
    </w:rPr>
  </w:style>
  <w:style w:type="character" w:customStyle="1" w:styleId="Heading7Char">
    <w:name w:val="Heading 7 Char"/>
    <w:basedOn w:val="DefaultParagraphFont"/>
    <w:link w:val="Heading7"/>
    <w:uiPriority w:val="9"/>
    <w:semiHidden/>
    <w:rsid w:val="00414C25"/>
    <w:rPr>
      <w:rFonts w:asciiTheme="majorHAnsi" w:eastAsiaTheme="majorEastAsia" w:hAnsiTheme="majorHAnsi" w:cstheme="majorBidi"/>
      <w:i/>
      <w:iCs/>
      <w:color w:val="001B32" w:themeColor="accent1" w:themeShade="7F"/>
      <w:sz w:val="22"/>
      <w:szCs w:val="22"/>
    </w:rPr>
  </w:style>
  <w:style w:type="character" w:customStyle="1" w:styleId="Heading8Char">
    <w:name w:val="Heading 8 Char"/>
    <w:basedOn w:val="DefaultParagraphFont"/>
    <w:link w:val="Heading8"/>
    <w:uiPriority w:val="9"/>
    <w:semiHidden/>
    <w:rsid w:val="00414C25"/>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414C25"/>
    <w:rPr>
      <w:rFonts w:asciiTheme="majorHAnsi" w:eastAsiaTheme="majorEastAsia" w:hAnsiTheme="majorHAnsi" w:cstheme="majorBidi"/>
      <w:i/>
      <w:iCs/>
      <w:color w:val="272727" w:themeColor="text1" w:themeTint="D8"/>
      <w:sz w:val="21"/>
      <w:szCs w:val="21"/>
    </w:rPr>
  </w:style>
  <w:style w:type="table" w:customStyle="1" w:styleId="TableGridLight1">
    <w:name w:val="Table Grid Light1"/>
    <w:basedOn w:val="TableNormal"/>
    <w:uiPriority w:val="40"/>
    <w:rsid w:val="00414C25"/>
    <w:rPr>
      <w:szCs w:val="22"/>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Caption">
    <w:name w:val="caption"/>
    <w:basedOn w:val="Figur-titel"/>
    <w:next w:val="Normal"/>
    <w:uiPriority w:val="35"/>
    <w:unhideWhenUsed/>
    <w:qFormat/>
    <w:rsid w:val="00A7400A"/>
    <w:rPr>
      <w:color w:val="auto"/>
      <w:sz w:val="24"/>
      <w:szCs w:val="24"/>
      <w:lang w:val="en-US"/>
    </w:rPr>
  </w:style>
  <w:style w:type="paragraph" w:customStyle="1" w:styleId="Footnotes">
    <w:name w:val="Footnotes"/>
    <w:basedOn w:val="FootnoteText"/>
    <w:link w:val="FootnotesChar"/>
    <w:rsid w:val="00414C25"/>
    <w:pPr>
      <w:spacing w:after="240"/>
      <w:ind w:left="98" w:hanging="98"/>
    </w:pPr>
  </w:style>
  <w:style w:type="character" w:customStyle="1" w:styleId="FootnotesChar">
    <w:name w:val="Footnotes Char"/>
    <w:basedOn w:val="FootnoteTextChar"/>
    <w:link w:val="Footnotes"/>
    <w:rsid w:val="00414C25"/>
    <w:rPr>
      <w:rFonts w:ascii="Calibri" w:hAnsi="Calibri"/>
      <w:sz w:val="16"/>
      <w:szCs w:val="16"/>
    </w:rPr>
  </w:style>
  <w:style w:type="paragraph" w:styleId="Revision">
    <w:name w:val="Revision"/>
    <w:hidden/>
    <w:uiPriority w:val="99"/>
    <w:semiHidden/>
    <w:rsid w:val="00414C25"/>
    <w:rPr>
      <w:rFonts w:ascii="Lato" w:hAnsi="Lato"/>
      <w:sz w:val="22"/>
    </w:rPr>
  </w:style>
  <w:style w:type="paragraph" w:styleId="Bibliography">
    <w:name w:val="Bibliography"/>
    <w:basedOn w:val="Normal"/>
    <w:next w:val="Normal"/>
    <w:uiPriority w:val="37"/>
    <w:unhideWhenUsed/>
    <w:rsid w:val="00414C25"/>
    <w:pPr>
      <w:spacing w:after="0" w:line="480" w:lineRule="auto"/>
      <w:ind w:left="720" w:hanging="720"/>
    </w:pPr>
  </w:style>
  <w:style w:type="character" w:customStyle="1" w:styleId="fontstyle01">
    <w:name w:val="fontstyle01"/>
    <w:basedOn w:val="DefaultParagraphFont"/>
    <w:rsid w:val="00414C25"/>
    <w:rPr>
      <w:rFonts w:ascii="Lato-Regular" w:hAnsi="Lato-Regular" w:hint="default"/>
      <w:b w:val="0"/>
      <w:bCs w:val="0"/>
      <w:i w:val="0"/>
      <w:iCs w:val="0"/>
      <w:color w:val="000000"/>
      <w:sz w:val="22"/>
      <w:szCs w:val="22"/>
    </w:rPr>
  </w:style>
  <w:style w:type="paragraph" w:customStyle="1" w:styleId="Figur-titel">
    <w:name w:val="Figur-titel"/>
    <w:basedOn w:val="Margentekstfigur"/>
    <w:link w:val="Figur-titelChar"/>
    <w:rsid w:val="00414C25"/>
    <w:pPr>
      <w:keepNext/>
      <w:keepLines/>
      <w:ind w:left="890" w:hanging="890"/>
    </w:pPr>
    <w:rPr>
      <w:bCs/>
      <w:color w:val="FFFFFF" w:themeColor="background1"/>
      <w:szCs w:val="20"/>
      <w:lang w:eastAsia="da-DK"/>
    </w:rPr>
  </w:style>
  <w:style w:type="character" w:customStyle="1" w:styleId="Figur-titelChar">
    <w:name w:val="Figur-titel Char"/>
    <w:basedOn w:val="MargentekstfigurTegn"/>
    <w:link w:val="Figur-titel"/>
    <w:rsid w:val="00414C25"/>
    <w:rPr>
      <w:rFonts w:ascii="Calibri" w:hAnsi="Calibri"/>
      <w:b/>
      <w:bCs/>
      <w:color w:val="FFFFFF" w:themeColor="background1"/>
      <w:sz w:val="22"/>
      <w:szCs w:val="20"/>
      <w:lang w:eastAsia="da-DK"/>
    </w:rPr>
  </w:style>
  <w:style w:type="paragraph" w:styleId="TOCHeading">
    <w:name w:val="TOC Heading"/>
    <w:basedOn w:val="Heading1"/>
    <w:next w:val="Normal"/>
    <w:uiPriority w:val="39"/>
    <w:unhideWhenUsed/>
    <w:qFormat/>
    <w:rsid w:val="00414C25"/>
    <w:pPr>
      <w:spacing w:before="240" w:line="259" w:lineRule="auto"/>
      <w:outlineLvl w:val="9"/>
    </w:pPr>
    <w:rPr>
      <w:rFonts w:asciiTheme="majorHAnsi" w:hAnsiTheme="majorHAnsi"/>
      <w:bCs w:val="0"/>
      <w:color w:val="00294B" w:themeColor="accent1" w:themeShade="BF"/>
      <w:sz w:val="32"/>
      <w:szCs w:val="32"/>
      <w:lang w:eastAsia="da-DK"/>
    </w:rPr>
  </w:style>
  <w:style w:type="character" w:styleId="UnresolvedMention">
    <w:name w:val="Unresolved Mention"/>
    <w:basedOn w:val="DefaultParagraphFont"/>
    <w:uiPriority w:val="99"/>
    <w:semiHidden/>
    <w:unhideWhenUsed/>
    <w:rsid w:val="00414C25"/>
    <w:rPr>
      <w:color w:val="605E5C"/>
      <w:shd w:val="clear" w:color="auto" w:fill="E1DFDD"/>
    </w:rPr>
  </w:style>
  <w:style w:type="paragraph" w:styleId="EnvelopeReturn">
    <w:name w:val="envelope return"/>
    <w:basedOn w:val="Normal"/>
    <w:uiPriority w:val="99"/>
    <w:semiHidden/>
    <w:unhideWhenUsed/>
    <w:rsid w:val="00414C25"/>
    <w:pPr>
      <w:spacing w:after="0"/>
    </w:pPr>
    <w:rPr>
      <w:rFonts w:asciiTheme="majorHAnsi" w:eastAsiaTheme="majorEastAsia" w:hAnsiTheme="majorHAnsi" w:cstheme="majorBidi"/>
      <w:sz w:val="20"/>
      <w:szCs w:val="20"/>
    </w:rPr>
  </w:style>
  <w:style w:type="paragraph" w:styleId="PlainText">
    <w:name w:val="Plain Text"/>
    <w:basedOn w:val="Normal"/>
    <w:link w:val="PlainTextChar"/>
    <w:uiPriority w:val="99"/>
    <w:semiHidden/>
    <w:unhideWhenUsed/>
    <w:rsid w:val="00414C25"/>
    <w:pPr>
      <w:spacing w:after="0"/>
    </w:pPr>
    <w:rPr>
      <w:rFonts w:ascii="Consolas" w:hAnsi="Consolas"/>
      <w:sz w:val="21"/>
      <w:szCs w:val="21"/>
    </w:rPr>
  </w:style>
  <w:style w:type="character" w:customStyle="1" w:styleId="PlainTextChar">
    <w:name w:val="Plain Text Char"/>
    <w:basedOn w:val="DefaultParagraphFont"/>
    <w:link w:val="PlainText"/>
    <w:uiPriority w:val="99"/>
    <w:semiHidden/>
    <w:rsid w:val="00414C25"/>
    <w:rPr>
      <w:rFonts w:ascii="Consolas" w:hAnsi="Consolas"/>
      <w:sz w:val="21"/>
      <w:szCs w:val="21"/>
    </w:rPr>
  </w:style>
  <w:style w:type="paragraph" w:styleId="BlockText">
    <w:name w:val="Block Text"/>
    <w:basedOn w:val="Normal"/>
    <w:uiPriority w:val="99"/>
    <w:semiHidden/>
    <w:unhideWhenUsed/>
    <w:rsid w:val="00414C25"/>
    <w:pPr>
      <w:pBdr>
        <w:top w:val="single" w:sz="2" w:space="10" w:color="003865" w:themeColor="accent1"/>
        <w:left w:val="single" w:sz="2" w:space="10" w:color="003865" w:themeColor="accent1"/>
        <w:bottom w:val="single" w:sz="2" w:space="10" w:color="003865" w:themeColor="accent1"/>
        <w:right w:val="single" w:sz="2" w:space="10" w:color="003865" w:themeColor="accent1"/>
      </w:pBdr>
      <w:ind w:left="1152" w:right="1152"/>
    </w:pPr>
    <w:rPr>
      <w:rFonts w:asciiTheme="minorHAnsi" w:eastAsiaTheme="minorEastAsia" w:hAnsiTheme="minorHAnsi" w:cstheme="minorBidi"/>
      <w:i/>
      <w:iCs/>
      <w:color w:val="003865" w:themeColor="accent1"/>
    </w:rPr>
  </w:style>
  <w:style w:type="character" w:styleId="BookTitle">
    <w:name w:val="Book Title"/>
    <w:basedOn w:val="DefaultParagraphFont"/>
    <w:uiPriority w:val="33"/>
    <w:rsid w:val="00414C25"/>
    <w:rPr>
      <w:b/>
      <w:bCs/>
      <w:i/>
      <w:iCs/>
      <w:spacing w:val="5"/>
    </w:rPr>
  </w:style>
  <w:style w:type="paragraph" w:styleId="MessageHeader">
    <w:name w:val="Message Header"/>
    <w:basedOn w:val="Normal"/>
    <w:link w:val="MessageHeaderChar"/>
    <w:uiPriority w:val="99"/>
    <w:semiHidden/>
    <w:unhideWhenUsed/>
    <w:rsid w:val="00414C25"/>
    <w:pPr>
      <w:pBdr>
        <w:top w:val="single" w:sz="6" w:space="1" w:color="auto"/>
        <w:left w:val="single" w:sz="6" w:space="1" w:color="auto"/>
        <w:bottom w:val="single" w:sz="6" w:space="1" w:color="auto"/>
        <w:right w:val="single" w:sz="6" w:space="1" w:color="auto"/>
      </w:pBdr>
      <w:shd w:val="pct20" w:color="auto" w:fill="auto"/>
      <w:spacing w:after="0"/>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414C25"/>
    <w:rPr>
      <w:rFonts w:asciiTheme="majorHAnsi" w:eastAsiaTheme="majorEastAsia" w:hAnsiTheme="majorHAnsi" w:cstheme="majorBidi"/>
      <w:shd w:val="pct20" w:color="auto" w:fill="auto"/>
    </w:rPr>
  </w:style>
  <w:style w:type="paragraph" w:styleId="BodyTextFirstIndent">
    <w:name w:val="Body Text First Indent"/>
    <w:basedOn w:val="BodyText"/>
    <w:link w:val="BodyTextFirstIndentChar"/>
    <w:uiPriority w:val="99"/>
    <w:semiHidden/>
    <w:unhideWhenUsed/>
    <w:rsid w:val="00414C25"/>
    <w:pPr>
      <w:spacing w:after="240"/>
      <w:ind w:firstLine="360"/>
    </w:pPr>
  </w:style>
  <w:style w:type="character" w:customStyle="1" w:styleId="BodyTextFirstIndentChar">
    <w:name w:val="Body Text First Indent Char"/>
    <w:basedOn w:val="BodyTextChar"/>
    <w:link w:val="BodyTextFirstIndent"/>
    <w:uiPriority w:val="99"/>
    <w:semiHidden/>
    <w:rsid w:val="00414C25"/>
    <w:rPr>
      <w:rFonts w:ascii="Calibri" w:hAnsi="Calibri"/>
      <w:sz w:val="22"/>
      <w:szCs w:val="22"/>
    </w:rPr>
  </w:style>
  <w:style w:type="paragraph" w:styleId="BodyTextIndent">
    <w:name w:val="Body Text Indent"/>
    <w:basedOn w:val="Normal"/>
    <w:link w:val="BodyTextIndentChar"/>
    <w:uiPriority w:val="99"/>
    <w:semiHidden/>
    <w:unhideWhenUsed/>
    <w:rsid w:val="00414C25"/>
    <w:pPr>
      <w:ind w:left="283"/>
    </w:pPr>
  </w:style>
  <w:style w:type="character" w:customStyle="1" w:styleId="BodyTextIndentChar">
    <w:name w:val="Body Text Indent Char"/>
    <w:basedOn w:val="DefaultParagraphFont"/>
    <w:link w:val="BodyTextIndent"/>
    <w:uiPriority w:val="99"/>
    <w:semiHidden/>
    <w:rsid w:val="00414C25"/>
    <w:rPr>
      <w:rFonts w:ascii="Calibri" w:hAnsi="Calibri"/>
      <w:sz w:val="22"/>
      <w:szCs w:val="22"/>
    </w:rPr>
  </w:style>
  <w:style w:type="paragraph" w:styleId="BodyTextFirstIndent2">
    <w:name w:val="Body Text First Indent 2"/>
    <w:basedOn w:val="BodyTextIndent"/>
    <w:link w:val="BodyTextFirstIndent2Char"/>
    <w:uiPriority w:val="99"/>
    <w:semiHidden/>
    <w:unhideWhenUsed/>
    <w:rsid w:val="00414C25"/>
    <w:pPr>
      <w:spacing w:after="240"/>
      <w:ind w:left="360" w:firstLine="360"/>
    </w:pPr>
  </w:style>
  <w:style w:type="character" w:customStyle="1" w:styleId="BodyTextFirstIndent2Char">
    <w:name w:val="Body Text First Indent 2 Char"/>
    <w:basedOn w:val="BodyTextIndentChar"/>
    <w:link w:val="BodyTextFirstIndent2"/>
    <w:uiPriority w:val="99"/>
    <w:semiHidden/>
    <w:rsid w:val="00414C25"/>
    <w:rPr>
      <w:rFonts w:ascii="Calibri" w:hAnsi="Calibri"/>
      <w:sz w:val="22"/>
      <w:szCs w:val="22"/>
    </w:rPr>
  </w:style>
  <w:style w:type="paragraph" w:styleId="BodyText2">
    <w:name w:val="Body Text 2"/>
    <w:basedOn w:val="Normal"/>
    <w:link w:val="BodyText2Char"/>
    <w:uiPriority w:val="99"/>
    <w:semiHidden/>
    <w:unhideWhenUsed/>
    <w:rsid w:val="00414C25"/>
    <w:pPr>
      <w:spacing w:line="480" w:lineRule="auto"/>
    </w:pPr>
  </w:style>
  <w:style w:type="character" w:customStyle="1" w:styleId="BodyText2Char">
    <w:name w:val="Body Text 2 Char"/>
    <w:basedOn w:val="DefaultParagraphFont"/>
    <w:link w:val="BodyText2"/>
    <w:uiPriority w:val="99"/>
    <w:semiHidden/>
    <w:rsid w:val="00414C25"/>
    <w:rPr>
      <w:rFonts w:ascii="Calibri" w:hAnsi="Calibri"/>
      <w:sz w:val="22"/>
      <w:szCs w:val="22"/>
    </w:rPr>
  </w:style>
  <w:style w:type="paragraph" w:styleId="BodyText3">
    <w:name w:val="Body Text 3"/>
    <w:basedOn w:val="Normal"/>
    <w:link w:val="BodyText3Char"/>
    <w:uiPriority w:val="99"/>
    <w:semiHidden/>
    <w:unhideWhenUsed/>
    <w:rsid w:val="00414C25"/>
    <w:rPr>
      <w:sz w:val="16"/>
      <w:szCs w:val="16"/>
    </w:rPr>
  </w:style>
  <w:style w:type="character" w:customStyle="1" w:styleId="BodyText3Char">
    <w:name w:val="Body Text 3 Char"/>
    <w:basedOn w:val="DefaultParagraphFont"/>
    <w:link w:val="BodyText3"/>
    <w:uiPriority w:val="99"/>
    <w:semiHidden/>
    <w:rsid w:val="00414C25"/>
    <w:rPr>
      <w:rFonts w:ascii="Calibri" w:hAnsi="Calibri"/>
      <w:sz w:val="16"/>
      <w:szCs w:val="16"/>
    </w:rPr>
  </w:style>
  <w:style w:type="paragraph" w:styleId="BodyTextIndent2">
    <w:name w:val="Body Text Indent 2"/>
    <w:basedOn w:val="Normal"/>
    <w:link w:val="BodyTextIndent2Char"/>
    <w:uiPriority w:val="99"/>
    <w:semiHidden/>
    <w:unhideWhenUsed/>
    <w:rsid w:val="00414C25"/>
    <w:pPr>
      <w:spacing w:line="480" w:lineRule="auto"/>
      <w:ind w:left="283"/>
    </w:pPr>
  </w:style>
  <w:style w:type="character" w:customStyle="1" w:styleId="BodyTextIndent2Char">
    <w:name w:val="Body Text Indent 2 Char"/>
    <w:basedOn w:val="DefaultParagraphFont"/>
    <w:link w:val="BodyTextIndent2"/>
    <w:uiPriority w:val="99"/>
    <w:semiHidden/>
    <w:rsid w:val="00414C25"/>
    <w:rPr>
      <w:rFonts w:ascii="Calibri" w:hAnsi="Calibri"/>
      <w:sz w:val="22"/>
      <w:szCs w:val="22"/>
    </w:rPr>
  </w:style>
  <w:style w:type="paragraph" w:styleId="BodyTextIndent3">
    <w:name w:val="Body Text Indent 3"/>
    <w:basedOn w:val="Normal"/>
    <w:link w:val="BodyTextIndent3Char"/>
    <w:uiPriority w:val="99"/>
    <w:semiHidden/>
    <w:unhideWhenUsed/>
    <w:rsid w:val="00414C25"/>
    <w:pPr>
      <w:ind w:left="283"/>
    </w:pPr>
    <w:rPr>
      <w:sz w:val="16"/>
      <w:szCs w:val="16"/>
    </w:rPr>
  </w:style>
  <w:style w:type="character" w:customStyle="1" w:styleId="BodyTextIndent3Char">
    <w:name w:val="Body Text Indent 3 Char"/>
    <w:basedOn w:val="DefaultParagraphFont"/>
    <w:link w:val="BodyTextIndent3"/>
    <w:uiPriority w:val="99"/>
    <w:semiHidden/>
    <w:rsid w:val="00414C25"/>
    <w:rPr>
      <w:rFonts w:ascii="Calibri" w:hAnsi="Calibri"/>
      <w:sz w:val="16"/>
      <w:szCs w:val="16"/>
    </w:rPr>
  </w:style>
  <w:style w:type="paragraph" w:styleId="Quote">
    <w:name w:val="Quote"/>
    <w:basedOn w:val="Normal"/>
    <w:next w:val="Normal"/>
    <w:link w:val="QuoteChar"/>
    <w:uiPriority w:val="29"/>
    <w:rsid w:val="00414C25"/>
    <w:pPr>
      <w:spacing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414C25"/>
    <w:rPr>
      <w:rFonts w:ascii="Calibri" w:hAnsi="Calibri"/>
      <w:i/>
      <w:iCs/>
      <w:color w:val="404040" w:themeColor="text1" w:themeTint="BF"/>
      <w:sz w:val="22"/>
      <w:szCs w:val="22"/>
    </w:rPr>
  </w:style>
  <w:style w:type="paragraph" w:styleId="TOAHeading">
    <w:name w:val="toa heading"/>
    <w:basedOn w:val="Normal"/>
    <w:next w:val="Normal"/>
    <w:uiPriority w:val="99"/>
    <w:semiHidden/>
    <w:unhideWhenUsed/>
    <w:rsid w:val="00414C25"/>
    <w:pPr>
      <w:spacing w:before="120"/>
    </w:pPr>
    <w:rPr>
      <w:rFonts w:asciiTheme="majorHAnsi" w:eastAsiaTheme="majorEastAsia" w:hAnsiTheme="majorHAnsi" w:cstheme="majorBidi"/>
      <w:b/>
      <w:bCs/>
      <w:sz w:val="24"/>
      <w:szCs w:val="24"/>
    </w:rPr>
  </w:style>
  <w:style w:type="paragraph" w:styleId="TableofAuthorities">
    <w:name w:val="table of authorities"/>
    <w:basedOn w:val="Normal"/>
    <w:next w:val="Normal"/>
    <w:uiPriority w:val="99"/>
    <w:semiHidden/>
    <w:unhideWhenUsed/>
    <w:rsid w:val="00414C25"/>
    <w:pPr>
      <w:spacing w:after="0"/>
      <w:ind w:left="220" w:hanging="220"/>
    </w:pPr>
  </w:style>
  <w:style w:type="paragraph" w:styleId="Date">
    <w:name w:val="Date"/>
    <w:basedOn w:val="Normal"/>
    <w:next w:val="Normal"/>
    <w:link w:val="DateChar"/>
    <w:uiPriority w:val="99"/>
    <w:semiHidden/>
    <w:unhideWhenUsed/>
    <w:rsid w:val="00414C25"/>
  </w:style>
  <w:style w:type="character" w:customStyle="1" w:styleId="DateChar">
    <w:name w:val="Date Char"/>
    <w:basedOn w:val="DefaultParagraphFont"/>
    <w:link w:val="Date"/>
    <w:uiPriority w:val="99"/>
    <w:semiHidden/>
    <w:rsid w:val="00414C25"/>
    <w:rPr>
      <w:rFonts w:ascii="Calibri" w:hAnsi="Calibri"/>
      <w:sz w:val="22"/>
      <w:szCs w:val="22"/>
    </w:rPr>
  </w:style>
  <w:style w:type="paragraph" w:styleId="DocumentMap">
    <w:name w:val="Document Map"/>
    <w:basedOn w:val="Normal"/>
    <w:link w:val="DocumentMapChar"/>
    <w:uiPriority w:val="99"/>
    <w:semiHidden/>
    <w:unhideWhenUsed/>
    <w:rsid w:val="00414C25"/>
    <w:pPr>
      <w:spacing w:after="0"/>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414C25"/>
    <w:rPr>
      <w:rFonts w:ascii="Segoe UI" w:hAnsi="Segoe UI" w:cs="Segoe UI"/>
      <w:sz w:val="16"/>
      <w:szCs w:val="16"/>
    </w:rPr>
  </w:style>
  <w:style w:type="paragraph" w:styleId="HTMLPreformatted">
    <w:name w:val="HTML Preformatted"/>
    <w:basedOn w:val="Normal"/>
    <w:link w:val="HTMLPreformattedChar"/>
    <w:uiPriority w:val="99"/>
    <w:semiHidden/>
    <w:unhideWhenUsed/>
    <w:rsid w:val="00414C25"/>
    <w:pPr>
      <w:spacing w:after="0"/>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414C25"/>
    <w:rPr>
      <w:rFonts w:ascii="Consolas" w:hAnsi="Consolas"/>
      <w:sz w:val="20"/>
      <w:szCs w:val="20"/>
    </w:rPr>
  </w:style>
  <w:style w:type="character" w:styleId="Emphasis">
    <w:name w:val="Emphasis"/>
    <w:basedOn w:val="DefaultParagraphFont"/>
    <w:uiPriority w:val="20"/>
    <w:rsid w:val="00414C25"/>
    <w:rPr>
      <w:i/>
      <w:iCs/>
    </w:rPr>
  </w:style>
  <w:style w:type="character" w:styleId="Hashtag">
    <w:name w:val="Hashtag"/>
    <w:basedOn w:val="DefaultParagraphFont"/>
    <w:uiPriority w:val="99"/>
    <w:semiHidden/>
    <w:unhideWhenUsed/>
    <w:rsid w:val="00414C25"/>
    <w:rPr>
      <w:color w:val="2B579A"/>
      <w:shd w:val="clear" w:color="auto" w:fill="E1DFDD"/>
    </w:rPr>
  </w:style>
  <w:style w:type="paragraph" w:styleId="HTMLAddress">
    <w:name w:val="HTML Address"/>
    <w:basedOn w:val="Normal"/>
    <w:link w:val="HTMLAddressChar"/>
    <w:uiPriority w:val="99"/>
    <w:semiHidden/>
    <w:unhideWhenUsed/>
    <w:rsid w:val="00414C25"/>
    <w:pPr>
      <w:spacing w:after="0"/>
    </w:pPr>
    <w:rPr>
      <w:i/>
      <w:iCs/>
    </w:rPr>
  </w:style>
  <w:style w:type="character" w:customStyle="1" w:styleId="HTMLAddressChar">
    <w:name w:val="HTML Address Char"/>
    <w:basedOn w:val="DefaultParagraphFont"/>
    <w:link w:val="HTMLAddress"/>
    <w:uiPriority w:val="99"/>
    <w:semiHidden/>
    <w:rsid w:val="00414C25"/>
    <w:rPr>
      <w:rFonts w:ascii="Calibri" w:hAnsi="Calibri"/>
      <w:i/>
      <w:iCs/>
      <w:sz w:val="22"/>
      <w:szCs w:val="22"/>
    </w:rPr>
  </w:style>
  <w:style w:type="character" w:styleId="HTMLAcronym">
    <w:name w:val="HTML Acronym"/>
    <w:basedOn w:val="DefaultParagraphFont"/>
    <w:uiPriority w:val="99"/>
    <w:semiHidden/>
    <w:unhideWhenUsed/>
    <w:rsid w:val="00414C25"/>
  </w:style>
  <w:style w:type="character" w:styleId="HTMLCite">
    <w:name w:val="HTML Cite"/>
    <w:basedOn w:val="DefaultParagraphFont"/>
    <w:uiPriority w:val="99"/>
    <w:semiHidden/>
    <w:unhideWhenUsed/>
    <w:rsid w:val="00414C25"/>
    <w:rPr>
      <w:i/>
      <w:iCs/>
    </w:rPr>
  </w:style>
  <w:style w:type="character" w:styleId="HTMLDefinition">
    <w:name w:val="HTML Definition"/>
    <w:basedOn w:val="DefaultParagraphFont"/>
    <w:uiPriority w:val="99"/>
    <w:semiHidden/>
    <w:unhideWhenUsed/>
    <w:rsid w:val="00414C25"/>
    <w:rPr>
      <w:i/>
      <w:iCs/>
    </w:rPr>
  </w:style>
  <w:style w:type="character" w:styleId="HTMLSample">
    <w:name w:val="HTML Sample"/>
    <w:basedOn w:val="DefaultParagraphFont"/>
    <w:uiPriority w:val="99"/>
    <w:semiHidden/>
    <w:unhideWhenUsed/>
    <w:rsid w:val="00414C25"/>
    <w:rPr>
      <w:rFonts w:ascii="Consolas" w:hAnsi="Consolas"/>
      <w:sz w:val="24"/>
      <w:szCs w:val="24"/>
    </w:rPr>
  </w:style>
  <w:style w:type="character" w:styleId="HTMLCode">
    <w:name w:val="HTML Code"/>
    <w:basedOn w:val="DefaultParagraphFont"/>
    <w:uiPriority w:val="99"/>
    <w:semiHidden/>
    <w:unhideWhenUsed/>
    <w:rsid w:val="00414C25"/>
    <w:rPr>
      <w:rFonts w:ascii="Consolas" w:hAnsi="Consolas"/>
      <w:sz w:val="20"/>
      <w:szCs w:val="20"/>
    </w:rPr>
  </w:style>
  <w:style w:type="character" w:styleId="HTMLTypewriter">
    <w:name w:val="HTML Typewriter"/>
    <w:basedOn w:val="DefaultParagraphFont"/>
    <w:uiPriority w:val="99"/>
    <w:semiHidden/>
    <w:unhideWhenUsed/>
    <w:rsid w:val="00414C25"/>
    <w:rPr>
      <w:rFonts w:ascii="Consolas" w:hAnsi="Consolas"/>
      <w:sz w:val="20"/>
      <w:szCs w:val="20"/>
    </w:rPr>
  </w:style>
  <w:style w:type="character" w:styleId="HTMLKeyboard">
    <w:name w:val="HTML Keyboard"/>
    <w:basedOn w:val="DefaultParagraphFont"/>
    <w:uiPriority w:val="99"/>
    <w:semiHidden/>
    <w:unhideWhenUsed/>
    <w:rsid w:val="00414C25"/>
    <w:rPr>
      <w:rFonts w:ascii="Consolas" w:hAnsi="Consolas"/>
      <w:sz w:val="20"/>
      <w:szCs w:val="20"/>
    </w:rPr>
  </w:style>
  <w:style w:type="character" w:styleId="HTMLVariable">
    <w:name w:val="HTML Variable"/>
    <w:basedOn w:val="DefaultParagraphFont"/>
    <w:uiPriority w:val="99"/>
    <w:semiHidden/>
    <w:unhideWhenUsed/>
    <w:rsid w:val="00414C25"/>
    <w:rPr>
      <w:i/>
      <w:iCs/>
    </w:rPr>
  </w:style>
  <w:style w:type="paragraph" w:styleId="Index1">
    <w:name w:val="index 1"/>
    <w:basedOn w:val="Normal"/>
    <w:next w:val="Normal"/>
    <w:autoRedefine/>
    <w:uiPriority w:val="99"/>
    <w:semiHidden/>
    <w:unhideWhenUsed/>
    <w:rsid w:val="00414C25"/>
    <w:pPr>
      <w:spacing w:after="0"/>
      <w:ind w:left="220" w:hanging="220"/>
    </w:pPr>
  </w:style>
  <w:style w:type="paragraph" w:styleId="Index2">
    <w:name w:val="index 2"/>
    <w:basedOn w:val="Normal"/>
    <w:next w:val="Normal"/>
    <w:autoRedefine/>
    <w:uiPriority w:val="99"/>
    <w:semiHidden/>
    <w:unhideWhenUsed/>
    <w:rsid w:val="00414C25"/>
    <w:pPr>
      <w:spacing w:after="0"/>
      <w:ind w:left="440" w:hanging="220"/>
    </w:pPr>
  </w:style>
  <w:style w:type="paragraph" w:styleId="Index3">
    <w:name w:val="index 3"/>
    <w:basedOn w:val="Normal"/>
    <w:next w:val="Normal"/>
    <w:autoRedefine/>
    <w:uiPriority w:val="99"/>
    <w:semiHidden/>
    <w:unhideWhenUsed/>
    <w:rsid w:val="00414C25"/>
    <w:pPr>
      <w:spacing w:after="0"/>
      <w:ind w:left="660" w:hanging="220"/>
    </w:pPr>
  </w:style>
  <w:style w:type="paragraph" w:styleId="Index4">
    <w:name w:val="index 4"/>
    <w:basedOn w:val="Normal"/>
    <w:next w:val="Normal"/>
    <w:autoRedefine/>
    <w:uiPriority w:val="99"/>
    <w:semiHidden/>
    <w:unhideWhenUsed/>
    <w:rsid w:val="00414C25"/>
    <w:pPr>
      <w:spacing w:after="0"/>
      <w:ind w:left="880" w:hanging="220"/>
    </w:pPr>
  </w:style>
  <w:style w:type="paragraph" w:styleId="Index5">
    <w:name w:val="index 5"/>
    <w:basedOn w:val="Normal"/>
    <w:next w:val="Normal"/>
    <w:autoRedefine/>
    <w:uiPriority w:val="99"/>
    <w:semiHidden/>
    <w:unhideWhenUsed/>
    <w:rsid w:val="00414C25"/>
    <w:pPr>
      <w:spacing w:after="0"/>
      <w:ind w:left="1100" w:hanging="220"/>
    </w:pPr>
  </w:style>
  <w:style w:type="paragraph" w:styleId="Index6">
    <w:name w:val="index 6"/>
    <w:basedOn w:val="Normal"/>
    <w:next w:val="Normal"/>
    <w:autoRedefine/>
    <w:uiPriority w:val="99"/>
    <w:semiHidden/>
    <w:unhideWhenUsed/>
    <w:rsid w:val="00414C25"/>
    <w:pPr>
      <w:spacing w:after="0"/>
      <w:ind w:left="1320" w:hanging="220"/>
    </w:pPr>
  </w:style>
  <w:style w:type="paragraph" w:styleId="Index7">
    <w:name w:val="index 7"/>
    <w:basedOn w:val="Normal"/>
    <w:next w:val="Normal"/>
    <w:autoRedefine/>
    <w:uiPriority w:val="99"/>
    <w:semiHidden/>
    <w:unhideWhenUsed/>
    <w:rsid w:val="00414C25"/>
    <w:pPr>
      <w:spacing w:after="0"/>
      <w:ind w:left="1540" w:hanging="220"/>
    </w:pPr>
  </w:style>
  <w:style w:type="paragraph" w:styleId="Index8">
    <w:name w:val="index 8"/>
    <w:basedOn w:val="Normal"/>
    <w:next w:val="Normal"/>
    <w:autoRedefine/>
    <w:uiPriority w:val="99"/>
    <w:semiHidden/>
    <w:unhideWhenUsed/>
    <w:rsid w:val="00414C25"/>
    <w:pPr>
      <w:spacing w:after="0"/>
      <w:ind w:left="1760" w:hanging="220"/>
    </w:pPr>
  </w:style>
  <w:style w:type="paragraph" w:styleId="Index9">
    <w:name w:val="index 9"/>
    <w:basedOn w:val="Normal"/>
    <w:next w:val="Normal"/>
    <w:autoRedefine/>
    <w:uiPriority w:val="99"/>
    <w:semiHidden/>
    <w:unhideWhenUsed/>
    <w:rsid w:val="00414C25"/>
    <w:pPr>
      <w:spacing w:after="0"/>
      <w:ind w:left="1980" w:hanging="220"/>
    </w:pPr>
  </w:style>
  <w:style w:type="paragraph" w:styleId="IndexHeading">
    <w:name w:val="index heading"/>
    <w:basedOn w:val="Normal"/>
    <w:next w:val="Index1"/>
    <w:uiPriority w:val="99"/>
    <w:semiHidden/>
    <w:unhideWhenUsed/>
    <w:rsid w:val="00414C25"/>
    <w:rPr>
      <w:rFonts w:asciiTheme="majorHAnsi" w:eastAsiaTheme="majorEastAsia" w:hAnsiTheme="majorHAnsi" w:cstheme="majorBidi"/>
      <w:b/>
      <w:bCs/>
    </w:rPr>
  </w:style>
  <w:style w:type="paragraph" w:styleId="TOC3">
    <w:name w:val="toc 3"/>
    <w:basedOn w:val="Normal"/>
    <w:next w:val="Normal"/>
    <w:autoRedefine/>
    <w:uiPriority w:val="39"/>
    <w:unhideWhenUsed/>
    <w:rsid w:val="00414C25"/>
    <w:pPr>
      <w:spacing w:after="100"/>
      <w:ind w:left="440"/>
    </w:pPr>
  </w:style>
  <w:style w:type="paragraph" w:styleId="TOC4">
    <w:name w:val="toc 4"/>
    <w:basedOn w:val="Normal"/>
    <w:next w:val="Normal"/>
    <w:autoRedefine/>
    <w:uiPriority w:val="39"/>
    <w:unhideWhenUsed/>
    <w:rsid w:val="00414C25"/>
    <w:pPr>
      <w:spacing w:after="100"/>
      <w:ind w:left="660"/>
    </w:pPr>
  </w:style>
  <w:style w:type="paragraph" w:styleId="TOC5">
    <w:name w:val="toc 5"/>
    <w:basedOn w:val="Normal"/>
    <w:next w:val="Normal"/>
    <w:autoRedefine/>
    <w:uiPriority w:val="39"/>
    <w:semiHidden/>
    <w:unhideWhenUsed/>
    <w:rsid w:val="00414C25"/>
    <w:pPr>
      <w:spacing w:after="100"/>
      <w:ind w:left="880"/>
    </w:pPr>
  </w:style>
  <w:style w:type="paragraph" w:styleId="TOC6">
    <w:name w:val="toc 6"/>
    <w:basedOn w:val="Normal"/>
    <w:next w:val="Normal"/>
    <w:autoRedefine/>
    <w:uiPriority w:val="39"/>
    <w:semiHidden/>
    <w:unhideWhenUsed/>
    <w:rsid w:val="00414C25"/>
    <w:pPr>
      <w:spacing w:after="100"/>
      <w:ind w:left="1100"/>
    </w:pPr>
  </w:style>
  <w:style w:type="paragraph" w:styleId="TOC7">
    <w:name w:val="toc 7"/>
    <w:basedOn w:val="Normal"/>
    <w:next w:val="Normal"/>
    <w:autoRedefine/>
    <w:uiPriority w:val="39"/>
    <w:semiHidden/>
    <w:unhideWhenUsed/>
    <w:rsid w:val="00414C25"/>
    <w:pPr>
      <w:spacing w:after="100"/>
      <w:ind w:left="1320"/>
    </w:pPr>
  </w:style>
  <w:style w:type="paragraph" w:styleId="TOC8">
    <w:name w:val="toc 8"/>
    <w:basedOn w:val="Normal"/>
    <w:next w:val="Normal"/>
    <w:autoRedefine/>
    <w:uiPriority w:val="39"/>
    <w:semiHidden/>
    <w:unhideWhenUsed/>
    <w:rsid w:val="00414C25"/>
    <w:pPr>
      <w:spacing w:after="100"/>
      <w:ind w:left="1540"/>
    </w:pPr>
  </w:style>
  <w:style w:type="paragraph" w:styleId="TOC9">
    <w:name w:val="toc 9"/>
    <w:basedOn w:val="Normal"/>
    <w:next w:val="Normal"/>
    <w:autoRedefine/>
    <w:uiPriority w:val="39"/>
    <w:semiHidden/>
    <w:unhideWhenUsed/>
    <w:rsid w:val="00414C25"/>
    <w:pPr>
      <w:spacing w:after="100"/>
      <w:ind w:left="1760"/>
    </w:pPr>
  </w:style>
  <w:style w:type="character" w:styleId="IntenseEmphasis">
    <w:name w:val="Intense Emphasis"/>
    <w:basedOn w:val="DefaultParagraphFont"/>
    <w:uiPriority w:val="21"/>
    <w:rsid w:val="00414C25"/>
    <w:rPr>
      <w:i/>
      <w:iCs/>
      <w:color w:val="003865" w:themeColor="accent1"/>
    </w:rPr>
  </w:style>
  <w:style w:type="character" w:styleId="IntenseReference">
    <w:name w:val="Intense Reference"/>
    <w:basedOn w:val="DefaultParagraphFont"/>
    <w:uiPriority w:val="32"/>
    <w:rsid w:val="00414C25"/>
    <w:rPr>
      <w:b/>
      <w:bCs/>
      <w:smallCaps/>
      <w:color w:val="003865" w:themeColor="accent1"/>
      <w:spacing w:val="5"/>
    </w:rPr>
  </w:style>
  <w:style w:type="character" w:styleId="LineNumber">
    <w:name w:val="line number"/>
    <w:basedOn w:val="DefaultParagraphFont"/>
    <w:uiPriority w:val="99"/>
    <w:semiHidden/>
    <w:unhideWhenUsed/>
    <w:rsid w:val="00414C25"/>
  </w:style>
  <w:style w:type="paragraph" w:styleId="List">
    <w:name w:val="List"/>
    <w:basedOn w:val="Normal"/>
    <w:uiPriority w:val="99"/>
    <w:semiHidden/>
    <w:unhideWhenUsed/>
    <w:rsid w:val="00414C25"/>
    <w:pPr>
      <w:ind w:left="283" w:hanging="283"/>
      <w:contextualSpacing/>
    </w:pPr>
  </w:style>
  <w:style w:type="paragraph" w:styleId="List2">
    <w:name w:val="List 2"/>
    <w:basedOn w:val="Normal"/>
    <w:uiPriority w:val="99"/>
    <w:semiHidden/>
    <w:unhideWhenUsed/>
    <w:rsid w:val="00414C25"/>
    <w:pPr>
      <w:ind w:left="566" w:hanging="283"/>
      <w:contextualSpacing/>
    </w:pPr>
  </w:style>
  <w:style w:type="paragraph" w:styleId="List3">
    <w:name w:val="List 3"/>
    <w:basedOn w:val="Normal"/>
    <w:uiPriority w:val="99"/>
    <w:semiHidden/>
    <w:unhideWhenUsed/>
    <w:rsid w:val="00414C25"/>
    <w:pPr>
      <w:ind w:left="849" w:hanging="283"/>
      <w:contextualSpacing/>
    </w:pPr>
  </w:style>
  <w:style w:type="paragraph" w:styleId="List4">
    <w:name w:val="List 4"/>
    <w:basedOn w:val="Normal"/>
    <w:uiPriority w:val="99"/>
    <w:semiHidden/>
    <w:unhideWhenUsed/>
    <w:rsid w:val="00414C25"/>
    <w:pPr>
      <w:ind w:left="1132" w:hanging="283"/>
      <w:contextualSpacing/>
    </w:pPr>
  </w:style>
  <w:style w:type="paragraph" w:styleId="List5">
    <w:name w:val="List 5"/>
    <w:basedOn w:val="Normal"/>
    <w:uiPriority w:val="99"/>
    <w:semiHidden/>
    <w:unhideWhenUsed/>
    <w:rsid w:val="00414C25"/>
    <w:pPr>
      <w:ind w:left="1415" w:hanging="283"/>
      <w:contextualSpacing/>
    </w:pPr>
  </w:style>
  <w:style w:type="paragraph" w:styleId="TableofFigures">
    <w:name w:val="table of figures"/>
    <w:basedOn w:val="Normal"/>
    <w:next w:val="Normal"/>
    <w:uiPriority w:val="99"/>
    <w:semiHidden/>
    <w:unhideWhenUsed/>
    <w:rsid w:val="00414C25"/>
    <w:pPr>
      <w:spacing w:after="0"/>
    </w:pPr>
  </w:style>
  <w:style w:type="paragraph" w:styleId="E-mailSignature">
    <w:name w:val="E-mail Signature"/>
    <w:basedOn w:val="Normal"/>
    <w:link w:val="E-mailSignatureChar"/>
    <w:uiPriority w:val="99"/>
    <w:semiHidden/>
    <w:unhideWhenUsed/>
    <w:rsid w:val="00414C25"/>
    <w:pPr>
      <w:spacing w:after="0"/>
    </w:pPr>
  </w:style>
  <w:style w:type="character" w:customStyle="1" w:styleId="E-mailSignatureChar">
    <w:name w:val="E-mail Signature Char"/>
    <w:basedOn w:val="DefaultParagraphFont"/>
    <w:link w:val="E-mailSignature"/>
    <w:uiPriority w:val="99"/>
    <w:semiHidden/>
    <w:rsid w:val="00414C25"/>
    <w:rPr>
      <w:rFonts w:ascii="Calibri" w:hAnsi="Calibri"/>
      <w:sz w:val="22"/>
      <w:szCs w:val="22"/>
    </w:rPr>
  </w:style>
  <w:style w:type="paragraph" w:styleId="MacroText">
    <w:name w:val="macro"/>
    <w:link w:val="MacroTextChar"/>
    <w:uiPriority w:val="99"/>
    <w:semiHidden/>
    <w:unhideWhenUsed/>
    <w:rsid w:val="00414C25"/>
    <w:pPr>
      <w:tabs>
        <w:tab w:val="left" w:pos="480"/>
        <w:tab w:val="left" w:pos="960"/>
        <w:tab w:val="left" w:pos="1440"/>
        <w:tab w:val="left" w:pos="1920"/>
        <w:tab w:val="left" w:pos="2400"/>
        <w:tab w:val="left" w:pos="2880"/>
        <w:tab w:val="left" w:pos="3360"/>
        <w:tab w:val="left" w:pos="3840"/>
        <w:tab w:val="left" w:pos="4320"/>
      </w:tabs>
    </w:pPr>
    <w:rPr>
      <w:rFonts w:ascii="Consolas" w:hAnsi="Consolas"/>
      <w:sz w:val="20"/>
      <w:szCs w:val="20"/>
    </w:rPr>
  </w:style>
  <w:style w:type="character" w:customStyle="1" w:styleId="MacroTextChar">
    <w:name w:val="Macro Text Char"/>
    <w:basedOn w:val="DefaultParagraphFont"/>
    <w:link w:val="MacroText"/>
    <w:uiPriority w:val="99"/>
    <w:semiHidden/>
    <w:rsid w:val="00414C25"/>
    <w:rPr>
      <w:rFonts w:ascii="Consolas" w:hAnsi="Consolas"/>
      <w:sz w:val="20"/>
      <w:szCs w:val="20"/>
    </w:rPr>
  </w:style>
  <w:style w:type="paragraph" w:styleId="EnvelopeAddress">
    <w:name w:val="envelope address"/>
    <w:basedOn w:val="Normal"/>
    <w:uiPriority w:val="99"/>
    <w:semiHidden/>
    <w:unhideWhenUsed/>
    <w:rsid w:val="00414C25"/>
    <w:pPr>
      <w:framePr w:w="7920" w:h="1980" w:hRule="exact" w:hSpace="141" w:wrap="auto" w:hAnchor="page" w:xAlign="center" w:yAlign="bottom"/>
      <w:spacing w:after="0"/>
      <w:ind w:left="2880"/>
    </w:pPr>
    <w:rPr>
      <w:rFonts w:asciiTheme="majorHAnsi" w:eastAsiaTheme="majorEastAsia" w:hAnsiTheme="majorHAnsi" w:cstheme="majorBidi"/>
      <w:sz w:val="24"/>
      <w:szCs w:val="24"/>
    </w:rPr>
  </w:style>
  <w:style w:type="paragraph" w:styleId="NormalIndent">
    <w:name w:val="Normal Indent"/>
    <w:basedOn w:val="Normal"/>
    <w:uiPriority w:val="99"/>
    <w:semiHidden/>
    <w:unhideWhenUsed/>
    <w:rsid w:val="00414C25"/>
    <w:pPr>
      <w:ind w:left="1304"/>
    </w:pPr>
  </w:style>
  <w:style w:type="paragraph" w:styleId="NoteHeading">
    <w:name w:val="Note Heading"/>
    <w:basedOn w:val="Normal"/>
    <w:next w:val="Normal"/>
    <w:link w:val="NoteHeadingChar"/>
    <w:uiPriority w:val="99"/>
    <w:semiHidden/>
    <w:unhideWhenUsed/>
    <w:rsid w:val="00414C25"/>
    <w:pPr>
      <w:spacing w:after="0"/>
    </w:pPr>
  </w:style>
  <w:style w:type="character" w:customStyle="1" w:styleId="NoteHeadingChar">
    <w:name w:val="Note Heading Char"/>
    <w:basedOn w:val="DefaultParagraphFont"/>
    <w:link w:val="NoteHeading"/>
    <w:uiPriority w:val="99"/>
    <w:semiHidden/>
    <w:rsid w:val="00414C25"/>
    <w:rPr>
      <w:rFonts w:ascii="Calibri" w:hAnsi="Calibri"/>
      <w:sz w:val="22"/>
      <w:szCs w:val="22"/>
    </w:rPr>
  </w:style>
  <w:style w:type="character" w:styleId="Mention">
    <w:name w:val="Mention"/>
    <w:basedOn w:val="DefaultParagraphFont"/>
    <w:uiPriority w:val="99"/>
    <w:semiHidden/>
    <w:unhideWhenUsed/>
    <w:rsid w:val="00414C25"/>
    <w:rPr>
      <w:color w:val="2B579A"/>
      <w:shd w:val="clear" w:color="auto" w:fill="E1DFDD"/>
    </w:rPr>
  </w:style>
  <w:style w:type="paragraph" w:styleId="ListContinue">
    <w:name w:val="List Continue"/>
    <w:basedOn w:val="ListBullet"/>
    <w:uiPriority w:val="99"/>
    <w:unhideWhenUsed/>
    <w:rsid w:val="00414C25"/>
  </w:style>
  <w:style w:type="paragraph" w:styleId="ListContinue2">
    <w:name w:val="List Continue 2"/>
    <w:basedOn w:val="ListBullet"/>
    <w:uiPriority w:val="99"/>
    <w:unhideWhenUsed/>
    <w:rsid w:val="00414C25"/>
  </w:style>
  <w:style w:type="paragraph" w:styleId="ListContinue3">
    <w:name w:val="List Continue 3"/>
    <w:basedOn w:val="ListBullet"/>
    <w:uiPriority w:val="99"/>
    <w:unhideWhenUsed/>
    <w:rsid w:val="00414C25"/>
  </w:style>
  <w:style w:type="paragraph" w:styleId="ListContinue4">
    <w:name w:val="List Continue 4"/>
    <w:basedOn w:val="ListBullet"/>
    <w:uiPriority w:val="99"/>
    <w:unhideWhenUsed/>
    <w:rsid w:val="00414C25"/>
  </w:style>
  <w:style w:type="paragraph" w:styleId="ListContinue5">
    <w:name w:val="List Continue 5"/>
    <w:basedOn w:val="ListBullet"/>
    <w:uiPriority w:val="99"/>
    <w:unhideWhenUsed/>
    <w:rsid w:val="00414C25"/>
  </w:style>
  <w:style w:type="paragraph" w:styleId="ListBullet">
    <w:name w:val="List Bullet"/>
    <w:basedOn w:val="Punktopstilling"/>
    <w:uiPriority w:val="99"/>
    <w:unhideWhenUsed/>
    <w:rsid w:val="00414C25"/>
    <w:pPr>
      <w:numPr>
        <w:numId w:val="7"/>
      </w:numPr>
    </w:pPr>
  </w:style>
  <w:style w:type="paragraph" w:styleId="ListBullet2">
    <w:name w:val="List Bullet 2"/>
    <w:basedOn w:val="ListBullet"/>
    <w:uiPriority w:val="99"/>
    <w:unhideWhenUsed/>
    <w:rsid w:val="00414C25"/>
  </w:style>
  <w:style w:type="paragraph" w:styleId="ListBullet3">
    <w:name w:val="List Bullet 3"/>
    <w:basedOn w:val="ListBullet"/>
    <w:uiPriority w:val="99"/>
    <w:unhideWhenUsed/>
    <w:rsid w:val="00414C25"/>
  </w:style>
  <w:style w:type="paragraph" w:styleId="ListBullet4">
    <w:name w:val="List Bullet 4"/>
    <w:basedOn w:val="ListBullet"/>
    <w:uiPriority w:val="99"/>
    <w:unhideWhenUsed/>
    <w:rsid w:val="00414C25"/>
  </w:style>
  <w:style w:type="paragraph" w:styleId="ListBullet5">
    <w:name w:val="List Bullet 5"/>
    <w:basedOn w:val="ListBullet"/>
    <w:uiPriority w:val="99"/>
    <w:unhideWhenUsed/>
    <w:rsid w:val="00414C25"/>
  </w:style>
  <w:style w:type="paragraph" w:styleId="ListNumber">
    <w:name w:val="List Number"/>
    <w:basedOn w:val="Normal"/>
    <w:uiPriority w:val="99"/>
    <w:unhideWhenUsed/>
    <w:rsid w:val="00414C25"/>
    <w:pPr>
      <w:numPr>
        <w:numId w:val="6"/>
      </w:numPr>
      <w:contextualSpacing/>
    </w:pPr>
  </w:style>
  <w:style w:type="paragraph" w:styleId="ListNumber2">
    <w:name w:val="List Number 2"/>
    <w:basedOn w:val="Normal"/>
    <w:uiPriority w:val="99"/>
    <w:semiHidden/>
    <w:unhideWhenUsed/>
    <w:rsid w:val="00414C25"/>
    <w:pPr>
      <w:numPr>
        <w:numId w:val="1"/>
      </w:numPr>
      <w:contextualSpacing/>
    </w:pPr>
  </w:style>
  <w:style w:type="paragraph" w:styleId="ListNumber3">
    <w:name w:val="List Number 3"/>
    <w:basedOn w:val="Normal"/>
    <w:uiPriority w:val="99"/>
    <w:semiHidden/>
    <w:unhideWhenUsed/>
    <w:rsid w:val="00414C25"/>
    <w:pPr>
      <w:numPr>
        <w:numId w:val="2"/>
      </w:numPr>
      <w:contextualSpacing/>
    </w:pPr>
  </w:style>
  <w:style w:type="paragraph" w:styleId="ListNumber4">
    <w:name w:val="List Number 4"/>
    <w:basedOn w:val="Normal"/>
    <w:uiPriority w:val="99"/>
    <w:semiHidden/>
    <w:unhideWhenUsed/>
    <w:rsid w:val="00414C25"/>
    <w:pPr>
      <w:numPr>
        <w:numId w:val="3"/>
      </w:numPr>
      <w:contextualSpacing/>
    </w:pPr>
  </w:style>
  <w:style w:type="paragraph" w:styleId="ListNumber5">
    <w:name w:val="List Number 5"/>
    <w:basedOn w:val="Normal"/>
    <w:uiPriority w:val="99"/>
    <w:semiHidden/>
    <w:unhideWhenUsed/>
    <w:rsid w:val="00414C25"/>
    <w:pPr>
      <w:numPr>
        <w:numId w:val="4"/>
      </w:numPr>
      <w:contextualSpacing/>
    </w:pPr>
  </w:style>
  <w:style w:type="character" w:styleId="PageNumber">
    <w:name w:val="page number"/>
    <w:basedOn w:val="DefaultParagraphFont"/>
    <w:uiPriority w:val="99"/>
    <w:semiHidden/>
    <w:unhideWhenUsed/>
    <w:rsid w:val="00414C25"/>
  </w:style>
  <w:style w:type="paragraph" w:styleId="Closing">
    <w:name w:val="Closing"/>
    <w:basedOn w:val="Normal"/>
    <w:link w:val="ClosingChar"/>
    <w:uiPriority w:val="99"/>
    <w:semiHidden/>
    <w:unhideWhenUsed/>
    <w:rsid w:val="00414C25"/>
    <w:pPr>
      <w:spacing w:after="0"/>
      <w:ind w:left="4252"/>
    </w:pPr>
  </w:style>
  <w:style w:type="character" w:customStyle="1" w:styleId="ClosingChar">
    <w:name w:val="Closing Char"/>
    <w:basedOn w:val="DefaultParagraphFont"/>
    <w:link w:val="Closing"/>
    <w:uiPriority w:val="99"/>
    <w:semiHidden/>
    <w:rsid w:val="00414C25"/>
    <w:rPr>
      <w:rFonts w:ascii="Calibri" w:hAnsi="Calibri"/>
      <w:sz w:val="22"/>
      <w:szCs w:val="22"/>
    </w:rPr>
  </w:style>
  <w:style w:type="character" w:styleId="SmartHyperlink">
    <w:name w:val="Smart Hyperlink"/>
    <w:basedOn w:val="DefaultParagraphFont"/>
    <w:uiPriority w:val="99"/>
    <w:semiHidden/>
    <w:unhideWhenUsed/>
    <w:rsid w:val="00414C25"/>
    <w:rPr>
      <w:u w:val="dotted"/>
    </w:rPr>
  </w:style>
  <w:style w:type="paragraph" w:styleId="Salutation">
    <w:name w:val="Salutation"/>
    <w:basedOn w:val="Normal"/>
    <w:next w:val="Normal"/>
    <w:link w:val="SalutationChar"/>
    <w:uiPriority w:val="99"/>
    <w:semiHidden/>
    <w:unhideWhenUsed/>
    <w:rsid w:val="00414C25"/>
  </w:style>
  <w:style w:type="character" w:customStyle="1" w:styleId="SalutationChar">
    <w:name w:val="Salutation Char"/>
    <w:basedOn w:val="DefaultParagraphFont"/>
    <w:link w:val="Salutation"/>
    <w:uiPriority w:val="99"/>
    <w:semiHidden/>
    <w:rsid w:val="00414C25"/>
    <w:rPr>
      <w:rFonts w:ascii="Calibri" w:hAnsi="Calibri"/>
      <w:sz w:val="22"/>
      <w:szCs w:val="22"/>
    </w:rPr>
  </w:style>
  <w:style w:type="character" w:styleId="Strong">
    <w:name w:val="Strong"/>
    <w:basedOn w:val="DefaultParagraphFont"/>
    <w:uiPriority w:val="22"/>
    <w:rsid w:val="00414C25"/>
    <w:rPr>
      <w:b/>
      <w:bCs/>
    </w:rPr>
  </w:style>
  <w:style w:type="paragraph" w:styleId="IntenseQuote">
    <w:name w:val="Intense Quote"/>
    <w:basedOn w:val="Normal"/>
    <w:next w:val="Normal"/>
    <w:link w:val="IntenseQuoteChar"/>
    <w:uiPriority w:val="30"/>
    <w:rsid w:val="00414C25"/>
    <w:pPr>
      <w:pBdr>
        <w:top w:val="single" w:sz="4" w:space="10" w:color="003865" w:themeColor="accent1"/>
        <w:bottom w:val="single" w:sz="4" w:space="10" w:color="003865" w:themeColor="accent1"/>
      </w:pBdr>
      <w:spacing w:before="360" w:after="360"/>
      <w:ind w:left="864" w:right="864"/>
      <w:jc w:val="center"/>
    </w:pPr>
    <w:rPr>
      <w:i/>
      <w:iCs/>
      <w:color w:val="003865" w:themeColor="accent1"/>
    </w:rPr>
  </w:style>
  <w:style w:type="character" w:customStyle="1" w:styleId="IntenseQuoteChar">
    <w:name w:val="Intense Quote Char"/>
    <w:basedOn w:val="DefaultParagraphFont"/>
    <w:link w:val="IntenseQuote"/>
    <w:uiPriority w:val="30"/>
    <w:rsid w:val="00414C25"/>
    <w:rPr>
      <w:rFonts w:ascii="Calibri" w:hAnsi="Calibri"/>
      <w:i/>
      <w:iCs/>
      <w:color w:val="003865" w:themeColor="accent1"/>
      <w:sz w:val="22"/>
      <w:szCs w:val="22"/>
    </w:rPr>
  </w:style>
  <w:style w:type="character" w:styleId="SubtleEmphasis">
    <w:name w:val="Subtle Emphasis"/>
    <w:basedOn w:val="DefaultParagraphFont"/>
    <w:uiPriority w:val="19"/>
    <w:rsid w:val="00414C25"/>
    <w:rPr>
      <w:i/>
      <w:iCs/>
      <w:color w:val="404040" w:themeColor="text1" w:themeTint="BF"/>
    </w:rPr>
  </w:style>
  <w:style w:type="character" w:styleId="SubtleReference">
    <w:name w:val="Subtle Reference"/>
    <w:basedOn w:val="DefaultParagraphFont"/>
    <w:uiPriority w:val="31"/>
    <w:rsid w:val="00414C25"/>
    <w:rPr>
      <w:smallCaps/>
      <w:color w:val="5A5A5A" w:themeColor="text1" w:themeTint="A5"/>
    </w:rPr>
  </w:style>
  <w:style w:type="paragraph" w:styleId="Signature">
    <w:name w:val="Signature"/>
    <w:basedOn w:val="Normal"/>
    <w:link w:val="SignatureChar"/>
    <w:uiPriority w:val="99"/>
    <w:semiHidden/>
    <w:unhideWhenUsed/>
    <w:rsid w:val="00414C25"/>
    <w:pPr>
      <w:spacing w:after="0"/>
      <w:ind w:left="4252"/>
    </w:pPr>
  </w:style>
  <w:style w:type="character" w:customStyle="1" w:styleId="SignatureChar">
    <w:name w:val="Signature Char"/>
    <w:basedOn w:val="DefaultParagraphFont"/>
    <w:link w:val="Signature"/>
    <w:uiPriority w:val="99"/>
    <w:semiHidden/>
    <w:rsid w:val="00414C25"/>
    <w:rPr>
      <w:rFonts w:ascii="Calibri" w:hAnsi="Calibri"/>
      <w:sz w:val="22"/>
      <w:szCs w:val="22"/>
    </w:rPr>
  </w:style>
  <w:style w:type="paragraph" w:styleId="Subtitle">
    <w:name w:val="Subtitle"/>
    <w:basedOn w:val="Normal"/>
    <w:next w:val="Normal"/>
    <w:link w:val="SubtitleChar"/>
    <w:uiPriority w:val="11"/>
    <w:rsid w:val="00414C25"/>
    <w:pPr>
      <w:numPr>
        <w:ilvl w:val="1"/>
      </w:numPr>
      <w:spacing w:after="160"/>
    </w:pPr>
    <w:rPr>
      <w:rFonts w:asciiTheme="minorHAnsi" w:eastAsiaTheme="minorEastAsia" w:hAnsiTheme="minorHAnsi" w:cstheme="minorBidi"/>
      <w:color w:val="5A5A5A" w:themeColor="text1" w:themeTint="A5"/>
      <w:spacing w:val="15"/>
    </w:rPr>
  </w:style>
  <w:style w:type="character" w:customStyle="1" w:styleId="SubtitleChar">
    <w:name w:val="Subtitle Char"/>
    <w:basedOn w:val="DefaultParagraphFont"/>
    <w:link w:val="Subtitle"/>
    <w:uiPriority w:val="11"/>
    <w:rsid w:val="00414C25"/>
    <w:rPr>
      <w:rFonts w:asciiTheme="minorHAnsi" w:eastAsiaTheme="minorEastAsia" w:hAnsiTheme="minorHAnsi" w:cstheme="minorBidi"/>
      <w:color w:val="5A5A5A" w:themeColor="text1" w:themeTint="A5"/>
      <w:spacing w:val="15"/>
      <w:sz w:val="22"/>
      <w:szCs w:val="22"/>
    </w:rPr>
  </w:style>
  <w:style w:type="table" w:customStyle="1" w:styleId="TableGrid1">
    <w:name w:val="Table Grid1"/>
    <w:basedOn w:val="TableNormal"/>
    <w:next w:val="TableGrid"/>
    <w:uiPriority w:val="59"/>
    <w:rsid w:val="00414C25"/>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martLink">
    <w:name w:val="Smart Link"/>
    <w:basedOn w:val="DefaultParagraphFont"/>
    <w:uiPriority w:val="99"/>
    <w:semiHidden/>
    <w:unhideWhenUsed/>
    <w:rsid w:val="00414C25"/>
    <w:rPr>
      <w:color w:val="0000FF"/>
      <w:u w:val="single"/>
      <w:shd w:val="clear" w:color="auto" w:fill="F3F2F1"/>
    </w:rPr>
  </w:style>
  <w:style w:type="table" w:styleId="GridTable1Light">
    <w:name w:val="Grid Table 1 Light"/>
    <w:basedOn w:val="TableNormal"/>
    <w:uiPriority w:val="46"/>
    <w:rsid w:val="00736232"/>
    <w:pPr>
      <w:spacing w:after="0"/>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2802970">
      <w:bodyDiv w:val="1"/>
      <w:marLeft w:val="0"/>
      <w:marRight w:val="0"/>
      <w:marTop w:val="0"/>
      <w:marBottom w:val="0"/>
      <w:divBdr>
        <w:top w:val="none" w:sz="0" w:space="0" w:color="auto"/>
        <w:left w:val="none" w:sz="0" w:space="0" w:color="auto"/>
        <w:bottom w:val="none" w:sz="0" w:space="0" w:color="auto"/>
        <w:right w:val="none" w:sz="0" w:space="0" w:color="auto"/>
      </w:divBdr>
    </w:div>
    <w:div w:id="304504520">
      <w:bodyDiv w:val="1"/>
      <w:marLeft w:val="0"/>
      <w:marRight w:val="0"/>
      <w:marTop w:val="0"/>
      <w:marBottom w:val="0"/>
      <w:divBdr>
        <w:top w:val="none" w:sz="0" w:space="0" w:color="auto"/>
        <w:left w:val="none" w:sz="0" w:space="0" w:color="auto"/>
        <w:bottom w:val="none" w:sz="0" w:space="0" w:color="auto"/>
        <w:right w:val="none" w:sz="0" w:space="0" w:color="auto"/>
      </w:divBdr>
    </w:div>
    <w:div w:id="382026921">
      <w:bodyDiv w:val="1"/>
      <w:marLeft w:val="0"/>
      <w:marRight w:val="0"/>
      <w:marTop w:val="0"/>
      <w:marBottom w:val="0"/>
      <w:divBdr>
        <w:top w:val="none" w:sz="0" w:space="0" w:color="auto"/>
        <w:left w:val="none" w:sz="0" w:space="0" w:color="auto"/>
        <w:bottom w:val="none" w:sz="0" w:space="0" w:color="auto"/>
        <w:right w:val="none" w:sz="0" w:space="0" w:color="auto"/>
      </w:divBdr>
    </w:div>
    <w:div w:id="391927925">
      <w:bodyDiv w:val="1"/>
      <w:marLeft w:val="0"/>
      <w:marRight w:val="0"/>
      <w:marTop w:val="0"/>
      <w:marBottom w:val="0"/>
      <w:divBdr>
        <w:top w:val="none" w:sz="0" w:space="0" w:color="auto"/>
        <w:left w:val="none" w:sz="0" w:space="0" w:color="auto"/>
        <w:bottom w:val="none" w:sz="0" w:space="0" w:color="auto"/>
        <w:right w:val="none" w:sz="0" w:space="0" w:color="auto"/>
      </w:divBdr>
    </w:div>
    <w:div w:id="473836229">
      <w:bodyDiv w:val="1"/>
      <w:marLeft w:val="0"/>
      <w:marRight w:val="0"/>
      <w:marTop w:val="0"/>
      <w:marBottom w:val="0"/>
      <w:divBdr>
        <w:top w:val="none" w:sz="0" w:space="0" w:color="auto"/>
        <w:left w:val="none" w:sz="0" w:space="0" w:color="auto"/>
        <w:bottom w:val="none" w:sz="0" w:space="0" w:color="auto"/>
        <w:right w:val="none" w:sz="0" w:space="0" w:color="auto"/>
      </w:divBdr>
    </w:div>
    <w:div w:id="488205459">
      <w:bodyDiv w:val="1"/>
      <w:marLeft w:val="0"/>
      <w:marRight w:val="0"/>
      <w:marTop w:val="0"/>
      <w:marBottom w:val="0"/>
      <w:divBdr>
        <w:top w:val="none" w:sz="0" w:space="0" w:color="auto"/>
        <w:left w:val="none" w:sz="0" w:space="0" w:color="auto"/>
        <w:bottom w:val="none" w:sz="0" w:space="0" w:color="auto"/>
        <w:right w:val="none" w:sz="0" w:space="0" w:color="auto"/>
      </w:divBdr>
    </w:div>
    <w:div w:id="652494168">
      <w:bodyDiv w:val="1"/>
      <w:marLeft w:val="0"/>
      <w:marRight w:val="0"/>
      <w:marTop w:val="0"/>
      <w:marBottom w:val="0"/>
      <w:divBdr>
        <w:top w:val="none" w:sz="0" w:space="0" w:color="auto"/>
        <w:left w:val="none" w:sz="0" w:space="0" w:color="auto"/>
        <w:bottom w:val="none" w:sz="0" w:space="0" w:color="auto"/>
        <w:right w:val="none" w:sz="0" w:space="0" w:color="auto"/>
      </w:divBdr>
    </w:div>
    <w:div w:id="877204938">
      <w:bodyDiv w:val="1"/>
      <w:marLeft w:val="0"/>
      <w:marRight w:val="0"/>
      <w:marTop w:val="0"/>
      <w:marBottom w:val="0"/>
      <w:divBdr>
        <w:top w:val="none" w:sz="0" w:space="0" w:color="auto"/>
        <w:left w:val="none" w:sz="0" w:space="0" w:color="auto"/>
        <w:bottom w:val="none" w:sz="0" w:space="0" w:color="auto"/>
        <w:right w:val="none" w:sz="0" w:space="0" w:color="auto"/>
      </w:divBdr>
    </w:div>
    <w:div w:id="905917882">
      <w:bodyDiv w:val="1"/>
      <w:marLeft w:val="0"/>
      <w:marRight w:val="0"/>
      <w:marTop w:val="0"/>
      <w:marBottom w:val="0"/>
      <w:divBdr>
        <w:top w:val="none" w:sz="0" w:space="0" w:color="auto"/>
        <w:left w:val="none" w:sz="0" w:space="0" w:color="auto"/>
        <w:bottom w:val="none" w:sz="0" w:space="0" w:color="auto"/>
        <w:right w:val="none" w:sz="0" w:space="0" w:color="auto"/>
      </w:divBdr>
    </w:div>
    <w:div w:id="974216712">
      <w:bodyDiv w:val="1"/>
      <w:marLeft w:val="0"/>
      <w:marRight w:val="0"/>
      <w:marTop w:val="0"/>
      <w:marBottom w:val="0"/>
      <w:divBdr>
        <w:top w:val="none" w:sz="0" w:space="0" w:color="auto"/>
        <w:left w:val="none" w:sz="0" w:space="0" w:color="auto"/>
        <w:bottom w:val="none" w:sz="0" w:space="0" w:color="auto"/>
        <w:right w:val="none" w:sz="0" w:space="0" w:color="auto"/>
      </w:divBdr>
    </w:div>
    <w:div w:id="984773253">
      <w:bodyDiv w:val="1"/>
      <w:marLeft w:val="0"/>
      <w:marRight w:val="0"/>
      <w:marTop w:val="0"/>
      <w:marBottom w:val="0"/>
      <w:divBdr>
        <w:top w:val="none" w:sz="0" w:space="0" w:color="auto"/>
        <w:left w:val="none" w:sz="0" w:space="0" w:color="auto"/>
        <w:bottom w:val="none" w:sz="0" w:space="0" w:color="auto"/>
        <w:right w:val="none" w:sz="0" w:space="0" w:color="auto"/>
      </w:divBdr>
    </w:div>
    <w:div w:id="986126086">
      <w:bodyDiv w:val="1"/>
      <w:marLeft w:val="0"/>
      <w:marRight w:val="0"/>
      <w:marTop w:val="0"/>
      <w:marBottom w:val="0"/>
      <w:divBdr>
        <w:top w:val="none" w:sz="0" w:space="0" w:color="auto"/>
        <w:left w:val="none" w:sz="0" w:space="0" w:color="auto"/>
        <w:bottom w:val="none" w:sz="0" w:space="0" w:color="auto"/>
        <w:right w:val="none" w:sz="0" w:space="0" w:color="auto"/>
      </w:divBdr>
    </w:div>
    <w:div w:id="994407143">
      <w:bodyDiv w:val="1"/>
      <w:marLeft w:val="0"/>
      <w:marRight w:val="0"/>
      <w:marTop w:val="0"/>
      <w:marBottom w:val="0"/>
      <w:divBdr>
        <w:top w:val="none" w:sz="0" w:space="0" w:color="auto"/>
        <w:left w:val="none" w:sz="0" w:space="0" w:color="auto"/>
        <w:bottom w:val="none" w:sz="0" w:space="0" w:color="auto"/>
        <w:right w:val="none" w:sz="0" w:space="0" w:color="auto"/>
      </w:divBdr>
    </w:div>
    <w:div w:id="1020736669">
      <w:bodyDiv w:val="1"/>
      <w:marLeft w:val="0"/>
      <w:marRight w:val="0"/>
      <w:marTop w:val="0"/>
      <w:marBottom w:val="0"/>
      <w:divBdr>
        <w:top w:val="none" w:sz="0" w:space="0" w:color="auto"/>
        <w:left w:val="none" w:sz="0" w:space="0" w:color="auto"/>
        <w:bottom w:val="none" w:sz="0" w:space="0" w:color="auto"/>
        <w:right w:val="none" w:sz="0" w:space="0" w:color="auto"/>
      </w:divBdr>
    </w:div>
    <w:div w:id="1105343905">
      <w:bodyDiv w:val="1"/>
      <w:marLeft w:val="0"/>
      <w:marRight w:val="0"/>
      <w:marTop w:val="0"/>
      <w:marBottom w:val="0"/>
      <w:divBdr>
        <w:top w:val="none" w:sz="0" w:space="0" w:color="auto"/>
        <w:left w:val="none" w:sz="0" w:space="0" w:color="auto"/>
        <w:bottom w:val="none" w:sz="0" w:space="0" w:color="auto"/>
        <w:right w:val="none" w:sz="0" w:space="0" w:color="auto"/>
      </w:divBdr>
    </w:div>
    <w:div w:id="1111438408">
      <w:bodyDiv w:val="1"/>
      <w:marLeft w:val="0"/>
      <w:marRight w:val="0"/>
      <w:marTop w:val="0"/>
      <w:marBottom w:val="0"/>
      <w:divBdr>
        <w:top w:val="none" w:sz="0" w:space="0" w:color="auto"/>
        <w:left w:val="none" w:sz="0" w:space="0" w:color="auto"/>
        <w:bottom w:val="none" w:sz="0" w:space="0" w:color="auto"/>
        <w:right w:val="none" w:sz="0" w:space="0" w:color="auto"/>
      </w:divBdr>
    </w:div>
    <w:div w:id="1170295967">
      <w:bodyDiv w:val="1"/>
      <w:marLeft w:val="0"/>
      <w:marRight w:val="0"/>
      <w:marTop w:val="0"/>
      <w:marBottom w:val="0"/>
      <w:divBdr>
        <w:top w:val="none" w:sz="0" w:space="0" w:color="auto"/>
        <w:left w:val="none" w:sz="0" w:space="0" w:color="auto"/>
        <w:bottom w:val="none" w:sz="0" w:space="0" w:color="auto"/>
        <w:right w:val="none" w:sz="0" w:space="0" w:color="auto"/>
      </w:divBdr>
    </w:div>
    <w:div w:id="1209607003">
      <w:bodyDiv w:val="1"/>
      <w:marLeft w:val="0"/>
      <w:marRight w:val="0"/>
      <w:marTop w:val="0"/>
      <w:marBottom w:val="0"/>
      <w:divBdr>
        <w:top w:val="none" w:sz="0" w:space="0" w:color="auto"/>
        <w:left w:val="none" w:sz="0" w:space="0" w:color="auto"/>
        <w:bottom w:val="none" w:sz="0" w:space="0" w:color="auto"/>
        <w:right w:val="none" w:sz="0" w:space="0" w:color="auto"/>
      </w:divBdr>
    </w:div>
    <w:div w:id="1245990404">
      <w:bodyDiv w:val="1"/>
      <w:marLeft w:val="0"/>
      <w:marRight w:val="0"/>
      <w:marTop w:val="0"/>
      <w:marBottom w:val="0"/>
      <w:divBdr>
        <w:top w:val="none" w:sz="0" w:space="0" w:color="auto"/>
        <w:left w:val="none" w:sz="0" w:space="0" w:color="auto"/>
        <w:bottom w:val="none" w:sz="0" w:space="0" w:color="auto"/>
        <w:right w:val="none" w:sz="0" w:space="0" w:color="auto"/>
      </w:divBdr>
    </w:div>
    <w:div w:id="1296644334">
      <w:bodyDiv w:val="1"/>
      <w:marLeft w:val="0"/>
      <w:marRight w:val="0"/>
      <w:marTop w:val="0"/>
      <w:marBottom w:val="0"/>
      <w:divBdr>
        <w:top w:val="none" w:sz="0" w:space="0" w:color="auto"/>
        <w:left w:val="none" w:sz="0" w:space="0" w:color="auto"/>
        <w:bottom w:val="none" w:sz="0" w:space="0" w:color="auto"/>
        <w:right w:val="none" w:sz="0" w:space="0" w:color="auto"/>
      </w:divBdr>
    </w:div>
    <w:div w:id="1421440189">
      <w:bodyDiv w:val="1"/>
      <w:marLeft w:val="0"/>
      <w:marRight w:val="0"/>
      <w:marTop w:val="0"/>
      <w:marBottom w:val="0"/>
      <w:divBdr>
        <w:top w:val="none" w:sz="0" w:space="0" w:color="auto"/>
        <w:left w:val="none" w:sz="0" w:space="0" w:color="auto"/>
        <w:bottom w:val="none" w:sz="0" w:space="0" w:color="auto"/>
        <w:right w:val="none" w:sz="0" w:space="0" w:color="auto"/>
      </w:divBdr>
    </w:div>
    <w:div w:id="1589845167">
      <w:bodyDiv w:val="1"/>
      <w:marLeft w:val="0"/>
      <w:marRight w:val="0"/>
      <w:marTop w:val="0"/>
      <w:marBottom w:val="0"/>
      <w:divBdr>
        <w:top w:val="none" w:sz="0" w:space="0" w:color="auto"/>
        <w:left w:val="none" w:sz="0" w:space="0" w:color="auto"/>
        <w:bottom w:val="none" w:sz="0" w:space="0" w:color="auto"/>
        <w:right w:val="none" w:sz="0" w:space="0" w:color="auto"/>
      </w:divBdr>
    </w:div>
    <w:div w:id="1626890425">
      <w:bodyDiv w:val="1"/>
      <w:marLeft w:val="0"/>
      <w:marRight w:val="0"/>
      <w:marTop w:val="0"/>
      <w:marBottom w:val="0"/>
      <w:divBdr>
        <w:top w:val="none" w:sz="0" w:space="0" w:color="auto"/>
        <w:left w:val="none" w:sz="0" w:space="0" w:color="auto"/>
        <w:bottom w:val="none" w:sz="0" w:space="0" w:color="auto"/>
        <w:right w:val="none" w:sz="0" w:space="0" w:color="auto"/>
      </w:divBdr>
    </w:div>
    <w:div w:id="1641963241">
      <w:bodyDiv w:val="1"/>
      <w:marLeft w:val="0"/>
      <w:marRight w:val="0"/>
      <w:marTop w:val="0"/>
      <w:marBottom w:val="0"/>
      <w:divBdr>
        <w:top w:val="none" w:sz="0" w:space="0" w:color="auto"/>
        <w:left w:val="none" w:sz="0" w:space="0" w:color="auto"/>
        <w:bottom w:val="none" w:sz="0" w:space="0" w:color="auto"/>
        <w:right w:val="none" w:sz="0" w:space="0" w:color="auto"/>
      </w:divBdr>
    </w:div>
    <w:div w:id="1676878005">
      <w:bodyDiv w:val="1"/>
      <w:marLeft w:val="0"/>
      <w:marRight w:val="0"/>
      <w:marTop w:val="0"/>
      <w:marBottom w:val="0"/>
      <w:divBdr>
        <w:top w:val="none" w:sz="0" w:space="0" w:color="auto"/>
        <w:left w:val="none" w:sz="0" w:space="0" w:color="auto"/>
        <w:bottom w:val="none" w:sz="0" w:space="0" w:color="auto"/>
        <w:right w:val="none" w:sz="0" w:space="0" w:color="auto"/>
      </w:divBdr>
    </w:div>
    <w:div w:id="1756395981">
      <w:bodyDiv w:val="1"/>
      <w:marLeft w:val="0"/>
      <w:marRight w:val="0"/>
      <w:marTop w:val="0"/>
      <w:marBottom w:val="0"/>
      <w:divBdr>
        <w:top w:val="none" w:sz="0" w:space="0" w:color="auto"/>
        <w:left w:val="none" w:sz="0" w:space="0" w:color="auto"/>
        <w:bottom w:val="none" w:sz="0" w:space="0" w:color="auto"/>
        <w:right w:val="none" w:sz="0" w:space="0" w:color="auto"/>
      </w:divBdr>
    </w:div>
    <w:div w:id="1806239248">
      <w:bodyDiv w:val="1"/>
      <w:marLeft w:val="0"/>
      <w:marRight w:val="0"/>
      <w:marTop w:val="0"/>
      <w:marBottom w:val="0"/>
      <w:divBdr>
        <w:top w:val="none" w:sz="0" w:space="0" w:color="auto"/>
        <w:left w:val="none" w:sz="0" w:space="0" w:color="auto"/>
        <w:bottom w:val="none" w:sz="0" w:space="0" w:color="auto"/>
        <w:right w:val="none" w:sz="0" w:space="0" w:color="auto"/>
      </w:divBdr>
    </w:div>
    <w:div w:id="1812942445">
      <w:bodyDiv w:val="1"/>
      <w:marLeft w:val="0"/>
      <w:marRight w:val="0"/>
      <w:marTop w:val="0"/>
      <w:marBottom w:val="0"/>
      <w:divBdr>
        <w:top w:val="none" w:sz="0" w:space="0" w:color="auto"/>
        <w:left w:val="none" w:sz="0" w:space="0" w:color="auto"/>
        <w:bottom w:val="none" w:sz="0" w:space="0" w:color="auto"/>
        <w:right w:val="none" w:sz="0" w:space="0" w:color="auto"/>
      </w:divBdr>
    </w:div>
    <w:div w:id="1844393883">
      <w:bodyDiv w:val="1"/>
      <w:marLeft w:val="0"/>
      <w:marRight w:val="0"/>
      <w:marTop w:val="0"/>
      <w:marBottom w:val="0"/>
      <w:divBdr>
        <w:top w:val="none" w:sz="0" w:space="0" w:color="auto"/>
        <w:left w:val="none" w:sz="0" w:space="0" w:color="auto"/>
        <w:bottom w:val="none" w:sz="0" w:space="0" w:color="auto"/>
        <w:right w:val="none" w:sz="0" w:space="0" w:color="auto"/>
      </w:divBdr>
    </w:div>
    <w:div w:id="1950162872">
      <w:bodyDiv w:val="1"/>
      <w:marLeft w:val="0"/>
      <w:marRight w:val="0"/>
      <w:marTop w:val="0"/>
      <w:marBottom w:val="0"/>
      <w:divBdr>
        <w:top w:val="none" w:sz="0" w:space="0" w:color="auto"/>
        <w:left w:val="none" w:sz="0" w:space="0" w:color="auto"/>
        <w:bottom w:val="none" w:sz="0" w:space="0" w:color="auto"/>
        <w:right w:val="none" w:sz="0" w:space="0" w:color="auto"/>
      </w:divBdr>
    </w:div>
    <w:div w:id="1971856666">
      <w:bodyDiv w:val="1"/>
      <w:marLeft w:val="0"/>
      <w:marRight w:val="0"/>
      <w:marTop w:val="0"/>
      <w:marBottom w:val="0"/>
      <w:divBdr>
        <w:top w:val="none" w:sz="0" w:space="0" w:color="auto"/>
        <w:left w:val="none" w:sz="0" w:space="0" w:color="auto"/>
        <w:bottom w:val="none" w:sz="0" w:space="0" w:color="auto"/>
        <w:right w:val="none" w:sz="0" w:space="0" w:color="auto"/>
      </w:divBdr>
    </w:div>
    <w:div w:id="1977369596">
      <w:bodyDiv w:val="1"/>
      <w:marLeft w:val="0"/>
      <w:marRight w:val="0"/>
      <w:marTop w:val="0"/>
      <w:marBottom w:val="0"/>
      <w:divBdr>
        <w:top w:val="none" w:sz="0" w:space="0" w:color="auto"/>
        <w:left w:val="none" w:sz="0" w:space="0" w:color="auto"/>
        <w:bottom w:val="none" w:sz="0" w:space="0" w:color="auto"/>
        <w:right w:val="none" w:sz="0" w:space="0" w:color="auto"/>
      </w:divBdr>
    </w:div>
    <w:div w:id="2034380544">
      <w:bodyDiv w:val="1"/>
      <w:marLeft w:val="0"/>
      <w:marRight w:val="0"/>
      <w:marTop w:val="0"/>
      <w:marBottom w:val="0"/>
      <w:divBdr>
        <w:top w:val="none" w:sz="0" w:space="0" w:color="auto"/>
        <w:left w:val="none" w:sz="0" w:space="0" w:color="auto"/>
        <w:bottom w:val="none" w:sz="0" w:space="0" w:color="auto"/>
        <w:right w:val="none" w:sz="0" w:space="0" w:color="auto"/>
      </w:divBdr>
    </w:div>
    <w:div w:id="2098362832">
      <w:bodyDiv w:val="1"/>
      <w:marLeft w:val="0"/>
      <w:marRight w:val="0"/>
      <w:marTop w:val="0"/>
      <w:marBottom w:val="0"/>
      <w:divBdr>
        <w:top w:val="none" w:sz="0" w:space="0" w:color="auto"/>
        <w:left w:val="none" w:sz="0" w:space="0" w:color="auto"/>
        <w:bottom w:val="none" w:sz="0" w:space="0" w:color="auto"/>
        <w:right w:val="none" w:sz="0" w:space="0" w:color="auto"/>
      </w:divBdr>
    </w:div>
    <w:div w:id="21157056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image" Target="media/image7.svg"/><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image" Target="media/image10.svg"/><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image" Target="media/image6.png"/><Relationship Id="rId25" Type="http://schemas.openxmlformats.org/officeDocument/2006/relationships/image" Target="media/image14.svg"/><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image" Target="media/image9.png"/><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13.png"/><Relationship Id="rId32"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image" Target="media/image4.png"/><Relationship Id="rId23" Type="http://schemas.openxmlformats.org/officeDocument/2006/relationships/image" Target="media/image12.svg"/><Relationship Id="rId28"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image" Target="media/image8.png"/><Relationship Id="rId31"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image" Target="media/image11.png"/><Relationship Id="rId27" Type="http://schemas.openxmlformats.org/officeDocument/2006/relationships/header" Target="header2.xml"/><Relationship Id="rId30" Type="http://schemas.openxmlformats.org/officeDocument/2006/relationships/header" Target="header3.xml"/><Relationship Id="rId8" Type="http://schemas.openxmlformats.org/officeDocument/2006/relationships/settings" Target="settings.xml"/></Relationships>
</file>

<file path=word/theme/theme1.xml><?xml version="1.0" encoding="utf-8"?>
<a:theme xmlns:a="http://schemas.openxmlformats.org/drawingml/2006/main" name="CEPOS Theme">
  <a:themeElements>
    <a:clrScheme name="BRIK">
      <a:dk1>
        <a:sysClr val="windowText" lastClr="000000"/>
      </a:dk1>
      <a:lt1>
        <a:sysClr val="window" lastClr="FFFFFF"/>
      </a:lt1>
      <a:dk2>
        <a:srgbClr val="003865"/>
      </a:dk2>
      <a:lt2>
        <a:srgbClr val="FFFFFF"/>
      </a:lt2>
      <a:accent1>
        <a:srgbClr val="003865"/>
      </a:accent1>
      <a:accent2>
        <a:srgbClr val="BCA9A0"/>
      </a:accent2>
      <a:accent3>
        <a:srgbClr val="006341"/>
      </a:accent3>
      <a:accent4>
        <a:srgbClr val="B9B9B3"/>
      </a:accent4>
      <a:accent5>
        <a:srgbClr val="8B8B81"/>
      </a:accent5>
      <a:accent6>
        <a:srgbClr val="D9D9D6"/>
      </a:accent6>
      <a:hlink>
        <a:srgbClr val="BCA9A0"/>
      </a:hlink>
      <a:folHlink>
        <a:srgbClr val="003865"/>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bwMode="auto">
        <a:solidFill>
          <a:schemeClr val="accent1"/>
        </a:solidFill>
        <a:ln w="9525" cap="flat" cmpd="sng" algn="ctr">
          <a:solidFill>
            <a:schemeClr val="tx1"/>
          </a:solidFill>
          <a:prstDash val="solid"/>
          <a:round/>
          <a:headEnd type="none" w="med" len="med"/>
          <a:tailEnd type="none" w="med" len="med"/>
        </a:ln>
        <a:effectLst/>
      </a:spPr>
      <a:bodyPr vert="horz" wrap="square" lIns="91440" tIns="45720" rIns="91440" bIns="45720" numCol="1" rtlCol="0" anchor="t" anchorCtr="0" compatLnSpc="1">
        <a:prstTxWarp prst="textNoShape">
          <a:avLst/>
        </a:prstTxWarp>
      </a:bodyPr>
      <a:lstStyle>
        <a:defPPr marL="0" marR="0" indent="0" algn="l" defTabSz="914400" rtl="0" eaLnBrk="0" fontAlgn="base" latinLnBrk="0" hangingPunct="0">
          <a:lnSpc>
            <a:spcPct val="100000"/>
          </a:lnSpc>
          <a:spcBef>
            <a:spcPct val="0"/>
          </a:spcBef>
          <a:spcAft>
            <a:spcPct val="0"/>
          </a:spcAft>
          <a:buClrTx/>
          <a:buSzTx/>
          <a:buFontTx/>
          <a:buNone/>
          <a:tabLst/>
          <a:defRPr kumimoji="0" sz="2400" b="0" i="0" u="none" strike="noStrike" cap="none" normalizeH="0" baseline="0" dirty="0" smtClean="0">
            <a:ln>
              <a:noFill/>
            </a:ln>
            <a:solidFill>
              <a:schemeClr val="tx1"/>
            </a:solidFill>
            <a:effectLst/>
            <a:latin typeface="Arial" charset="0"/>
            <a:ea typeface="ＭＳ Ｐゴシック" pitchFamily="-128" charset="-128"/>
          </a:defRPr>
        </a:defPPr>
      </a:lstStyle>
    </a:spDef>
    <a:lnDef>
      <a:spPr bwMode="auto">
        <a:xfrm>
          <a:off x="0" y="0"/>
          <a:ext cx="1" cy="1"/>
        </a:xfrm>
        <a:custGeom>
          <a:avLst/>
          <a:gdLst/>
          <a:ahLst/>
          <a:cxnLst/>
          <a:rect l="0" t="0" r="0" b="0"/>
          <a:pathLst/>
        </a:custGeom>
        <a:solidFill>
          <a:schemeClr val="accent1"/>
        </a:solidFill>
        <a:ln w="9525" cap="flat" cmpd="sng" algn="ctr">
          <a:solidFill>
            <a:schemeClr val="tx1"/>
          </a:solidFill>
          <a:prstDash val="solid"/>
          <a:round/>
          <a:headEnd type="none" w="med" len="med"/>
          <a:tailEnd type="none" w="med" len="med"/>
        </a:ln>
        <a:effectLst/>
      </a:spPr>
      <a:bodyPr vert="horz" wrap="square" lIns="91440" tIns="45720" rIns="91440" bIns="45720" numCol="1" anchor="t" anchorCtr="0" compatLnSpc="1">
        <a:prstTxWarp prst="textNoShape">
          <a:avLst/>
        </a:prstTxWarp>
      </a:bodyPr>
      <a:lstStyle>
        <a:defPPr marL="0" marR="0" indent="0" algn="l" defTabSz="914400" rtl="0" eaLnBrk="0" fontAlgn="base" latinLnBrk="0" hangingPunct="0">
          <a:lnSpc>
            <a:spcPct val="100000"/>
          </a:lnSpc>
          <a:spcBef>
            <a:spcPct val="0"/>
          </a:spcBef>
          <a:spcAft>
            <a:spcPct val="0"/>
          </a:spcAft>
          <a:buClrTx/>
          <a:buSzTx/>
          <a:buFontTx/>
          <a:buNone/>
          <a:tabLst/>
          <a:defRPr kumimoji="0" lang="en-US" sz="2400" b="0" i="0" u="none" strike="noStrike" cap="none" normalizeH="0" baseline="30000" smtClean="0">
            <a:ln>
              <a:noFill/>
            </a:ln>
            <a:solidFill>
              <a:schemeClr val="tx1"/>
            </a:solidFill>
            <a:effectLst/>
            <a:latin typeface="Arial" charset="0"/>
            <a:ea typeface="ＭＳ Ｐゴシック" pitchFamily="-128" charset="-128"/>
          </a:defRPr>
        </a:defPPr>
      </a:lstStyle>
    </a:lnDef>
    <a:txDef>
      <a:spPr>
        <a:noFill/>
      </a:spPr>
      <a:bodyPr wrap="square" rtlCol="0">
        <a:spAutoFit/>
      </a:bodyPr>
      <a:lstStyle>
        <a:defPPr>
          <a:defRPr sz="1200" baseline="0" dirty="0">
            <a:latin typeface="+mn-lt"/>
          </a:defRPr>
        </a:defPPr>
      </a:lstStyle>
    </a:txDef>
  </a:objectDefaults>
  <a:extraClrSchemeLst>
    <a:extraClrScheme>
      <a:clrScheme name="Blank Presentation 1">
        <a:dk1>
          <a:srgbClr val="000000"/>
        </a:dk1>
        <a:lt1>
          <a:srgbClr val="FFFFFF"/>
        </a:lt1>
        <a:dk2>
          <a:srgbClr val="000000"/>
        </a:dk2>
        <a:lt2>
          <a:srgbClr val="808080"/>
        </a:lt2>
        <a:accent1>
          <a:srgbClr val="BBE0E3"/>
        </a:accent1>
        <a:accent2>
          <a:srgbClr val="333399"/>
        </a:accent2>
        <a:accent3>
          <a:srgbClr val="FFFFFF"/>
        </a:accent3>
        <a:accent4>
          <a:srgbClr val="000000"/>
        </a:accent4>
        <a:accent5>
          <a:srgbClr val="DAEDEF"/>
        </a:accent5>
        <a:accent6>
          <a:srgbClr val="2D2D8A"/>
        </a:accent6>
        <a:hlink>
          <a:srgbClr val="009999"/>
        </a:hlink>
        <a:folHlink>
          <a:srgbClr val="99CC00"/>
        </a:folHlink>
      </a:clrScheme>
      <a:clrMap bg1="lt1" tx1="dk1" bg2="lt2" tx2="dk2" accent1="accent1" accent2="accent2" accent3="accent3" accent4="accent4" accent5="accent5" accent6="accent6" hlink="hlink" folHlink="folHlink"/>
    </a:extraClrScheme>
    <a:extraClrScheme>
      <a:clrScheme name="Blank Presentation 2">
        <a:dk1>
          <a:srgbClr val="000000"/>
        </a:dk1>
        <a:lt1>
          <a:srgbClr val="FFFFFF"/>
        </a:lt1>
        <a:dk2>
          <a:srgbClr val="000000"/>
        </a:dk2>
        <a:lt2>
          <a:srgbClr val="969696"/>
        </a:lt2>
        <a:accent1>
          <a:srgbClr val="FBDF53"/>
        </a:accent1>
        <a:accent2>
          <a:srgbClr val="FF9966"/>
        </a:accent2>
        <a:accent3>
          <a:srgbClr val="FFFFFF"/>
        </a:accent3>
        <a:accent4>
          <a:srgbClr val="000000"/>
        </a:accent4>
        <a:accent5>
          <a:srgbClr val="FDECB3"/>
        </a:accent5>
        <a:accent6>
          <a:srgbClr val="E78A5C"/>
        </a:accent6>
        <a:hlink>
          <a:srgbClr val="CC3300"/>
        </a:hlink>
        <a:folHlink>
          <a:srgbClr val="996600"/>
        </a:folHlink>
      </a:clrScheme>
      <a:clrMap bg1="lt1" tx1="dk1" bg2="lt2" tx2="dk2" accent1="accent1" accent2="accent2" accent3="accent3" accent4="accent4" accent5="accent5" accent6="accent6" hlink="hlink" folHlink="folHlink"/>
    </a:extraClrScheme>
    <a:extraClrScheme>
      <a:clrScheme name="Blank Presentation 3">
        <a:dk1>
          <a:srgbClr val="000000"/>
        </a:dk1>
        <a:lt1>
          <a:srgbClr val="FFFFFF"/>
        </a:lt1>
        <a:dk2>
          <a:srgbClr val="000000"/>
        </a:dk2>
        <a:lt2>
          <a:srgbClr val="808080"/>
        </a:lt2>
        <a:accent1>
          <a:srgbClr val="99CCFF"/>
        </a:accent1>
        <a:accent2>
          <a:srgbClr val="CCCCFF"/>
        </a:accent2>
        <a:accent3>
          <a:srgbClr val="FFFFFF"/>
        </a:accent3>
        <a:accent4>
          <a:srgbClr val="000000"/>
        </a:accent4>
        <a:accent5>
          <a:srgbClr val="CAE2FF"/>
        </a:accent5>
        <a:accent6>
          <a:srgbClr val="B9B9E7"/>
        </a:accent6>
        <a:hlink>
          <a:srgbClr val="3333CC"/>
        </a:hlink>
        <a:folHlink>
          <a:srgbClr val="AF67FF"/>
        </a:folHlink>
      </a:clrScheme>
      <a:clrMap bg1="lt1" tx1="dk1" bg2="lt2" tx2="dk2" accent1="accent1" accent2="accent2" accent3="accent3" accent4="accent4" accent5="accent5" accent6="accent6" hlink="hlink" folHlink="folHlink"/>
    </a:extraClrScheme>
    <a:extraClrScheme>
      <a:clrScheme name="Blank Presentation 4">
        <a:dk1>
          <a:srgbClr val="000000"/>
        </a:dk1>
        <a:lt1>
          <a:srgbClr val="DEF6F1"/>
        </a:lt1>
        <a:dk2>
          <a:srgbClr val="000000"/>
        </a:dk2>
        <a:lt2>
          <a:srgbClr val="969696"/>
        </a:lt2>
        <a:accent1>
          <a:srgbClr val="FFFFFF"/>
        </a:accent1>
        <a:accent2>
          <a:srgbClr val="8DC6FF"/>
        </a:accent2>
        <a:accent3>
          <a:srgbClr val="ECFAF7"/>
        </a:accent3>
        <a:accent4>
          <a:srgbClr val="000000"/>
        </a:accent4>
        <a:accent5>
          <a:srgbClr val="FFFFFF"/>
        </a:accent5>
        <a:accent6>
          <a:srgbClr val="7FB3E7"/>
        </a:accent6>
        <a:hlink>
          <a:srgbClr val="0066CC"/>
        </a:hlink>
        <a:folHlink>
          <a:srgbClr val="00A800"/>
        </a:folHlink>
      </a:clrScheme>
      <a:clrMap bg1="lt1" tx1="dk1" bg2="lt2" tx2="dk2" accent1="accent1" accent2="accent2" accent3="accent3" accent4="accent4" accent5="accent5" accent6="accent6" hlink="hlink" folHlink="folHlink"/>
    </a:extraClrScheme>
    <a:extraClrScheme>
      <a:clrScheme name="Blank Presentation 5">
        <a:dk1>
          <a:srgbClr val="000000"/>
        </a:dk1>
        <a:lt1>
          <a:srgbClr val="FFFFD9"/>
        </a:lt1>
        <a:dk2>
          <a:srgbClr val="000000"/>
        </a:dk2>
        <a:lt2>
          <a:srgbClr val="777777"/>
        </a:lt2>
        <a:accent1>
          <a:srgbClr val="FFFFF7"/>
        </a:accent1>
        <a:accent2>
          <a:srgbClr val="33CCCC"/>
        </a:accent2>
        <a:accent3>
          <a:srgbClr val="FFFFE9"/>
        </a:accent3>
        <a:accent4>
          <a:srgbClr val="000000"/>
        </a:accent4>
        <a:accent5>
          <a:srgbClr val="FFFFFA"/>
        </a:accent5>
        <a:accent6>
          <a:srgbClr val="2DB9B9"/>
        </a:accent6>
        <a:hlink>
          <a:srgbClr val="FF5050"/>
        </a:hlink>
        <a:folHlink>
          <a:srgbClr val="FF9900"/>
        </a:folHlink>
      </a:clrScheme>
      <a:clrMap bg1="lt1" tx1="dk1" bg2="lt2" tx2="dk2" accent1="accent1" accent2="accent2" accent3="accent3" accent4="accent4" accent5="accent5" accent6="accent6" hlink="hlink" folHlink="folHlink"/>
    </a:extraClrScheme>
    <a:extraClrScheme>
      <a:clrScheme name="Blank Presentation 6">
        <a:dk1>
          <a:srgbClr val="005A58"/>
        </a:dk1>
        <a:lt1>
          <a:srgbClr val="FFFFFF"/>
        </a:lt1>
        <a:dk2>
          <a:srgbClr val="008080"/>
        </a:dk2>
        <a:lt2>
          <a:srgbClr val="FFFF99"/>
        </a:lt2>
        <a:accent1>
          <a:srgbClr val="006462"/>
        </a:accent1>
        <a:accent2>
          <a:srgbClr val="6D6FC7"/>
        </a:accent2>
        <a:accent3>
          <a:srgbClr val="AAC0C0"/>
        </a:accent3>
        <a:accent4>
          <a:srgbClr val="DADADA"/>
        </a:accent4>
        <a:accent5>
          <a:srgbClr val="AAB8B7"/>
        </a:accent5>
        <a:accent6>
          <a:srgbClr val="6264B4"/>
        </a:accent6>
        <a:hlink>
          <a:srgbClr val="00FFFF"/>
        </a:hlink>
        <a:folHlink>
          <a:srgbClr val="00FF00"/>
        </a:folHlink>
      </a:clrScheme>
      <a:clrMap bg1="dk2" tx1="lt1" bg2="dk1" tx2="lt2" accent1="accent1" accent2="accent2" accent3="accent3" accent4="accent4" accent5="accent5" accent6="accent6" hlink="hlink" folHlink="folHlink"/>
    </a:extraClrScheme>
    <a:extraClrScheme>
      <a:clrScheme name="Blank Presentation 7">
        <a:dk1>
          <a:srgbClr val="5C1F00"/>
        </a:dk1>
        <a:lt1>
          <a:srgbClr val="FFFFFF"/>
        </a:lt1>
        <a:dk2>
          <a:srgbClr val="800000"/>
        </a:dk2>
        <a:lt2>
          <a:srgbClr val="DFD293"/>
        </a:lt2>
        <a:accent1>
          <a:srgbClr val="713E39"/>
        </a:accent1>
        <a:accent2>
          <a:srgbClr val="BE7960"/>
        </a:accent2>
        <a:accent3>
          <a:srgbClr val="C0AAAA"/>
        </a:accent3>
        <a:accent4>
          <a:srgbClr val="DADADA"/>
        </a:accent4>
        <a:accent5>
          <a:srgbClr val="BBAFAE"/>
        </a:accent5>
        <a:accent6>
          <a:srgbClr val="AC6D56"/>
        </a:accent6>
        <a:hlink>
          <a:srgbClr val="FFFF99"/>
        </a:hlink>
        <a:folHlink>
          <a:srgbClr val="D3A219"/>
        </a:folHlink>
      </a:clrScheme>
      <a:clrMap bg1="dk2" tx1="lt1" bg2="dk1" tx2="lt2" accent1="accent1" accent2="accent2" accent3="accent3" accent4="accent4" accent5="accent5" accent6="accent6" hlink="hlink" folHlink="folHlink"/>
    </a:extraClrScheme>
    <a:extraClrScheme>
      <a:clrScheme name="Blank Presentation 8">
        <a:dk1>
          <a:srgbClr val="003366"/>
        </a:dk1>
        <a:lt1>
          <a:srgbClr val="FFFFFF"/>
        </a:lt1>
        <a:dk2>
          <a:srgbClr val="000099"/>
        </a:dk2>
        <a:lt2>
          <a:srgbClr val="CCFFFF"/>
        </a:lt2>
        <a:accent1>
          <a:srgbClr val="3366CC"/>
        </a:accent1>
        <a:accent2>
          <a:srgbClr val="00B000"/>
        </a:accent2>
        <a:accent3>
          <a:srgbClr val="AAAACA"/>
        </a:accent3>
        <a:accent4>
          <a:srgbClr val="DADADA"/>
        </a:accent4>
        <a:accent5>
          <a:srgbClr val="ADB8E2"/>
        </a:accent5>
        <a:accent6>
          <a:srgbClr val="009F00"/>
        </a:accent6>
        <a:hlink>
          <a:srgbClr val="66CCFF"/>
        </a:hlink>
        <a:folHlink>
          <a:srgbClr val="FFE701"/>
        </a:folHlink>
      </a:clrScheme>
      <a:clrMap bg1="dk2" tx1="lt1" bg2="dk1" tx2="lt2" accent1="accent1" accent2="accent2" accent3="accent3" accent4="accent4" accent5="accent5" accent6="accent6" hlink="hlink" folHlink="folHlink"/>
    </a:extraClrScheme>
    <a:extraClrScheme>
      <a:clrScheme name="Blank Presentation 9">
        <a:dk1>
          <a:srgbClr val="336699"/>
        </a:dk1>
        <a:lt1>
          <a:srgbClr val="FFFFFF"/>
        </a:lt1>
        <a:dk2>
          <a:srgbClr val="000000"/>
        </a:dk2>
        <a:lt2>
          <a:srgbClr val="E3EBF1"/>
        </a:lt2>
        <a:accent1>
          <a:srgbClr val="003399"/>
        </a:accent1>
        <a:accent2>
          <a:srgbClr val="468A4B"/>
        </a:accent2>
        <a:accent3>
          <a:srgbClr val="AAAAAA"/>
        </a:accent3>
        <a:accent4>
          <a:srgbClr val="DADADA"/>
        </a:accent4>
        <a:accent5>
          <a:srgbClr val="AAADCA"/>
        </a:accent5>
        <a:accent6>
          <a:srgbClr val="3F7D43"/>
        </a:accent6>
        <a:hlink>
          <a:srgbClr val="66CCFF"/>
        </a:hlink>
        <a:folHlink>
          <a:srgbClr val="F0E500"/>
        </a:folHlink>
      </a:clrScheme>
      <a:clrMap bg1="dk2" tx1="lt1" bg2="dk1" tx2="lt2" accent1="accent1" accent2="accent2" accent3="accent3" accent4="accent4" accent5="accent5" accent6="accent6" hlink="hlink" folHlink="folHlink"/>
    </a:extraClrScheme>
    <a:extraClrScheme>
      <a:clrScheme name="Blank Presentation 10">
        <a:dk1>
          <a:srgbClr val="777777"/>
        </a:dk1>
        <a:lt1>
          <a:srgbClr val="FFFFFF"/>
        </a:lt1>
        <a:dk2>
          <a:srgbClr val="686B5D"/>
        </a:dk2>
        <a:lt2>
          <a:srgbClr val="D1D1CB"/>
        </a:lt2>
        <a:accent1>
          <a:srgbClr val="909082"/>
        </a:accent1>
        <a:accent2>
          <a:srgbClr val="809EA8"/>
        </a:accent2>
        <a:accent3>
          <a:srgbClr val="B9BAB6"/>
        </a:accent3>
        <a:accent4>
          <a:srgbClr val="DADADA"/>
        </a:accent4>
        <a:accent5>
          <a:srgbClr val="C6C6C1"/>
        </a:accent5>
        <a:accent6>
          <a:srgbClr val="738F98"/>
        </a:accent6>
        <a:hlink>
          <a:srgbClr val="FFCC66"/>
        </a:hlink>
        <a:folHlink>
          <a:srgbClr val="E9DCB9"/>
        </a:folHlink>
      </a:clrScheme>
      <a:clrMap bg1="dk2" tx1="lt1" bg2="dk1" tx2="lt2" accent1="accent1" accent2="accent2" accent3="accent3" accent4="accent4" accent5="accent5" accent6="accent6" hlink="hlink" folHlink="folHlink"/>
    </a:extraClrScheme>
    <a:extraClrScheme>
      <a:clrScheme name="Blank Presentation 11">
        <a:dk1>
          <a:srgbClr val="3E3E5C"/>
        </a:dk1>
        <a:lt1>
          <a:srgbClr val="FFFFFF"/>
        </a:lt1>
        <a:dk2>
          <a:srgbClr val="666699"/>
        </a:dk2>
        <a:lt2>
          <a:srgbClr val="FFFFFF"/>
        </a:lt2>
        <a:accent1>
          <a:srgbClr val="60597B"/>
        </a:accent1>
        <a:accent2>
          <a:srgbClr val="6666FF"/>
        </a:accent2>
        <a:accent3>
          <a:srgbClr val="B8B8CA"/>
        </a:accent3>
        <a:accent4>
          <a:srgbClr val="DADADA"/>
        </a:accent4>
        <a:accent5>
          <a:srgbClr val="B6B5BF"/>
        </a:accent5>
        <a:accent6>
          <a:srgbClr val="5C5CE7"/>
        </a:accent6>
        <a:hlink>
          <a:srgbClr val="99CCFF"/>
        </a:hlink>
        <a:folHlink>
          <a:srgbClr val="FFFF99"/>
        </a:folHlink>
      </a:clrScheme>
      <a:clrMap bg1="dk2" tx1="lt1" bg2="dk1" tx2="lt2" accent1="accent1" accent2="accent2" accent3="accent3" accent4="accent4" accent5="accent5" accent6="accent6" hlink="hlink" folHlink="folHlink"/>
    </a:extraClrScheme>
    <a:extraClrScheme>
      <a:clrScheme name="Blank Presentation 12">
        <a:dk1>
          <a:srgbClr val="2D2015"/>
        </a:dk1>
        <a:lt1>
          <a:srgbClr val="FFFFFF"/>
        </a:lt1>
        <a:dk2>
          <a:srgbClr val="523E26"/>
        </a:dk2>
        <a:lt2>
          <a:srgbClr val="DFC08D"/>
        </a:lt2>
        <a:accent1>
          <a:srgbClr val="8C7B70"/>
        </a:accent1>
        <a:accent2>
          <a:srgbClr val="8F5F2F"/>
        </a:accent2>
        <a:accent3>
          <a:srgbClr val="B3AFAC"/>
        </a:accent3>
        <a:accent4>
          <a:srgbClr val="DADADA"/>
        </a:accent4>
        <a:accent5>
          <a:srgbClr val="C5BFBB"/>
        </a:accent5>
        <a:accent6>
          <a:srgbClr val="81552A"/>
        </a:accent6>
        <a:hlink>
          <a:srgbClr val="CCB400"/>
        </a:hlink>
        <a:folHlink>
          <a:srgbClr val="8C9EA0"/>
        </a:folHlink>
      </a:clrScheme>
      <a:clrMap bg1="dk2" tx1="lt1" bg2="dk1" tx2="lt2" accent1="accent1" accent2="accent2" accent3="accent3" accent4="accent4" accent5="accent5" accent6="accent6" hlink="hlink" folHlink="folHlink"/>
    </a:extraClrScheme>
  </a:extraClrSchemeLst>
  <a:custClrLst>
    <a:custClr name="Purple">
      <a:srgbClr val="502D59"/>
    </a:custClr>
    <a:custClr name="Mauve">
      <a:srgbClr val="8C3052"/>
    </a:custClr>
    <a:custClr name="Pink">
      <a:srgbClr val="BF2C47"/>
    </a:custClr>
    <a:custClr name="Orange">
      <a:srgbClr val="F2522E"/>
    </a:custClr>
    <a:custClr name="Yellow">
      <a:srgbClr val="F2913D"/>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2021-10-20T00:00:00</PublishDate>
  <Abstract/>
  <CompanyAddress/>
  <CompanyPhone>+45 21 23 79 52</CompanyPhone>
  <CompanyFax/>
  <CompanyEmail>mads@cepos.dk</CompanyEmail>
</CoverPageProperties>
</file>

<file path=customXml/item2.xml><?xml version="1.0" encoding="utf-8"?>
<ct:contentTypeSchema xmlns:ct="http://schemas.microsoft.com/office/2006/metadata/contentType" xmlns:ma="http://schemas.microsoft.com/office/2006/metadata/properties/metaAttributes" ct:_="" ma:_="" ma:contentTypeName="Dokument" ma:contentTypeID="0x0101007E4678A55A8841419609DB9A67A922E3" ma:contentTypeVersion="18" ma:contentTypeDescription="Opret et nyt dokument." ma:contentTypeScope="" ma:versionID="3cbfaed0d0b7661952f7312e8934a27d">
  <xsd:schema xmlns:xsd="http://www.w3.org/2001/XMLSchema" xmlns:xs="http://www.w3.org/2001/XMLSchema" xmlns:p="http://schemas.microsoft.com/office/2006/metadata/properties" xmlns:ns2="b9026cd5-e387-4bc3-80c7-befc6aae2729" xmlns:ns3="2e4014e2-c2ef-4471-9e12-3a6f874bbbc5" targetNamespace="http://schemas.microsoft.com/office/2006/metadata/properties" ma:root="true" ma:fieldsID="50094a8f32a90ac4236848d2f85f5dd0" ns2:_="" ns3:_="">
    <xsd:import namespace="b9026cd5-e387-4bc3-80c7-befc6aae2729"/>
    <xsd:import namespace="2e4014e2-c2ef-4471-9e12-3a6f874bbbc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026cd5-e387-4bc3-80c7-befc6aae272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illedmærker" ma:readOnly="false" ma:fieldId="{5cf76f15-5ced-4ddc-b409-7134ff3c332f}" ma:taxonomyMulti="true" ma:sspId="25f9f937-afeb-4f6c-abd2-ef4b7001b87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e4014e2-c2ef-4471-9e12-3a6f874bbbc5" elementFormDefault="qualified">
    <xsd:import namespace="http://schemas.microsoft.com/office/2006/documentManagement/types"/>
    <xsd:import namespace="http://schemas.microsoft.com/office/infopath/2007/PartnerControls"/>
    <xsd:element name="SharedWithUsers" ma:index="16"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Delt med detaljer" ma:internalName="SharedWithDetails" ma:readOnly="true">
      <xsd:simpleType>
        <xsd:restriction base="dms:Note">
          <xsd:maxLength value="255"/>
        </xsd:restriction>
      </xsd:simpleType>
    </xsd:element>
    <xsd:element name="TaxCatchAll" ma:index="23" nillable="true" ma:displayName="Taxonomy Catch All Column" ma:hidden="true" ma:list="{d44d8776-4e3d-4657-9c59-ced35a33713f}" ma:internalName="TaxCatchAll" ma:showField="CatchAllData" ma:web="2e4014e2-c2ef-4471-9e12-3a6f874bbbc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2e4014e2-c2ef-4471-9e12-3a6f874bbbc5" xsi:nil="true"/>
    <lcf76f155ced4ddcb4097134ff3c332f xmlns="b9026cd5-e387-4bc3-80c7-befc6aae2729">
      <Terms xmlns="http://schemas.microsoft.com/office/infopath/2007/PartnerControls"/>
    </lcf76f155ced4ddcb4097134ff3c332f>
  </documentManagement>
</p:properties>
</file>

<file path=customXml/item5.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9C1BB02-24DB-40E1-B320-17BFB68816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026cd5-e387-4bc3-80c7-befc6aae2729"/>
    <ds:schemaRef ds:uri="2e4014e2-c2ef-4471-9e12-3a6f874bbb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4B03D45-079A-4D23-A6E1-CE24B27288AA}">
  <ds:schemaRefs>
    <ds:schemaRef ds:uri="http://schemas.microsoft.com/sharepoint/v3/contenttype/forms"/>
  </ds:schemaRefs>
</ds:datastoreItem>
</file>

<file path=customXml/itemProps4.xml><?xml version="1.0" encoding="utf-8"?>
<ds:datastoreItem xmlns:ds="http://schemas.openxmlformats.org/officeDocument/2006/customXml" ds:itemID="{35B1764B-0D68-4CD9-908D-F027ACB786C3}">
  <ds:schemaRefs>
    <ds:schemaRef ds:uri="http://schemas.microsoft.com/office/2006/metadata/properties"/>
    <ds:schemaRef ds:uri="http://schemas.microsoft.com/office/infopath/2007/PartnerControls"/>
    <ds:schemaRef ds:uri="2e4014e2-c2ef-4471-9e12-3a6f874bbbc5"/>
    <ds:schemaRef ds:uri="b9026cd5-e387-4bc3-80c7-befc6aae2729"/>
  </ds:schemaRefs>
</ds:datastoreItem>
</file>

<file path=customXml/itemProps5.xml><?xml version="1.0" encoding="utf-8"?>
<ds:datastoreItem xmlns:ds="http://schemas.openxmlformats.org/officeDocument/2006/customXml" ds:itemID="{FB1FC116-D47B-47F9-918B-7D1B9452BF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584</TotalTime>
  <Pages>19</Pages>
  <Words>34959</Words>
  <Characters>213253</Characters>
  <Application>Microsoft Office Word</Application>
  <DocSecurity>0</DocSecurity>
  <Lines>1777</Lines>
  <Paragraphs>495</Paragraphs>
  <ScaleCrop>false</ScaleCrop>
  <HeadingPairs>
    <vt:vector size="2" baseType="variant">
      <vt:variant>
        <vt:lpstr>Title</vt:lpstr>
      </vt:variant>
      <vt:variant>
        <vt:i4>1</vt:i4>
      </vt:variant>
    </vt:vector>
  </HeadingPairs>
  <TitlesOfParts>
    <vt:vector size="1" baseType="lpstr">
      <vt:lpstr>#TITEL</vt:lpstr>
    </vt:vector>
  </TitlesOfParts>
  <Company/>
  <LinksUpToDate>false</LinksUpToDate>
  <CharactersWithSpaces>247717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#TITEL</dc:title>
  <dc:subject/>
  <dc:creator>Jonas Herby | CEPOS |</dc:creator>
  <cp:keywords/>
  <dc:description/>
  <cp:lastModifiedBy>Jonas Herby | CEPOS |</cp:lastModifiedBy>
  <cp:revision>263</cp:revision>
  <cp:lastPrinted>2018-02-01T07:27:00Z</cp:lastPrinted>
  <dcterms:created xsi:type="dcterms:W3CDTF">2023-02-20T14:20:00Z</dcterms:created>
  <dcterms:modified xsi:type="dcterms:W3CDTF">2024-10-09T19:50:00Z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zotero-version="6.0.36"&gt;&lt;session id="tYRqNwo9"/&gt;&lt;style id="http://www.zotero.org/styles/chicago-author-dateCEPOS" locale="en-US" hasBibliography="1" bibliographyStyleHasBeenSet="0"/&gt;&lt;prefs&gt;&lt;pref name="fieldType" value="Field"/&gt;&lt;pref</vt:lpwstr>
  </property>
  <property fmtid="{D5CDD505-2E9C-101B-9397-08002B2CF9AE}" pid="3" name="ZOTERO_PREF_2">
    <vt:lpwstr> name="automaticJournalAbbreviations" value="true"/&gt;&lt;/prefs&gt;&lt;/data&gt;</vt:lpwstr>
  </property>
  <property fmtid="{D5CDD505-2E9C-101B-9397-08002B2CF9AE}" pid="4" name="ContentTypeId">
    <vt:lpwstr>0x0101007E4678A55A8841419609DB9A67A922E3</vt:lpwstr>
  </property>
  <property fmtid="{D5CDD505-2E9C-101B-9397-08002B2CF9AE}" pid="5" name="MediaServiceImageTags">
    <vt:lpwstr/>
  </property>
</Properties>
</file>