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FAB" w:rsidRDefault="00431FAB" w:rsidP="00431FAB">
      <w:pPr>
        <w:pStyle w:val="Prrafodelista"/>
        <w:spacing w:before="120" w:after="0" w:line="480" w:lineRule="auto"/>
        <w:ind w:left="0"/>
        <w:rPr>
          <w:rFonts w:ascii="Times New Roman" w:hAnsi="Times New Roman" w:cs="Times New Roman"/>
          <w:b/>
          <w:bCs/>
        </w:rPr>
      </w:pPr>
      <w:bookmarkStart w:id="0" w:name="OLE_LINK20"/>
      <w:bookmarkStart w:id="1" w:name="_Toc102505162"/>
      <w:r w:rsidRPr="00495F54">
        <w:rPr>
          <w:rFonts w:ascii="Times New Roman" w:hAnsi="Times New Roman" w:cs="Times New Roman"/>
          <w:b/>
          <w:bCs/>
        </w:rPr>
        <w:t xml:space="preserve">Online Resource </w:t>
      </w:r>
    </w:p>
    <w:p w:rsidR="00431FAB" w:rsidRPr="00490FC9" w:rsidRDefault="00431FAB" w:rsidP="00431FAB">
      <w:pPr>
        <w:pStyle w:val="Prrafodelista"/>
        <w:spacing w:before="120" w:after="0" w:line="480" w:lineRule="auto"/>
        <w:ind w:left="0"/>
        <w:jc w:val="center"/>
        <w:rPr>
          <w:rStyle w:val="jlqj4b"/>
          <w:rFonts w:ascii="Times New Roman" w:hAnsi="Times New Roman" w:cs="Times New Roman"/>
          <w:b/>
          <w:noProof/>
          <w:sz w:val="24"/>
          <w:szCs w:val="24"/>
        </w:rPr>
      </w:pPr>
      <w:r w:rsidRPr="00490FC9">
        <w:rPr>
          <w:rStyle w:val="jlqj4b"/>
          <w:rFonts w:ascii="Times New Roman" w:hAnsi="Times New Roman" w:cs="Times New Roman"/>
          <w:b/>
          <w:i/>
          <w:noProof/>
          <w:sz w:val="24"/>
          <w:szCs w:val="24"/>
        </w:rPr>
        <w:t xml:space="preserve">In vitro </w:t>
      </w:r>
      <w:r w:rsidRPr="00490FC9">
        <w:rPr>
          <w:rStyle w:val="jlqj4b"/>
          <w:rFonts w:ascii="Times New Roman" w:hAnsi="Times New Roman" w:cs="Times New Roman"/>
          <w:b/>
          <w:noProof/>
          <w:sz w:val="24"/>
          <w:szCs w:val="24"/>
        </w:rPr>
        <w:t>screening and lipid-lowering effect of prickly pear (</w:t>
      </w:r>
      <w:r w:rsidRPr="00490FC9">
        <w:rPr>
          <w:rStyle w:val="jlqj4b"/>
          <w:rFonts w:ascii="Times New Roman" w:hAnsi="Times New Roman" w:cs="Times New Roman"/>
          <w:b/>
          <w:i/>
          <w:noProof/>
          <w:sz w:val="24"/>
          <w:szCs w:val="24"/>
        </w:rPr>
        <w:t>Opuntia ficus-indica L. Mill.</w:t>
      </w:r>
      <w:r w:rsidRPr="00490FC9">
        <w:rPr>
          <w:rStyle w:val="jlqj4b"/>
          <w:rFonts w:ascii="Times New Roman" w:hAnsi="Times New Roman" w:cs="Times New Roman"/>
          <w:b/>
          <w:noProof/>
          <w:sz w:val="24"/>
          <w:szCs w:val="24"/>
        </w:rPr>
        <w:t>) fruit extracts in 3T3-L1 pre-adipocytes and mature adipocytes</w:t>
      </w:r>
    </w:p>
    <w:p w:rsidR="00431FAB" w:rsidRPr="006D46C8" w:rsidRDefault="00431FAB" w:rsidP="006D46C8">
      <w:pPr>
        <w:pStyle w:val="Textoindependiente"/>
        <w:kinsoku w:val="0"/>
        <w:overflowPunct w:val="0"/>
        <w:spacing w:before="120" w:after="240" w:line="480" w:lineRule="auto"/>
        <w:ind w:left="0"/>
        <w:jc w:val="left"/>
        <w:rPr>
          <w:sz w:val="24"/>
          <w:szCs w:val="24"/>
          <w:vertAlign w:val="superscript"/>
        </w:rPr>
      </w:pPr>
      <w:r w:rsidRPr="006D46C8">
        <w:rPr>
          <w:sz w:val="24"/>
          <w:szCs w:val="24"/>
        </w:rPr>
        <w:t xml:space="preserve">Itziar Eseberri </w:t>
      </w:r>
      <w:r w:rsidRPr="006D46C8">
        <w:rPr>
          <w:sz w:val="24"/>
          <w:szCs w:val="24"/>
          <w:vertAlign w:val="superscript"/>
        </w:rPr>
        <w:t>1,2,3*</w:t>
      </w:r>
      <w:r w:rsidRPr="006D46C8">
        <w:rPr>
          <w:sz w:val="24"/>
          <w:szCs w:val="24"/>
        </w:rPr>
        <w:t>, Andrea Gómez-Maqueo</w:t>
      </w:r>
      <w:r w:rsidRPr="006D46C8">
        <w:rPr>
          <w:sz w:val="24"/>
          <w:szCs w:val="24"/>
          <w:vertAlign w:val="superscript"/>
        </w:rPr>
        <w:t>4</w:t>
      </w:r>
      <w:r w:rsidRPr="006D46C8">
        <w:rPr>
          <w:sz w:val="24"/>
          <w:szCs w:val="24"/>
        </w:rPr>
        <w:t>, Jenifer Trepiana</w:t>
      </w:r>
      <w:r w:rsidRPr="006D46C8">
        <w:rPr>
          <w:sz w:val="24"/>
          <w:szCs w:val="24"/>
          <w:vertAlign w:val="superscript"/>
        </w:rPr>
        <w:t>1,2,3</w:t>
      </w:r>
      <w:r w:rsidRPr="006D46C8">
        <w:rPr>
          <w:sz w:val="24"/>
          <w:szCs w:val="24"/>
        </w:rPr>
        <w:t>, Iván Gómez-López</w:t>
      </w:r>
      <w:r w:rsidRPr="006D46C8">
        <w:rPr>
          <w:sz w:val="24"/>
          <w:szCs w:val="24"/>
          <w:vertAlign w:val="superscript"/>
        </w:rPr>
        <w:t>1,3,4</w:t>
      </w:r>
      <w:r w:rsidRPr="006D46C8">
        <w:rPr>
          <w:sz w:val="24"/>
          <w:szCs w:val="24"/>
        </w:rPr>
        <w:t xml:space="preserve">, </w:t>
      </w:r>
      <w:r w:rsidRPr="006D46C8">
        <w:rPr>
          <w:color w:val="000000" w:themeColor="text1"/>
          <w:sz w:val="24"/>
          <w:szCs w:val="24"/>
          <w:lang w:val="es-ES"/>
        </w:rPr>
        <w:t>Carina Proença</w:t>
      </w:r>
      <w:r w:rsidRPr="006D46C8">
        <w:rPr>
          <w:color w:val="000000" w:themeColor="text1"/>
          <w:sz w:val="24"/>
          <w:szCs w:val="24"/>
          <w:vertAlign w:val="superscript"/>
          <w:lang w:val="es-ES"/>
        </w:rPr>
        <w:t>5</w:t>
      </w:r>
      <w:r w:rsidRPr="006D46C8">
        <w:rPr>
          <w:sz w:val="24"/>
          <w:szCs w:val="24"/>
        </w:rPr>
        <w:t>, M. Pilar Cano</w:t>
      </w:r>
      <w:r w:rsidRPr="006D46C8">
        <w:rPr>
          <w:sz w:val="24"/>
          <w:szCs w:val="24"/>
          <w:vertAlign w:val="superscript"/>
        </w:rPr>
        <w:t>4</w:t>
      </w:r>
      <w:r w:rsidRPr="006D46C8">
        <w:rPr>
          <w:sz w:val="24"/>
          <w:szCs w:val="24"/>
        </w:rPr>
        <w:t>, Maria P. Portillo</w:t>
      </w:r>
      <w:r w:rsidRPr="006D46C8">
        <w:rPr>
          <w:sz w:val="24"/>
          <w:szCs w:val="24"/>
          <w:vertAlign w:val="superscript"/>
        </w:rPr>
        <w:t>1,2,3</w:t>
      </w:r>
    </w:p>
    <w:p w:rsidR="00431FAB" w:rsidRPr="006D46C8" w:rsidRDefault="00431FAB" w:rsidP="00431FAB">
      <w:pPr>
        <w:pStyle w:val="Textoindependiente"/>
        <w:kinsoku w:val="0"/>
        <w:overflowPunct w:val="0"/>
        <w:spacing w:line="480" w:lineRule="auto"/>
        <w:ind w:left="0"/>
        <w:jc w:val="left"/>
        <w:rPr>
          <w:noProof/>
        </w:rPr>
      </w:pPr>
      <w:r w:rsidRPr="006D46C8">
        <w:rPr>
          <w:noProof/>
          <w:vertAlign w:val="superscript"/>
        </w:rPr>
        <w:t xml:space="preserve">1 </w:t>
      </w:r>
      <w:r w:rsidRPr="006D46C8">
        <w:rPr>
          <w:noProof/>
          <w:lang w:val="en-US"/>
        </w:rPr>
        <w:t xml:space="preserve">Nutrition and Obesity Group. </w:t>
      </w:r>
      <w:r w:rsidRPr="006D46C8">
        <w:rPr>
          <w:noProof/>
          <w:lang w:val="en-GB"/>
        </w:rPr>
        <w:t xml:space="preserve">Department Nutrition and Food Science, University of the Basque Country (UPV/EHU) and Lucio Lascaray Research Institute, Vitoria, Spain. </w:t>
      </w:r>
    </w:p>
    <w:p w:rsidR="00431FAB" w:rsidRPr="006D46C8" w:rsidRDefault="00431FAB" w:rsidP="00431FAB">
      <w:pPr>
        <w:pStyle w:val="Prrafodelista"/>
        <w:spacing w:before="120" w:after="0" w:line="480" w:lineRule="auto"/>
        <w:ind w:left="0" w:right="-1"/>
        <w:rPr>
          <w:rFonts w:ascii="Times New Roman" w:hAnsi="Times New Roman" w:cs="Times New Roman"/>
          <w:noProof/>
        </w:rPr>
      </w:pPr>
      <w:r w:rsidRPr="006D46C8">
        <w:rPr>
          <w:rFonts w:ascii="Times New Roman" w:hAnsi="Times New Roman" w:cs="Times New Roman"/>
          <w:noProof/>
          <w:vertAlign w:val="superscript"/>
        </w:rPr>
        <w:t>2</w:t>
      </w:r>
      <w:r w:rsidRPr="006D46C8">
        <w:rPr>
          <w:rFonts w:ascii="Times New Roman" w:hAnsi="Times New Roman" w:cs="Times New Roman"/>
          <w:noProof/>
        </w:rPr>
        <w:t xml:space="preserve">Bioaraba Health Research Institute, Vitoria, Spain. </w:t>
      </w:r>
    </w:p>
    <w:p w:rsidR="00431FAB" w:rsidRPr="006D46C8" w:rsidRDefault="00431FAB" w:rsidP="00431FAB">
      <w:pPr>
        <w:pStyle w:val="Prrafodelista"/>
        <w:spacing w:after="0" w:line="480" w:lineRule="auto"/>
        <w:ind w:left="0"/>
        <w:contextualSpacing w:val="0"/>
        <w:rPr>
          <w:rStyle w:val="jlqj4b"/>
          <w:rFonts w:ascii="Times New Roman" w:hAnsi="Times New Roman" w:cs="Times New Roman"/>
          <w:b/>
          <w:noProof/>
        </w:rPr>
      </w:pPr>
      <w:r w:rsidRPr="006D46C8">
        <w:rPr>
          <w:rFonts w:ascii="Times New Roman" w:hAnsi="Times New Roman" w:cs="Times New Roman"/>
          <w:noProof/>
          <w:vertAlign w:val="superscript"/>
        </w:rPr>
        <w:t xml:space="preserve">3 </w:t>
      </w:r>
      <w:r w:rsidRPr="006D46C8">
        <w:rPr>
          <w:rFonts w:ascii="Times New Roman" w:hAnsi="Times New Roman" w:cs="Times New Roman"/>
          <w:noProof/>
        </w:rPr>
        <w:t xml:space="preserve">CIBERobn Physiopathology of Obesity and Nutrition, Institute of Health Carlos III, Madrid, Spain. </w:t>
      </w:r>
    </w:p>
    <w:p w:rsidR="00431FAB" w:rsidRPr="006D46C8" w:rsidRDefault="00431FAB" w:rsidP="00431FAB">
      <w:pPr>
        <w:pStyle w:val="Default"/>
        <w:spacing w:line="480" w:lineRule="auto"/>
        <w:rPr>
          <w:noProof/>
          <w:sz w:val="22"/>
          <w:szCs w:val="22"/>
          <w:lang w:val="en-GB"/>
        </w:rPr>
      </w:pPr>
      <w:r w:rsidRPr="006D46C8">
        <w:rPr>
          <w:noProof/>
          <w:sz w:val="22"/>
          <w:szCs w:val="22"/>
          <w:vertAlign w:val="superscript"/>
          <w:lang w:val="en-GB"/>
        </w:rPr>
        <w:t xml:space="preserve">4 </w:t>
      </w:r>
      <w:r w:rsidRPr="006D46C8">
        <w:rPr>
          <w:noProof/>
          <w:sz w:val="22"/>
          <w:szCs w:val="22"/>
          <w:lang w:val="en-GB"/>
        </w:rPr>
        <w:t xml:space="preserve">Department of Biotechnology and Microbiology of Food, Institute of Food Science Research (CIAL, CSIC-UAM), Nicolás Cabrera 9, 28049, Madrid, Spain. </w:t>
      </w:r>
    </w:p>
    <w:p w:rsidR="00431FAB" w:rsidRPr="009D0E44" w:rsidRDefault="00431FAB" w:rsidP="00431FAB">
      <w:pPr>
        <w:pStyle w:val="Default"/>
        <w:spacing w:line="480" w:lineRule="auto"/>
        <w:rPr>
          <w:noProof/>
          <w:sz w:val="22"/>
          <w:szCs w:val="22"/>
          <w:lang w:val="en-GB"/>
        </w:rPr>
      </w:pPr>
      <w:r w:rsidRPr="006D46C8">
        <w:rPr>
          <w:color w:val="000000" w:themeColor="text1"/>
          <w:sz w:val="22"/>
          <w:szCs w:val="22"/>
          <w:vertAlign w:val="superscript"/>
          <w:lang w:val="en-GB"/>
        </w:rPr>
        <w:t xml:space="preserve">5 </w:t>
      </w:r>
      <w:r w:rsidRPr="006D46C8">
        <w:rPr>
          <w:noProof/>
          <w:sz w:val="22"/>
          <w:szCs w:val="22"/>
          <w:lang w:val="en-GB"/>
        </w:rPr>
        <w:t xml:space="preserve">LAQV, REQUIMTE, Laboratory of Applied Chemistry, Department of Chemical Sciences, Faculty of Pharmacy, University of Porto, Porto, Portugal. </w:t>
      </w:r>
    </w:p>
    <w:p w:rsidR="00431FAB" w:rsidRPr="006D46C8" w:rsidRDefault="00431FAB" w:rsidP="00431FAB">
      <w:pPr>
        <w:suppressLineNumbers/>
        <w:spacing w:after="120" w:line="480" w:lineRule="auto"/>
        <w:jc w:val="both"/>
        <w:rPr>
          <w:rFonts w:ascii="Times New Roman" w:hAnsi="Times New Roman" w:cs="Times New Roman"/>
          <w:b/>
          <w:noProof/>
          <w:lang w:val="es-ES"/>
        </w:rPr>
      </w:pPr>
      <w:r w:rsidRPr="006D46C8">
        <w:rPr>
          <w:rFonts w:ascii="Times New Roman" w:hAnsi="Times New Roman" w:cs="Times New Roman"/>
          <w:b/>
          <w:noProof/>
          <w:lang w:val="es-ES"/>
        </w:rPr>
        <w:t xml:space="preserve">Correspondence: </w:t>
      </w:r>
      <w:r w:rsidRPr="006D46C8">
        <w:rPr>
          <w:rFonts w:ascii="Times New Roman" w:hAnsi="Times New Roman" w:cs="Times New Roman"/>
          <w:noProof/>
          <w:lang w:val="es-ES"/>
        </w:rPr>
        <w:t xml:space="preserve">Itziar Eseberri. E-mail: itziar.eseberri@ehu.eus </w:t>
      </w:r>
    </w:p>
    <w:p w:rsidR="003A5C10" w:rsidRPr="006D46C8" w:rsidRDefault="003A5C10" w:rsidP="00554812">
      <w:pPr>
        <w:autoSpaceDE w:val="0"/>
        <w:autoSpaceDN w:val="0"/>
        <w:adjustRightInd w:val="0"/>
        <w:spacing w:line="480" w:lineRule="auto"/>
        <w:jc w:val="both"/>
        <w:rPr>
          <w:rFonts w:asciiTheme="majorBidi" w:hAnsiTheme="majorBidi" w:cstheme="majorBidi"/>
          <w:b/>
          <w:bCs/>
          <w:color w:val="FF0000"/>
          <w:lang w:val="es-ES"/>
        </w:rPr>
      </w:pPr>
    </w:p>
    <w:bookmarkEnd w:id="0"/>
    <w:bookmarkEnd w:id="1"/>
    <w:p w:rsidR="006D46C8" w:rsidRPr="009D0E44" w:rsidRDefault="006D46C8">
      <w:pPr>
        <w:rPr>
          <w:rFonts w:ascii="Times New Roman" w:hAnsi="Times New Roman" w:cs="Times New Roman"/>
          <w:b/>
          <w:noProof/>
          <w:sz w:val="24"/>
          <w:szCs w:val="24"/>
          <w:lang w:val="es-ES"/>
        </w:rPr>
      </w:pPr>
      <w:r w:rsidRPr="009D0E44">
        <w:rPr>
          <w:rFonts w:ascii="Times New Roman" w:hAnsi="Times New Roman" w:cs="Times New Roman"/>
          <w:b/>
          <w:noProof/>
          <w:sz w:val="24"/>
          <w:szCs w:val="24"/>
          <w:lang w:val="es-ES"/>
        </w:rPr>
        <w:br w:type="page"/>
      </w:r>
    </w:p>
    <w:p w:rsidR="00304B41" w:rsidRPr="00304B41" w:rsidRDefault="00304B41" w:rsidP="00304B41">
      <w:pPr>
        <w:widowControl w:val="0"/>
        <w:tabs>
          <w:tab w:val="left" w:pos="1042"/>
        </w:tabs>
        <w:kinsoku w:val="0"/>
        <w:overflowPunct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304B41">
        <w:rPr>
          <w:rFonts w:ascii="Times New Roman" w:hAnsi="Times New Roman" w:cs="Times New Roman"/>
          <w:b/>
          <w:noProof/>
          <w:sz w:val="24"/>
          <w:szCs w:val="24"/>
        </w:rPr>
        <w:lastRenderedPageBreak/>
        <w:t>Material and methods</w:t>
      </w:r>
    </w:p>
    <w:p w:rsidR="00304B41" w:rsidRPr="00490FC9" w:rsidRDefault="00304B41" w:rsidP="00304B41">
      <w:pPr>
        <w:widowControl w:val="0"/>
        <w:tabs>
          <w:tab w:val="left" w:pos="1042"/>
        </w:tabs>
        <w:kinsoku w:val="0"/>
        <w:overflowPunct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i/>
          <w:noProof/>
          <w:sz w:val="24"/>
          <w:szCs w:val="24"/>
        </w:rPr>
      </w:pPr>
      <w:r w:rsidRPr="00490FC9">
        <w:rPr>
          <w:rFonts w:ascii="Times New Roman" w:hAnsi="Times New Roman" w:cs="Times New Roman"/>
          <w:b/>
          <w:i/>
          <w:noProof/>
          <w:sz w:val="24"/>
          <w:szCs w:val="24"/>
        </w:rPr>
        <w:t>Prickly pear fruits and extracts</w:t>
      </w:r>
    </w:p>
    <w:p w:rsidR="00304B41" w:rsidRPr="00490FC9" w:rsidRDefault="00304B41" w:rsidP="00304B41">
      <w:pPr>
        <w:pStyle w:val="Textoindependiente"/>
        <w:kinsoku w:val="0"/>
        <w:overflowPunct w:val="0"/>
        <w:spacing w:line="480" w:lineRule="auto"/>
        <w:ind w:left="0" w:firstLine="567"/>
        <w:rPr>
          <w:noProof/>
          <w:sz w:val="24"/>
          <w:szCs w:val="24"/>
          <w:lang w:val="en-GB"/>
        </w:rPr>
      </w:pPr>
      <w:r w:rsidRPr="00490FC9">
        <w:rPr>
          <w:noProof/>
          <w:sz w:val="24"/>
          <w:szCs w:val="24"/>
          <w:lang w:val="en-GB"/>
        </w:rPr>
        <w:t xml:space="preserve">The prickly pear fruits </w:t>
      </w:r>
      <w:r w:rsidR="002D1973">
        <w:rPr>
          <w:noProof/>
          <w:sz w:val="24"/>
          <w:szCs w:val="24"/>
          <w:lang w:val="en-GB"/>
        </w:rPr>
        <w:t>used in this study were obtained</w:t>
      </w:r>
      <w:r w:rsidRPr="00490FC9">
        <w:rPr>
          <w:noProof/>
          <w:sz w:val="24"/>
          <w:szCs w:val="24"/>
          <w:lang w:val="en-GB"/>
        </w:rPr>
        <w:t xml:space="preserve"> from Mexican and Spanish </w:t>
      </w:r>
      <w:r w:rsidRPr="00490FC9">
        <w:rPr>
          <w:i/>
          <w:iCs/>
          <w:noProof/>
          <w:sz w:val="24"/>
          <w:szCs w:val="24"/>
          <w:lang w:val="en-GB"/>
        </w:rPr>
        <w:t xml:space="preserve">Opuntia ficus-indica </w:t>
      </w:r>
      <w:r w:rsidRPr="00490FC9">
        <w:rPr>
          <w:noProof/>
          <w:sz w:val="24"/>
          <w:szCs w:val="24"/>
          <w:lang w:val="en-GB"/>
        </w:rPr>
        <w:t>(L.) Mill. varieties. Spanish Orange Colorada prickly pear fruits were provided by Fasnia (Tenerife, Canary Islands, Spain; 28°2’N, 16°4’W; 446 m over sea level), Spanish red Sanguinos prickly pear fruits were purchased from Bioarchen in Archen (Murcia, Spain; 38°7’N, 1°18’W; 121 m over sea level) and p</w:t>
      </w:r>
      <w:r w:rsidRPr="00490FC9">
        <w:rPr>
          <w:noProof/>
          <w:sz w:val="24"/>
          <w:szCs w:val="24"/>
          <w:lang w:val="en-US"/>
        </w:rPr>
        <w:t xml:space="preserve">urple Mexican Pelota prickly pear fruits were donated by Agroproductores La Flor de Villanueva in San Sebastián Villanueva Acatzingo (Puebla, Mexico; 19°1’N, 97°4’W; 2150 m over sea level). </w:t>
      </w:r>
      <w:r w:rsidRPr="00490FC9">
        <w:rPr>
          <w:noProof/>
          <w:sz w:val="24"/>
          <w:szCs w:val="24"/>
          <w:lang w:val="en-GB"/>
        </w:rPr>
        <w:t>Fruits were washed and selected according to uniform maturity, size</w:t>
      </w:r>
      <w:r w:rsidR="000D1D4E">
        <w:rPr>
          <w:noProof/>
          <w:sz w:val="24"/>
          <w:szCs w:val="24"/>
          <w:lang w:val="en-GB"/>
        </w:rPr>
        <w:t>,</w:t>
      </w:r>
      <w:r w:rsidRPr="00490FC9">
        <w:rPr>
          <w:noProof/>
          <w:sz w:val="24"/>
          <w:szCs w:val="24"/>
          <w:lang w:val="en-GB"/>
        </w:rPr>
        <w:t xml:space="preserve"> and no defects and then separated into peels and pulps. Tissues were cut into small pieces (20 x 20 mm), vacuum-sealed in polyethylene bags</w:t>
      </w:r>
      <w:r w:rsidR="002F223D">
        <w:rPr>
          <w:noProof/>
          <w:sz w:val="24"/>
          <w:szCs w:val="24"/>
          <w:lang w:val="en-GB"/>
        </w:rPr>
        <w:t>,</w:t>
      </w:r>
      <w:r w:rsidRPr="00490FC9">
        <w:rPr>
          <w:noProof/>
          <w:sz w:val="24"/>
          <w:szCs w:val="24"/>
          <w:lang w:val="en-GB"/>
        </w:rPr>
        <w:t xml:space="preserve"> and frozen with liquid nitrogen. Samples were freeze-dried for 5 days at -45°C and 1.3 x 10-3 MPa (LyoBeta 15, Azbil Telstar, S.L., Terrasa, Spain), pulverized (Grindomix GM200, Retsch, Germany) to a fine particle size (&lt; 2 mm) and seeds were removed. Aqueous prickly pear extracts were obtained from freeze-dried tissues by extracting with methanol:water (1:1, v:v) several times and methanol to obtain the extracts rich in betalains and phenolic compounds </w:t>
      </w:r>
      <w:r w:rsidR="00F0630A" w:rsidRPr="00A2655A">
        <w:rPr>
          <w:noProof/>
          <w:sz w:val="24"/>
          <w:szCs w:val="24"/>
          <w:lang w:val="en-GB"/>
        </w:rPr>
        <w:fldChar w:fldCharType="begin"/>
      </w:r>
      <w:r w:rsidR="00554812" w:rsidRPr="00A2655A">
        <w:rPr>
          <w:noProof/>
          <w:sz w:val="24"/>
          <w:szCs w:val="24"/>
          <w:lang w:val="en-GB"/>
        </w:rPr>
        <w:instrText>ADDIN RW.CITE{{1483 Gomez-Maqueo,Andrea 2020}}</w:instrText>
      </w:r>
      <w:r w:rsidR="00F0630A" w:rsidRPr="00A2655A">
        <w:rPr>
          <w:noProof/>
          <w:sz w:val="24"/>
          <w:szCs w:val="24"/>
          <w:lang w:val="en-GB"/>
        </w:rPr>
        <w:fldChar w:fldCharType="separate"/>
      </w:r>
      <w:r w:rsidR="00A2655A" w:rsidRPr="00A2655A">
        <w:rPr>
          <w:bCs/>
          <w:noProof/>
          <w:sz w:val="24"/>
          <w:szCs w:val="24"/>
          <w:lang w:val="en-US"/>
        </w:rPr>
        <w:t>[1]</w:t>
      </w:r>
      <w:r w:rsidR="00F0630A" w:rsidRPr="00A2655A">
        <w:rPr>
          <w:noProof/>
          <w:sz w:val="24"/>
          <w:szCs w:val="24"/>
          <w:lang w:val="en-GB"/>
        </w:rPr>
        <w:fldChar w:fldCharType="end"/>
      </w:r>
      <w:r w:rsidRPr="00490FC9">
        <w:rPr>
          <w:noProof/>
          <w:sz w:val="24"/>
          <w:szCs w:val="24"/>
          <w:lang w:val="en-GB"/>
        </w:rPr>
        <w:t>. Aliquots of each extract were freeze-dried and stored at - 20°C until their use for HPLC ana</w:t>
      </w:r>
      <w:r w:rsidR="00D370B9">
        <w:rPr>
          <w:noProof/>
          <w:sz w:val="24"/>
          <w:szCs w:val="24"/>
          <w:lang w:val="en-GB"/>
        </w:rPr>
        <w:t>l</w:t>
      </w:r>
      <w:r w:rsidRPr="00490FC9">
        <w:rPr>
          <w:noProof/>
          <w:sz w:val="24"/>
          <w:szCs w:val="24"/>
          <w:lang w:val="en-GB"/>
        </w:rPr>
        <w:t>ysis and cellular experiments with 3T3-L1 maturing pre-adipocytes and mature adipocytes.</w:t>
      </w:r>
    </w:p>
    <w:p w:rsidR="00304B41" w:rsidRPr="00490FC9" w:rsidRDefault="00304B41" w:rsidP="00304B41">
      <w:pPr>
        <w:widowControl w:val="0"/>
        <w:kinsoku w:val="0"/>
        <w:overflowPunct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i/>
          <w:noProof/>
          <w:sz w:val="24"/>
          <w:szCs w:val="24"/>
        </w:rPr>
      </w:pPr>
      <w:r w:rsidRPr="00490FC9">
        <w:rPr>
          <w:rFonts w:ascii="Times New Roman" w:hAnsi="Times New Roman" w:cs="Times New Roman"/>
          <w:b/>
          <w:i/>
          <w:noProof/>
          <w:sz w:val="24"/>
          <w:szCs w:val="24"/>
        </w:rPr>
        <w:t xml:space="preserve">Bioactive </w:t>
      </w:r>
      <w:r w:rsidR="009D0E44">
        <w:rPr>
          <w:rFonts w:ascii="Times New Roman" w:hAnsi="Times New Roman" w:cs="Times New Roman"/>
          <w:b/>
          <w:i/>
          <w:noProof/>
          <w:sz w:val="24"/>
          <w:szCs w:val="24"/>
        </w:rPr>
        <w:t>compound quantification by high-</w:t>
      </w:r>
      <w:r w:rsidRPr="00490FC9">
        <w:rPr>
          <w:rFonts w:ascii="Times New Roman" w:hAnsi="Times New Roman" w:cs="Times New Roman"/>
          <w:b/>
          <w:i/>
          <w:noProof/>
          <w:sz w:val="24"/>
          <w:szCs w:val="24"/>
        </w:rPr>
        <w:t>performance liquid chromatography</w:t>
      </w:r>
    </w:p>
    <w:p w:rsidR="00192770" w:rsidRPr="00192770" w:rsidRDefault="00304B41" w:rsidP="0002498E">
      <w:pPr>
        <w:pStyle w:val="Textoindependiente"/>
        <w:kinsoku w:val="0"/>
        <w:overflowPunct w:val="0"/>
        <w:spacing w:line="480" w:lineRule="auto"/>
        <w:ind w:left="0" w:firstLine="567"/>
        <w:rPr>
          <w:noProof/>
          <w:color w:val="000000" w:themeColor="text1"/>
          <w:sz w:val="24"/>
          <w:szCs w:val="24"/>
          <w:lang w:val="en-GB"/>
        </w:rPr>
      </w:pPr>
      <w:r w:rsidRPr="00490FC9">
        <w:rPr>
          <w:noProof/>
          <w:sz w:val="24"/>
          <w:szCs w:val="24"/>
          <w:lang w:val="en-GB"/>
        </w:rPr>
        <w:t xml:space="preserve">The </w:t>
      </w:r>
      <w:r w:rsidR="001B4F68">
        <w:rPr>
          <w:noProof/>
          <w:sz w:val="24"/>
          <w:szCs w:val="24"/>
          <w:lang w:val="en-GB"/>
        </w:rPr>
        <w:t>identific</w:t>
      </w:r>
      <w:r w:rsidRPr="00490FC9">
        <w:rPr>
          <w:noProof/>
          <w:sz w:val="24"/>
          <w:szCs w:val="24"/>
          <w:lang w:val="en-GB"/>
        </w:rPr>
        <w:t>ation of betalains and phenolic compounds in prickly pear fruit</w:t>
      </w:r>
      <w:r w:rsidR="009D0E44">
        <w:rPr>
          <w:noProof/>
          <w:sz w:val="24"/>
          <w:szCs w:val="24"/>
          <w:lang w:val="en-GB"/>
        </w:rPr>
        <w:t xml:space="preserve"> extracts was performed by high-</w:t>
      </w:r>
      <w:r w:rsidRPr="00490FC9">
        <w:rPr>
          <w:noProof/>
          <w:sz w:val="24"/>
          <w:szCs w:val="24"/>
          <w:lang w:val="en-GB"/>
        </w:rPr>
        <w:t>performance liquid chr</w:t>
      </w:r>
      <w:r w:rsidR="001B4F68">
        <w:rPr>
          <w:noProof/>
          <w:sz w:val="24"/>
          <w:szCs w:val="24"/>
          <w:lang w:val="en-GB"/>
        </w:rPr>
        <w:t>omatography</w:t>
      </w:r>
      <w:r w:rsidRPr="00490FC9">
        <w:rPr>
          <w:noProof/>
          <w:sz w:val="24"/>
          <w:szCs w:val="24"/>
          <w:lang w:val="en-GB"/>
        </w:rPr>
        <w:t xml:space="preserve"> </w:t>
      </w:r>
      <w:r w:rsidR="001B4F68">
        <w:rPr>
          <w:noProof/>
          <w:sz w:val="24"/>
          <w:szCs w:val="24"/>
          <w:lang w:val="en-GB"/>
        </w:rPr>
        <w:t>using</w:t>
      </w:r>
      <w:r w:rsidRPr="00490FC9">
        <w:rPr>
          <w:noProof/>
          <w:sz w:val="24"/>
          <w:szCs w:val="24"/>
          <w:lang w:val="en-GB"/>
        </w:rPr>
        <w:t xml:space="preserve"> </w:t>
      </w:r>
      <w:r w:rsidR="001B4F68">
        <w:rPr>
          <w:noProof/>
          <w:sz w:val="24"/>
          <w:szCs w:val="24"/>
          <w:lang w:val="en-GB"/>
        </w:rPr>
        <w:t>a</w:t>
      </w:r>
      <w:r w:rsidRPr="00490FC9">
        <w:rPr>
          <w:noProof/>
          <w:sz w:val="24"/>
          <w:szCs w:val="24"/>
          <w:lang w:val="en-GB"/>
        </w:rPr>
        <w:t xml:space="preserve"> 1200 Series Agilent HPLC System (Agilent Technologies, Santa Clara, CA, USA) with a reverse-phase C18 column (Zorbax SB-C18, 250 x 4.6 mm i.d., S-5 µm; Agilent) at</w:t>
      </w:r>
      <w:r w:rsidRPr="00490FC9">
        <w:rPr>
          <w:noProof/>
          <w:spacing w:val="-1"/>
          <w:sz w:val="24"/>
          <w:szCs w:val="24"/>
          <w:lang w:val="en-GB"/>
        </w:rPr>
        <w:t xml:space="preserve"> </w:t>
      </w:r>
      <w:r w:rsidRPr="00490FC9">
        <w:rPr>
          <w:noProof/>
          <w:sz w:val="24"/>
          <w:szCs w:val="24"/>
          <w:lang w:val="en-GB"/>
        </w:rPr>
        <w:lastRenderedPageBreak/>
        <w:t>25°C</w:t>
      </w:r>
      <w:r w:rsidR="0098422D">
        <w:rPr>
          <w:noProof/>
          <w:sz w:val="24"/>
          <w:szCs w:val="24"/>
          <w:lang w:val="en-GB"/>
        </w:rPr>
        <w:t xml:space="preserve"> </w:t>
      </w:r>
      <w:r w:rsidR="00F0630A" w:rsidRPr="00490FC9">
        <w:rPr>
          <w:noProof/>
          <w:sz w:val="24"/>
          <w:szCs w:val="24"/>
          <w:lang w:val="en-GB"/>
        </w:rPr>
        <w:fldChar w:fldCharType="begin"/>
      </w:r>
      <w:r w:rsidR="0098422D" w:rsidRPr="00490FC9">
        <w:rPr>
          <w:noProof/>
          <w:sz w:val="24"/>
          <w:szCs w:val="24"/>
          <w:lang w:val="en-GB"/>
        </w:rPr>
        <w:instrText>ADDIN RW.CITE{{1481 García-Cayuela,Tomás 2019; 1483 Gomez-Maqueo,Andrea 2020}}</w:instrText>
      </w:r>
      <w:r w:rsidR="00F0630A" w:rsidRPr="00490FC9">
        <w:rPr>
          <w:noProof/>
          <w:sz w:val="24"/>
          <w:szCs w:val="24"/>
          <w:lang w:val="en-GB"/>
        </w:rPr>
        <w:fldChar w:fldCharType="separate"/>
      </w:r>
      <w:r w:rsidR="0098422D" w:rsidRPr="00A2655A">
        <w:rPr>
          <w:bCs/>
          <w:noProof/>
          <w:sz w:val="24"/>
          <w:szCs w:val="24"/>
          <w:lang w:val="en-US"/>
        </w:rPr>
        <w:t>[1,2]</w:t>
      </w:r>
      <w:r w:rsidR="00F0630A" w:rsidRPr="00490FC9">
        <w:rPr>
          <w:noProof/>
          <w:sz w:val="24"/>
          <w:szCs w:val="24"/>
          <w:lang w:val="en-GB"/>
        </w:rPr>
        <w:fldChar w:fldCharType="end"/>
      </w:r>
      <w:r w:rsidRPr="00490FC9">
        <w:rPr>
          <w:noProof/>
          <w:sz w:val="24"/>
          <w:szCs w:val="24"/>
          <w:lang w:val="en-GB"/>
        </w:rPr>
        <w:t xml:space="preserve">. </w:t>
      </w:r>
      <w:r w:rsidR="0098422D">
        <w:rPr>
          <w:noProof/>
          <w:sz w:val="24"/>
          <w:szCs w:val="24"/>
          <w:lang w:val="en-GB"/>
        </w:rPr>
        <w:t>The determination of each compound</w:t>
      </w:r>
      <w:r w:rsidRPr="00490FC9">
        <w:rPr>
          <w:noProof/>
          <w:sz w:val="24"/>
          <w:szCs w:val="24"/>
          <w:lang w:val="en-GB"/>
        </w:rPr>
        <w:t xml:space="preserve"> w</w:t>
      </w:r>
      <w:r w:rsidR="0098422D">
        <w:rPr>
          <w:noProof/>
          <w:sz w:val="24"/>
          <w:szCs w:val="24"/>
          <w:lang w:val="en-GB"/>
        </w:rPr>
        <w:t xml:space="preserve">as given </w:t>
      </w:r>
      <w:r w:rsidRPr="00490FC9">
        <w:rPr>
          <w:noProof/>
          <w:sz w:val="24"/>
          <w:szCs w:val="24"/>
          <w:lang w:val="en-GB"/>
        </w:rPr>
        <w:t xml:space="preserve">according to their retention times, </w:t>
      </w:r>
      <w:r w:rsidR="0098422D">
        <w:rPr>
          <w:noProof/>
          <w:sz w:val="24"/>
          <w:szCs w:val="24"/>
          <w:lang w:val="en-GB"/>
        </w:rPr>
        <w:t>comparing U</w:t>
      </w:r>
      <w:r w:rsidRPr="00490FC9">
        <w:rPr>
          <w:noProof/>
          <w:sz w:val="24"/>
          <w:szCs w:val="24"/>
          <w:lang w:val="en-GB"/>
        </w:rPr>
        <w:t xml:space="preserve">V/Vis and mass spectral data to those of </w:t>
      </w:r>
      <w:r w:rsidR="0098422D" w:rsidRPr="00490FC9">
        <w:rPr>
          <w:noProof/>
          <w:sz w:val="24"/>
          <w:szCs w:val="24"/>
          <w:lang w:val="en-GB"/>
        </w:rPr>
        <w:t>purified</w:t>
      </w:r>
      <w:r w:rsidR="0098422D">
        <w:rPr>
          <w:noProof/>
          <w:sz w:val="24"/>
          <w:szCs w:val="24"/>
          <w:lang w:val="en-GB"/>
        </w:rPr>
        <w:t xml:space="preserve">, </w:t>
      </w:r>
      <w:r w:rsidRPr="00490FC9">
        <w:rPr>
          <w:noProof/>
          <w:sz w:val="24"/>
          <w:szCs w:val="24"/>
          <w:lang w:val="en-GB"/>
        </w:rPr>
        <w:t xml:space="preserve">semi-synthesized or </w:t>
      </w:r>
      <w:r w:rsidR="0098422D" w:rsidRPr="00490FC9">
        <w:rPr>
          <w:noProof/>
          <w:sz w:val="24"/>
          <w:szCs w:val="24"/>
          <w:lang w:val="en-GB"/>
        </w:rPr>
        <w:t xml:space="preserve">commercial </w:t>
      </w:r>
      <w:r w:rsidRPr="00490FC9">
        <w:rPr>
          <w:noProof/>
          <w:sz w:val="24"/>
          <w:szCs w:val="24"/>
          <w:lang w:val="en-GB"/>
        </w:rPr>
        <w:t xml:space="preserve">standards. </w:t>
      </w:r>
      <w:r w:rsidR="0098422D">
        <w:rPr>
          <w:noProof/>
          <w:sz w:val="24"/>
          <w:szCs w:val="24"/>
          <w:lang w:val="en-GB"/>
        </w:rPr>
        <w:t>Specifically, quantification</w:t>
      </w:r>
      <w:r w:rsidRPr="00490FC9">
        <w:rPr>
          <w:noProof/>
          <w:sz w:val="24"/>
          <w:szCs w:val="24"/>
          <w:lang w:val="en-GB"/>
        </w:rPr>
        <w:t xml:space="preserve"> of </w:t>
      </w:r>
      <w:r w:rsidR="0098422D" w:rsidRPr="00490FC9">
        <w:rPr>
          <w:noProof/>
          <w:sz w:val="24"/>
          <w:szCs w:val="24"/>
          <w:lang w:val="en-GB"/>
        </w:rPr>
        <w:t>indicaxanthin</w:t>
      </w:r>
      <w:r w:rsidR="0098422D">
        <w:rPr>
          <w:noProof/>
          <w:sz w:val="24"/>
          <w:szCs w:val="24"/>
          <w:lang w:val="en-GB"/>
        </w:rPr>
        <w:t>,</w:t>
      </w:r>
      <w:r w:rsidR="0098422D" w:rsidRPr="00490FC9">
        <w:rPr>
          <w:noProof/>
          <w:sz w:val="24"/>
          <w:szCs w:val="24"/>
          <w:lang w:val="en-GB"/>
        </w:rPr>
        <w:t xml:space="preserve"> </w:t>
      </w:r>
      <w:r w:rsidRPr="00490FC9">
        <w:rPr>
          <w:noProof/>
          <w:sz w:val="24"/>
          <w:szCs w:val="24"/>
          <w:lang w:val="en-GB"/>
        </w:rPr>
        <w:t xml:space="preserve">betanin, piscidic acid, and isorhamnetin glycosides was carried out </w:t>
      </w:r>
      <w:r w:rsidR="0098422D">
        <w:rPr>
          <w:noProof/>
          <w:sz w:val="24"/>
          <w:szCs w:val="24"/>
          <w:lang w:val="en-GB"/>
        </w:rPr>
        <w:t>with</w:t>
      </w:r>
      <w:r w:rsidRPr="00490FC9">
        <w:rPr>
          <w:noProof/>
          <w:sz w:val="24"/>
          <w:szCs w:val="24"/>
          <w:lang w:val="en-GB"/>
        </w:rPr>
        <w:t xml:space="preserve"> </w:t>
      </w:r>
      <w:r w:rsidR="0098422D">
        <w:rPr>
          <w:noProof/>
          <w:sz w:val="24"/>
          <w:szCs w:val="24"/>
          <w:lang w:val="en-GB"/>
        </w:rPr>
        <w:t xml:space="preserve">the </w:t>
      </w:r>
      <w:r w:rsidRPr="00490FC9">
        <w:rPr>
          <w:noProof/>
          <w:sz w:val="24"/>
          <w:szCs w:val="24"/>
          <w:lang w:val="en-GB"/>
        </w:rPr>
        <w:t xml:space="preserve">calibration curves of the corresponding isolated and semi-synthetized standards, </w:t>
      </w:r>
      <w:r w:rsidR="0098422D">
        <w:rPr>
          <w:noProof/>
          <w:sz w:val="24"/>
          <w:szCs w:val="24"/>
          <w:lang w:val="en-GB"/>
        </w:rPr>
        <w:t>by</w:t>
      </w:r>
      <w:r w:rsidRPr="00490FC9">
        <w:rPr>
          <w:noProof/>
          <w:sz w:val="24"/>
          <w:szCs w:val="24"/>
          <w:lang w:val="en-GB"/>
        </w:rPr>
        <w:t xml:space="preserve"> calibration cu</w:t>
      </w:r>
      <w:r w:rsidR="0098422D">
        <w:rPr>
          <w:noProof/>
          <w:sz w:val="24"/>
          <w:szCs w:val="24"/>
          <w:lang w:val="en-GB"/>
        </w:rPr>
        <w:t>rves for each of the standards (</w:t>
      </w:r>
      <w:r w:rsidRPr="00490FC9">
        <w:rPr>
          <w:noProof/>
          <w:sz w:val="24"/>
          <w:szCs w:val="24"/>
          <w:lang w:val="en-GB"/>
        </w:rPr>
        <w:t>five points in a range of 0-300 µg/mL</w:t>
      </w:r>
      <w:r w:rsidR="0098422D">
        <w:rPr>
          <w:noProof/>
          <w:sz w:val="24"/>
          <w:szCs w:val="24"/>
          <w:lang w:val="en-GB"/>
        </w:rPr>
        <w:t>)</w:t>
      </w:r>
      <w:r w:rsidRPr="00490FC9">
        <w:rPr>
          <w:noProof/>
          <w:sz w:val="24"/>
          <w:szCs w:val="24"/>
          <w:lang w:val="en-GB"/>
        </w:rPr>
        <w:t xml:space="preserve">. </w:t>
      </w:r>
      <w:r w:rsidR="00C56564">
        <w:rPr>
          <w:noProof/>
          <w:sz w:val="24"/>
          <w:szCs w:val="24"/>
          <w:lang w:val="en-GB"/>
        </w:rPr>
        <w:t xml:space="preserve">The compound amount is expressed as </w:t>
      </w:r>
      <w:r w:rsidR="00C56564" w:rsidRPr="00490FC9">
        <w:rPr>
          <w:noProof/>
          <w:sz w:val="24"/>
          <w:szCs w:val="24"/>
          <w:lang w:val="en-GB"/>
        </w:rPr>
        <w:t>µg/g dry weight</w:t>
      </w:r>
      <w:r w:rsidR="00C56564">
        <w:rPr>
          <w:noProof/>
          <w:sz w:val="24"/>
          <w:szCs w:val="24"/>
          <w:lang w:val="en-GB"/>
        </w:rPr>
        <w:t xml:space="preserve">. </w:t>
      </w:r>
      <w:r w:rsidR="00747FCD" w:rsidRPr="00E22ABC">
        <w:rPr>
          <w:noProof/>
          <w:color w:val="FF0000"/>
          <w:sz w:val="24"/>
          <w:szCs w:val="24"/>
          <w:lang w:val="en-GB"/>
        </w:rPr>
        <w:t xml:space="preserve">The obtained </w:t>
      </w:r>
      <w:r w:rsidR="00024B41" w:rsidRPr="00E22ABC">
        <w:rPr>
          <w:noProof/>
          <w:color w:val="FF0000"/>
          <w:sz w:val="24"/>
          <w:szCs w:val="24"/>
          <w:lang w:val="en-GB"/>
        </w:rPr>
        <w:t>chro</w:t>
      </w:r>
      <w:r w:rsidR="00E22ABC">
        <w:rPr>
          <w:noProof/>
          <w:color w:val="FF0000"/>
          <w:sz w:val="24"/>
          <w:szCs w:val="24"/>
          <w:lang w:val="en-GB"/>
        </w:rPr>
        <w:t>m</w:t>
      </w:r>
      <w:r w:rsidR="00024B41" w:rsidRPr="00E22ABC">
        <w:rPr>
          <w:noProof/>
          <w:color w:val="FF0000"/>
          <w:sz w:val="24"/>
          <w:szCs w:val="24"/>
          <w:lang w:val="en-GB"/>
        </w:rPr>
        <w:t xml:space="preserve">atograms are included in the following figure </w:t>
      </w:r>
      <w:r w:rsidR="00024B41" w:rsidRPr="00E22ABC">
        <w:rPr>
          <w:color w:val="FF0000"/>
          <w:sz w:val="24"/>
          <w:szCs w:val="24"/>
          <w:lang w:val="en-GB"/>
        </w:rPr>
        <w:t xml:space="preserve">(Online </w:t>
      </w:r>
      <w:r w:rsidR="003F7B1C" w:rsidRPr="00E22ABC">
        <w:rPr>
          <w:color w:val="FF0000"/>
          <w:sz w:val="24"/>
          <w:szCs w:val="24"/>
          <w:lang w:val="en-GB"/>
        </w:rPr>
        <w:t>Resource-Figure 1)</w:t>
      </w:r>
      <w:r w:rsidR="003F7B1C" w:rsidRPr="00E22ABC">
        <w:rPr>
          <w:noProof/>
          <w:color w:val="FF0000"/>
          <w:sz w:val="24"/>
          <w:szCs w:val="24"/>
          <w:lang w:val="en-GB"/>
        </w:rPr>
        <w:t>.</w:t>
      </w:r>
    </w:p>
    <w:p w:rsidR="00192770" w:rsidRDefault="000D7279" w:rsidP="00D76A13">
      <w:pPr>
        <w:pStyle w:val="Textoindependiente"/>
        <w:kinsoku w:val="0"/>
        <w:overflowPunct w:val="0"/>
        <w:spacing w:line="480" w:lineRule="auto"/>
        <w:ind w:left="0"/>
        <w:jc w:val="center"/>
        <w:rPr>
          <w:noProof/>
          <w:color w:val="000000" w:themeColor="text1"/>
          <w:sz w:val="24"/>
          <w:szCs w:val="24"/>
          <w:lang w:val="en-GB"/>
        </w:rPr>
      </w:pPr>
      <w:r>
        <w:rPr>
          <w:noProof/>
          <w:sz w:val="24"/>
          <w:szCs w:val="24"/>
          <w:lang w:val="es-ES"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6" type="#_x0000_t202" style="position:absolute;left:0;text-align:left;margin-left:21pt;margin-top:223.9pt;width:22.45pt;height:20.15pt;z-index:251659264;visibility:visible;mso-wrap-distance-top:3.6pt;mso-wrap-distance-bottom:3.6pt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" filled="f" stroked="f">
            <v:textbox>
              <w:txbxContent>
                <w:p w:rsidR="005D0117" w:rsidRPr="005D0117" w:rsidRDefault="005D0117">
                  <w:pPr>
                    <w:rPr>
                      <w:lang w:val="es-ES"/>
                    </w:rPr>
                  </w:pPr>
                  <w:r>
                    <w:t>A</w:t>
                  </w:r>
                </w:p>
              </w:txbxContent>
            </v:textbox>
            <w10:wrap anchorx="margin" anchory="margin"/>
          </v:shape>
        </w:pict>
      </w:r>
      <w:r w:rsidR="003F7B1C" w:rsidRPr="00274EBC">
        <w:rPr>
          <w:b/>
          <w:noProof/>
          <w:color w:val="000000" w:themeColor="text1"/>
          <w:sz w:val="24"/>
          <w:szCs w:val="24"/>
          <w:lang w:val="es-ES" w:eastAsia="es-ES"/>
        </w:rPr>
        <w:drawing>
          <wp:inline distT="0" distB="0" distL="0" distR="0">
            <wp:extent cx="4359275" cy="2260396"/>
            <wp:effectExtent l="0" t="0" r="3175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42" r="1266" b="2962"/>
                    <a:stretch/>
                  </pic:blipFill>
                  <pic:spPr bwMode="auto">
                    <a:xfrm>
                      <a:off x="0" y="0"/>
                      <a:ext cx="4362782" cy="22622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7B1C" w:rsidRPr="00553DAD" w:rsidRDefault="000D7279" w:rsidP="00D76A13">
      <w:pPr>
        <w:pStyle w:val="Prrafodelista"/>
        <w:spacing w:line="480" w:lineRule="auto"/>
        <w:ind w:left="0"/>
        <w:jc w:val="center"/>
        <w:rPr>
          <w:rFonts w:ascii="Times New Roman" w:eastAsiaTheme="minorEastAsia" w:hAnsi="Times New Roman" w:cs="Times New Roman"/>
          <w:noProof/>
          <w:color w:val="000000" w:themeColor="text1"/>
          <w:sz w:val="24"/>
          <w:szCs w:val="24"/>
          <w:lang w:eastAsia="eu-ES"/>
        </w:rPr>
      </w:pPr>
      <w:r>
        <w:rPr>
          <w:noProof/>
          <w:sz w:val="24"/>
          <w:szCs w:val="24"/>
          <w:lang w:val="es-ES" w:eastAsia="es-ES"/>
        </w:rPr>
        <w:pict>
          <v:shape id="_x0000_s1027" type="#_x0000_t202" style="position:absolute;left:0;text-align:left;margin-left:21pt;margin-top:415.3pt;width:22.45pt;height:20.15pt;z-index:251661312;visibility:visible;mso-wrap-distance-top:3.6pt;mso-wrap-distance-bottom:3.6pt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" filled="f" stroked="f">
            <v:textbox>
              <w:txbxContent>
                <w:p w:rsidR="005D0117" w:rsidRPr="005D0117" w:rsidRDefault="005D0117" w:rsidP="005D0117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B</w:t>
                  </w:r>
                </w:p>
              </w:txbxContent>
            </v:textbox>
            <w10:wrap anchorx="margin" anchory="margin"/>
          </v:shape>
        </w:pict>
      </w:r>
      <w:r w:rsidR="003F7B1C" w:rsidRPr="00553DAD">
        <w:rPr>
          <w:rFonts w:ascii="Times New Roman" w:eastAsiaTheme="minorEastAsia" w:hAnsi="Times New Roman" w:cs="Times New Roman"/>
          <w:noProof/>
          <w:color w:val="000000" w:themeColor="text1"/>
          <w:sz w:val="24"/>
          <w:szCs w:val="24"/>
          <w:lang w:val="es-ES" w:eastAsia="es-ES"/>
        </w:rPr>
        <w:drawing>
          <wp:inline distT="0" distB="0" distL="0" distR="0">
            <wp:extent cx="4356921" cy="2260397"/>
            <wp:effectExtent l="0" t="0" r="5715" b="698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/>
                    <a:srcRect l="-1" t="10995" r="350" b="3235"/>
                    <a:stretch/>
                  </pic:blipFill>
                  <pic:spPr bwMode="auto">
                    <a:xfrm>
                      <a:off x="0" y="0"/>
                      <a:ext cx="4368274" cy="22662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92DC2" w:rsidRDefault="000D7279" w:rsidP="00D76A13">
      <w:pPr>
        <w:pStyle w:val="Prrafodelista"/>
        <w:spacing w:line="480" w:lineRule="auto"/>
        <w:ind w:left="0"/>
        <w:jc w:val="center"/>
      </w:pPr>
      <w:r>
        <w:rPr>
          <w:noProof/>
          <w:sz w:val="24"/>
          <w:szCs w:val="24"/>
          <w:lang w:val="es-ES" w:eastAsia="es-ES"/>
        </w:rPr>
        <w:lastRenderedPageBreak/>
        <w:pict>
          <v:shape id="_x0000_s1029" type="#_x0000_t202" style="position:absolute;left:0;text-align:left;margin-left:20.25pt;margin-top:1.75pt;width:22.45pt;height:20.15pt;z-index:251663360;visibility:visible;mso-wrap-distance-top:3.6pt;mso-wrap-distance-bottom:3.6pt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" filled="f" stroked="f">
            <v:textbox>
              <w:txbxContent>
                <w:p w:rsidR="005D0117" w:rsidRPr="005D0117" w:rsidRDefault="005D0117" w:rsidP="005D0117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C</w:t>
                  </w:r>
                </w:p>
              </w:txbxContent>
            </v:textbox>
            <w10:wrap anchorx="margin" anchory="margin"/>
          </v:shape>
        </w:pict>
      </w:r>
      <w:r w:rsidR="00B92DC2" w:rsidRPr="00553DAD">
        <w:rPr>
          <w:noProof/>
          <w:lang w:val="es-ES" w:eastAsia="es-ES"/>
        </w:rPr>
        <w:drawing>
          <wp:inline distT="0" distB="0" distL="0" distR="0">
            <wp:extent cx="4363143" cy="22680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/>
                    <a:srcRect t="7108" b="2183"/>
                    <a:stretch/>
                  </pic:blipFill>
                  <pic:spPr bwMode="auto">
                    <a:xfrm>
                      <a:off x="0" y="0"/>
                      <a:ext cx="4363143" cy="22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92DC2" w:rsidRDefault="000D7279" w:rsidP="00D76A13">
      <w:pPr>
        <w:pStyle w:val="Prrafodelista"/>
        <w:spacing w:after="0" w:line="480" w:lineRule="auto"/>
        <w:ind w:left="0"/>
        <w:contextualSpacing w:val="0"/>
        <w:jc w:val="center"/>
      </w:pPr>
      <w:r>
        <w:rPr>
          <w:noProof/>
          <w:sz w:val="24"/>
          <w:szCs w:val="24"/>
          <w:lang w:val="es-ES" w:eastAsia="es-ES"/>
        </w:rPr>
        <w:pict>
          <v:shape id="_x0000_s1028" type="#_x0000_t202" style="position:absolute;left:0;text-align:left;margin-left:17.25pt;margin-top:195.25pt;width:22.45pt;height:20.15pt;z-index:251665408;visibility:visible;mso-wrap-distance-top:3.6pt;mso-wrap-distance-bottom:3.6pt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" filled="f" stroked="f">
            <v:textbox>
              <w:txbxContent>
                <w:p w:rsidR="005D0117" w:rsidRPr="005D0117" w:rsidRDefault="005D0117" w:rsidP="005D0117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D</w:t>
                  </w:r>
                </w:p>
              </w:txbxContent>
            </v:textbox>
            <w10:wrap anchorx="margin" anchory="margin"/>
          </v:shape>
        </w:pict>
      </w:r>
      <w:r w:rsidR="00B92DC2" w:rsidRPr="00553DAD">
        <w:rPr>
          <w:noProof/>
          <w:lang w:val="es-ES" w:eastAsia="es-ES"/>
        </w:rPr>
        <w:drawing>
          <wp:inline distT="0" distB="0" distL="0" distR="0">
            <wp:extent cx="4377104" cy="2340000"/>
            <wp:effectExtent l="0" t="0" r="4445" b="317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/>
                    <a:srcRect t="8784"/>
                    <a:stretch/>
                  </pic:blipFill>
                  <pic:spPr bwMode="auto">
                    <a:xfrm>
                      <a:off x="0" y="0"/>
                      <a:ext cx="4377104" cy="23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3E33" w:rsidRPr="00B53E33" w:rsidRDefault="000D7279" w:rsidP="00D76A13">
      <w:pPr>
        <w:pStyle w:val="Textoindependiente"/>
        <w:kinsoku w:val="0"/>
        <w:overflowPunct w:val="0"/>
        <w:ind w:left="0"/>
        <w:jc w:val="center"/>
        <w:rPr>
          <w:b/>
          <w:color w:val="000000" w:themeColor="text1"/>
          <w:sz w:val="24"/>
          <w:szCs w:val="24"/>
          <w:lang w:val="en-GB"/>
        </w:rPr>
      </w:pPr>
      <w:r>
        <w:rPr>
          <w:noProof/>
          <w:sz w:val="24"/>
          <w:szCs w:val="24"/>
          <w:lang w:val="es-ES" w:eastAsia="es-ES"/>
        </w:rPr>
        <w:pict>
          <v:shape id="_x0000_s1030" type="#_x0000_t202" style="position:absolute;left:0;text-align:left;margin-left:17.25pt;margin-top:392.85pt;width:22.45pt;height:20.15pt;z-index:251667456;visibility:visible;mso-wrap-distance-top:3.6pt;mso-wrap-distance-bottom:3.6pt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" filled="f" stroked="f">
            <v:textbox>
              <w:txbxContent>
                <w:p w:rsidR="005D0117" w:rsidRPr="005D0117" w:rsidRDefault="005D0117" w:rsidP="005D0117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E</w:t>
                  </w:r>
                </w:p>
              </w:txbxContent>
            </v:textbox>
            <w10:wrap anchorx="margin" anchory="margin"/>
          </v:shape>
        </w:pict>
      </w:r>
      <w:r w:rsidR="00B53E33" w:rsidRPr="00553DAD">
        <w:rPr>
          <w:noProof/>
          <w:color w:val="000000" w:themeColor="text1"/>
          <w:sz w:val="24"/>
          <w:szCs w:val="24"/>
          <w:lang w:val="es-ES" w:eastAsia="es-ES"/>
        </w:rPr>
        <w:drawing>
          <wp:inline distT="0" distB="0" distL="0" distR="0">
            <wp:extent cx="4377055" cy="2338516"/>
            <wp:effectExtent l="0" t="0" r="4445" b="508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/>
                    <a:srcRect t="13735"/>
                    <a:stretch/>
                  </pic:blipFill>
                  <pic:spPr bwMode="auto">
                    <a:xfrm>
                      <a:off x="0" y="0"/>
                      <a:ext cx="4377055" cy="23385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2C05" w:rsidRDefault="000D7279" w:rsidP="00D76A13">
      <w:pPr>
        <w:pStyle w:val="Textoindependiente"/>
        <w:kinsoku w:val="0"/>
        <w:overflowPunct w:val="0"/>
        <w:ind w:left="0"/>
        <w:jc w:val="center"/>
        <w:rPr>
          <w:b/>
          <w:color w:val="000000" w:themeColor="text1"/>
          <w:sz w:val="24"/>
          <w:szCs w:val="24"/>
          <w:lang w:val="en-GB"/>
        </w:rPr>
      </w:pPr>
      <w:r>
        <w:rPr>
          <w:noProof/>
          <w:sz w:val="24"/>
          <w:szCs w:val="24"/>
          <w:lang w:val="es-ES" w:eastAsia="es-ES"/>
        </w:rPr>
        <w:lastRenderedPageBreak/>
        <w:pict>
          <v:shape id="_x0000_s1031" type="#_x0000_t202" style="position:absolute;left:0;text-align:left;margin-left:19.75pt;margin-top:2.9pt;width:22.45pt;height:20.15pt;z-index:251669504;visibility:visible;mso-wrap-distance-top:3.6pt;mso-wrap-distance-bottom:3.6pt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" filled="f" stroked="f">
            <v:textbox>
              <w:txbxContent>
                <w:p w:rsidR="005D0117" w:rsidRPr="005D0117" w:rsidRDefault="005D0117" w:rsidP="005D0117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F</w:t>
                  </w:r>
                </w:p>
              </w:txbxContent>
            </v:textbox>
            <w10:wrap anchorx="margin" anchory="margin"/>
          </v:shape>
        </w:pict>
      </w:r>
      <w:r w:rsidR="005A2C05" w:rsidRPr="00553DAD">
        <w:rPr>
          <w:noProof/>
          <w:lang w:val="es-ES" w:eastAsia="es-ES"/>
        </w:rPr>
        <w:drawing>
          <wp:inline distT="0" distB="0" distL="0" distR="0">
            <wp:extent cx="4359859" cy="2337960"/>
            <wp:effectExtent l="0" t="0" r="3175" b="571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/>
                    <a:srcRect t="11139"/>
                    <a:stretch/>
                  </pic:blipFill>
                  <pic:spPr bwMode="auto">
                    <a:xfrm>
                      <a:off x="0" y="0"/>
                      <a:ext cx="4378521" cy="23479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07F8" w:rsidRPr="00FA2D00" w:rsidRDefault="008E49A0" w:rsidP="00FA2D00">
      <w:pPr>
        <w:pStyle w:val="Textoindependiente"/>
        <w:kinsoku w:val="0"/>
        <w:overflowPunct w:val="0"/>
        <w:spacing w:line="480" w:lineRule="auto"/>
        <w:ind w:left="0" w:firstLine="567"/>
        <w:rPr>
          <w:noProof/>
          <w:color w:val="000000" w:themeColor="text1"/>
          <w:sz w:val="24"/>
          <w:szCs w:val="24"/>
          <w:lang w:val="en-GB"/>
        </w:rPr>
      </w:pPr>
      <w:r w:rsidRPr="008E49A0">
        <w:rPr>
          <w:b/>
          <w:color w:val="000000" w:themeColor="text1"/>
          <w:sz w:val="24"/>
          <w:szCs w:val="24"/>
          <w:lang w:val="en-GB"/>
        </w:rPr>
        <w:t>Online Resource-Figure 1</w:t>
      </w:r>
      <w:r w:rsidRPr="00490FC9">
        <w:rPr>
          <w:noProof/>
          <w:color w:val="000000" w:themeColor="text1"/>
          <w:sz w:val="24"/>
          <w:szCs w:val="24"/>
          <w:lang w:val="en-GB"/>
        </w:rPr>
        <w:t>.</w:t>
      </w:r>
      <w:r>
        <w:rPr>
          <w:noProof/>
          <w:color w:val="000000" w:themeColor="text1"/>
          <w:sz w:val="24"/>
          <w:szCs w:val="24"/>
          <w:lang w:val="en-GB"/>
        </w:rPr>
        <w:t xml:space="preserve"> Quantification </w:t>
      </w:r>
      <w:r w:rsidRPr="00274EBC">
        <w:rPr>
          <w:noProof/>
          <w:color w:val="000000" w:themeColor="text1"/>
          <w:sz w:val="24"/>
          <w:szCs w:val="24"/>
          <w:lang w:val="en-GB"/>
        </w:rPr>
        <w:t xml:space="preserve">of betalains and phenolic compounds in </w:t>
      </w:r>
      <w:r w:rsidR="00B607F8" w:rsidRPr="00B607F8">
        <w:rPr>
          <w:noProof/>
          <w:color w:val="000000" w:themeColor="text1"/>
          <w:sz w:val="24"/>
          <w:szCs w:val="24"/>
          <w:lang w:val="en-GB"/>
        </w:rPr>
        <w:t>Pelota peel (A), Pelota pulp (B),</w:t>
      </w:r>
      <w:r w:rsidR="00B607F8">
        <w:rPr>
          <w:noProof/>
          <w:color w:val="000000" w:themeColor="text1"/>
          <w:sz w:val="24"/>
          <w:szCs w:val="24"/>
          <w:lang w:val="en-GB"/>
        </w:rPr>
        <w:t xml:space="preserve"> </w:t>
      </w:r>
      <w:r w:rsidR="00B607F8" w:rsidRPr="00B607F8">
        <w:rPr>
          <w:noProof/>
          <w:color w:val="000000" w:themeColor="text1"/>
          <w:sz w:val="24"/>
          <w:szCs w:val="24"/>
          <w:lang w:val="en-GB"/>
        </w:rPr>
        <w:t>Sanguinos peel</w:t>
      </w:r>
      <w:r w:rsidR="00B607F8">
        <w:rPr>
          <w:noProof/>
          <w:color w:val="000000" w:themeColor="text1"/>
          <w:sz w:val="24"/>
          <w:szCs w:val="24"/>
          <w:lang w:val="en-GB"/>
        </w:rPr>
        <w:t xml:space="preserve"> (C), </w:t>
      </w:r>
      <w:r w:rsidR="00B607F8" w:rsidRPr="00B607F8">
        <w:rPr>
          <w:noProof/>
          <w:color w:val="000000" w:themeColor="text1"/>
          <w:sz w:val="24"/>
          <w:szCs w:val="24"/>
          <w:lang w:val="en-GB"/>
        </w:rPr>
        <w:t>Sanguinos pulp</w:t>
      </w:r>
      <w:r w:rsidR="00B607F8">
        <w:rPr>
          <w:noProof/>
          <w:color w:val="000000" w:themeColor="text1"/>
          <w:sz w:val="24"/>
          <w:szCs w:val="24"/>
          <w:lang w:val="en-GB"/>
        </w:rPr>
        <w:t xml:space="preserve"> (D), </w:t>
      </w:r>
      <w:r w:rsidR="00B607F8" w:rsidRPr="00B607F8">
        <w:rPr>
          <w:noProof/>
          <w:color w:val="000000" w:themeColor="text1"/>
          <w:sz w:val="24"/>
          <w:szCs w:val="24"/>
          <w:lang w:val="en-GB"/>
        </w:rPr>
        <w:t xml:space="preserve">Colorada peel </w:t>
      </w:r>
      <w:r w:rsidR="00B607F8">
        <w:rPr>
          <w:noProof/>
          <w:color w:val="000000" w:themeColor="text1"/>
          <w:sz w:val="24"/>
          <w:szCs w:val="24"/>
          <w:lang w:val="en-GB"/>
        </w:rPr>
        <w:t xml:space="preserve">(E),  </w:t>
      </w:r>
      <w:r w:rsidR="00B607F8">
        <w:rPr>
          <w:noProof/>
          <w:color w:val="000000" w:themeColor="text1"/>
          <w:sz w:val="24"/>
          <w:szCs w:val="24"/>
        </w:rPr>
        <w:t xml:space="preserve">Colorada pulp (F) </w:t>
      </w:r>
      <w:r w:rsidR="00B607F8" w:rsidRPr="00B607F8">
        <w:rPr>
          <w:noProof/>
          <w:color w:val="000000" w:themeColor="text1"/>
          <w:sz w:val="24"/>
          <w:szCs w:val="24"/>
          <w:lang w:val="en-GB"/>
        </w:rPr>
        <w:t xml:space="preserve"> </w:t>
      </w:r>
      <w:r w:rsidRPr="00274EBC">
        <w:rPr>
          <w:noProof/>
          <w:color w:val="000000" w:themeColor="text1"/>
          <w:sz w:val="24"/>
          <w:szCs w:val="24"/>
          <w:lang w:val="en-GB"/>
        </w:rPr>
        <w:t>prickly pear fruit extracts performed by high pe</w:t>
      </w:r>
      <w:r>
        <w:rPr>
          <w:noProof/>
          <w:color w:val="000000" w:themeColor="text1"/>
          <w:sz w:val="24"/>
          <w:szCs w:val="24"/>
          <w:lang w:val="en-GB"/>
        </w:rPr>
        <w:t>rformance liquid chromatography.</w:t>
      </w:r>
      <w:r w:rsidR="0037222C">
        <w:rPr>
          <w:noProof/>
          <w:color w:val="000000" w:themeColor="text1"/>
          <w:sz w:val="24"/>
          <w:szCs w:val="24"/>
          <w:lang w:val="en-GB"/>
        </w:rPr>
        <w:t xml:space="preserve"> </w:t>
      </w:r>
      <w:r w:rsidR="0037222C" w:rsidRPr="003D2090">
        <w:rPr>
          <w:noProof/>
          <w:color w:val="000000" w:themeColor="text1"/>
          <w:sz w:val="24"/>
          <w:szCs w:val="24"/>
          <w:vertAlign w:val="superscript"/>
          <w:lang w:val="en-GB"/>
        </w:rPr>
        <w:t>1</w:t>
      </w:r>
      <w:r w:rsidR="0037222C" w:rsidRPr="003D2090">
        <w:rPr>
          <w:noProof/>
          <w:color w:val="000000" w:themeColor="text1"/>
          <w:sz w:val="24"/>
          <w:szCs w:val="24"/>
          <w:lang w:val="en-GB"/>
        </w:rPr>
        <w:t>indicaxanthin</w:t>
      </w:r>
      <w:r w:rsidR="0037222C">
        <w:rPr>
          <w:noProof/>
          <w:color w:val="000000" w:themeColor="text1"/>
          <w:sz w:val="24"/>
          <w:szCs w:val="24"/>
          <w:lang w:val="en-GB"/>
        </w:rPr>
        <w:t xml:space="preserve">; </w:t>
      </w:r>
      <w:r w:rsidR="0037222C" w:rsidRPr="003D2090">
        <w:rPr>
          <w:noProof/>
          <w:color w:val="000000" w:themeColor="text1"/>
          <w:sz w:val="24"/>
          <w:szCs w:val="24"/>
          <w:vertAlign w:val="superscript"/>
          <w:lang w:val="en-GB"/>
        </w:rPr>
        <w:t>2</w:t>
      </w:r>
      <w:r w:rsidR="0037222C">
        <w:rPr>
          <w:noProof/>
          <w:color w:val="000000" w:themeColor="text1"/>
          <w:sz w:val="24"/>
          <w:szCs w:val="24"/>
          <w:lang w:val="en-GB"/>
        </w:rPr>
        <w:t xml:space="preserve">betanin; </w:t>
      </w:r>
      <w:r w:rsidR="0037222C" w:rsidRPr="003D2090">
        <w:rPr>
          <w:noProof/>
          <w:color w:val="000000" w:themeColor="text1"/>
          <w:sz w:val="24"/>
          <w:szCs w:val="24"/>
          <w:vertAlign w:val="superscript"/>
          <w:lang w:val="en-GB"/>
        </w:rPr>
        <w:t>3</w:t>
      </w:r>
      <w:r w:rsidR="0037222C">
        <w:rPr>
          <w:noProof/>
          <w:color w:val="000000" w:themeColor="text1"/>
          <w:sz w:val="24"/>
          <w:szCs w:val="24"/>
          <w:lang w:val="en-GB"/>
        </w:rPr>
        <w:t xml:space="preserve">piscidic acid; </w:t>
      </w:r>
      <w:r w:rsidR="0037222C" w:rsidRPr="003D2090">
        <w:rPr>
          <w:noProof/>
          <w:color w:val="000000" w:themeColor="text1"/>
          <w:sz w:val="24"/>
          <w:szCs w:val="24"/>
          <w:vertAlign w:val="superscript"/>
          <w:lang w:val="en-GB"/>
        </w:rPr>
        <w:t>4</w:t>
      </w:r>
      <w:r w:rsidR="0037222C" w:rsidRPr="003D2090">
        <w:rPr>
          <w:noProof/>
          <w:color w:val="000000" w:themeColor="text1"/>
          <w:sz w:val="24"/>
          <w:szCs w:val="24"/>
          <w:lang w:val="en-GB"/>
        </w:rPr>
        <w:t xml:space="preserve">hydroxybenzoic acid </w:t>
      </w:r>
      <w:r w:rsidR="0037222C">
        <w:rPr>
          <w:noProof/>
          <w:color w:val="000000" w:themeColor="text1"/>
          <w:sz w:val="24"/>
          <w:szCs w:val="24"/>
          <w:lang w:val="en-GB"/>
        </w:rPr>
        <w:t xml:space="preserve">glycoside; </w:t>
      </w:r>
      <w:r w:rsidR="0037222C" w:rsidRPr="003D2090">
        <w:rPr>
          <w:noProof/>
          <w:color w:val="000000" w:themeColor="text1"/>
          <w:sz w:val="24"/>
          <w:szCs w:val="24"/>
          <w:vertAlign w:val="superscript"/>
          <w:lang w:val="en-GB"/>
        </w:rPr>
        <w:t>5</w:t>
      </w:r>
      <w:r w:rsidR="0037222C" w:rsidRPr="003D2090">
        <w:rPr>
          <w:noProof/>
          <w:color w:val="000000" w:themeColor="text1"/>
          <w:sz w:val="24"/>
          <w:szCs w:val="24"/>
          <w:lang w:val="en-GB"/>
        </w:rPr>
        <w:t>isorhamnetin glucosyl</w:t>
      </w:r>
      <w:r w:rsidR="0037222C">
        <w:rPr>
          <w:noProof/>
          <w:color w:val="000000" w:themeColor="text1"/>
          <w:sz w:val="24"/>
          <w:szCs w:val="24"/>
          <w:lang w:val="en-GB"/>
        </w:rPr>
        <w:t xml:space="preserve"> rhamnosyl rhamnoside (IG 1); </w:t>
      </w:r>
      <w:r w:rsidR="0037222C" w:rsidRPr="003D2090">
        <w:rPr>
          <w:noProof/>
          <w:color w:val="000000" w:themeColor="text1"/>
          <w:sz w:val="24"/>
          <w:szCs w:val="24"/>
          <w:vertAlign w:val="superscript"/>
          <w:lang w:val="en-GB"/>
        </w:rPr>
        <w:t>6</w:t>
      </w:r>
      <w:r w:rsidR="0037222C" w:rsidRPr="003D2090">
        <w:rPr>
          <w:noProof/>
          <w:color w:val="000000" w:themeColor="text1"/>
          <w:sz w:val="24"/>
          <w:szCs w:val="24"/>
          <w:lang w:val="en-GB"/>
        </w:rPr>
        <w:t>isorhamnetin glucosy</w:t>
      </w:r>
      <w:r w:rsidR="0037222C">
        <w:rPr>
          <w:noProof/>
          <w:color w:val="000000" w:themeColor="text1"/>
          <w:sz w:val="24"/>
          <w:szCs w:val="24"/>
          <w:lang w:val="en-GB"/>
        </w:rPr>
        <w:t xml:space="preserve">l rhamnosyl pentoside (IG 2); </w:t>
      </w:r>
      <w:r w:rsidR="0037222C" w:rsidRPr="003D2090">
        <w:rPr>
          <w:noProof/>
          <w:color w:val="000000" w:themeColor="text1"/>
          <w:sz w:val="24"/>
          <w:szCs w:val="24"/>
          <w:vertAlign w:val="superscript"/>
          <w:lang w:val="en-GB"/>
        </w:rPr>
        <w:t>7</w:t>
      </w:r>
      <w:r w:rsidR="0037222C" w:rsidRPr="003D2090">
        <w:rPr>
          <w:noProof/>
          <w:color w:val="000000" w:themeColor="text1"/>
          <w:sz w:val="24"/>
          <w:szCs w:val="24"/>
          <w:lang w:val="en-GB"/>
        </w:rPr>
        <w:t>isorhamneti</w:t>
      </w:r>
      <w:r w:rsidR="0037222C">
        <w:rPr>
          <w:noProof/>
          <w:color w:val="000000" w:themeColor="text1"/>
          <w:sz w:val="24"/>
          <w:szCs w:val="24"/>
          <w:lang w:val="en-GB"/>
        </w:rPr>
        <w:t xml:space="preserve">n glucosyl pentoside (IG 4); </w:t>
      </w:r>
      <w:r w:rsidR="0037222C" w:rsidRPr="003D2090">
        <w:rPr>
          <w:noProof/>
          <w:color w:val="000000" w:themeColor="text1"/>
          <w:sz w:val="24"/>
          <w:szCs w:val="24"/>
          <w:vertAlign w:val="superscript"/>
          <w:lang w:val="en-GB"/>
        </w:rPr>
        <w:t>8</w:t>
      </w:r>
      <w:r w:rsidR="0037222C" w:rsidRPr="003D2090">
        <w:rPr>
          <w:noProof/>
          <w:color w:val="000000" w:themeColor="text1"/>
          <w:sz w:val="24"/>
          <w:szCs w:val="24"/>
          <w:lang w:val="en-GB"/>
        </w:rPr>
        <w:t>isorhamnetin glucosyl rhamnoside (IG 5).</w:t>
      </w:r>
    </w:p>
    <w:p w:rsidR="00304B41" w:rsidRPr="00490FC9" w:rsidRDefault="00304B41" w:rsidP="00304B41">
      <w:pPr>
        <w:widowControl w:val="0"/>
        <w:kinsoku w:val="0"/>
        <w:overflowPunct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i/>
          <w:noProof/>
          <w:sz w:val="24"/>
          <w:szCs w:val="24"/>
        </w:rPr>
      </w:pPr>
      <w:r w:rsidRPr="00490FC9">
        <w:rPr>
          <w:rFonts w:ascii="Times New Roman" w:hAnsi="Times New Roman" w:cs="Times New Roman"/>
          <w:b/>
          <w:i/>
          <w:noProof/>
          <w:sz w:val="24"/>
          <w:szCs w:val="24"/>
        </w:rPr>
        <w:t>Isolation and semi-synthesis of betalains and phenolic compounds present in the tissues of Opuntia ficus-indica</w:t>
      </w:r>
    </w:p>
    <w:p w:rsidR="00B9265D" w:rsidRPr="00B9265D" w:rsidRDefault="00CE7AF8" w:rsidP="00725A98">
      <w:pPr>
        <w:widowControl w:val="0"/>
        <w:kinsoku w:val="0"/>
        <w:overflowPunct w:val="0"/>
        <w:autoSpaceDE w:val="0"/>
        <w:autoSpaceDN w:val="0"/>
        <w:adjustRightInd w:val="0"/>
        <w:spacing w:after="0" w:line="480" w:lineRule="auto"/>
        <w:ind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Beetroot was used to </w:t>
      </w:r>
      <w:r w:rsidR="004A0057">
        <w:rPr>
          <w:rFonts w:ascii="Times New Roman" w:hAnsi="Times New Roman" w:cs="Times New Roman"/>
          <w:noProof/>
          <w:sz w:val="24"/>
          <w:szCs w:val="24"/>
        </w:rPr>
        <w:t>obtain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a</w:t>
      </w:r>
      <w:r w:rsidR="002A55FF">
        <w:rPr>
          <w:rFonts w:ascii="Times New Roman" w:hAnsi="Times New Roman" w:cs="Times New Roman"/>
          <w:noProof/>
          <w:sz w:val="24"/>
          <w:szCs w:val="24"/>
        </w:rPr>
        <w:t>n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extract with a high amount of betanins, </w:t>
      </w:r>
      <w:r w:rsidR="004A0057">
        <w:rPr>
          <w:rFonts w:ascii="Times New Roman" w:hAnsi="Times New Roman" w:cs="Times New Roman"/>
          <w:noProof/>
          <w:sz w:val="24"/>
          <w:szCs w:val="24"/>
        </w:rPr>
        <w:t xml:space="preserve">which was purified in a </w:t>
      </w:r>
      <w:r w:rsidR="004A0057" w:rsidRPr="00490FC9">
        <w:rPr>
          <w:rFonts w:ascii="Times New Roman" w:hAnsi="Times New Roman" w:cs="Times New Roman"/>
          <w:noProof/>
          <w:sz w:val="24"/>
          <w:szCs w:val="24"/>
        </w:rPr>
        <w:t>Sephadex L20 resin</w:t>
      </w:r>
      <w:r w:rsidR="004A0057">
        <w:rPr>
          <w:rFonts w:ascii="Times New Roman" w:hAnsi="Times New Roman" w:cs="Times New Roman"/>
          <w:noProof/>
          <w:sz w:val="24"/>
          <w:szCs w:val="24"/>
        </w:rPr>
        <w:t>. In the case of i</w:t>
      </w:r>
      <w:r w:rsidR="004A0057" w:rsidRPr="00490FC9">
        <w:rPr>
          <w:rFonts w:ascii="Times New Roman" w:hAnsi="Times New Roman" w:cs="Times New Roman"/>
          <w:noProof/>
          <w:sz w:val="24"/>
          <w:szCs w:val="24"/>
        </w:rPr>
        <w:t>ndicaxanthin</w:t>
      </w:r>
      <w:r w:rsidR="004A0057">
        <w:rPr>
          <w:rFonts w:ascii="Times New Roman" w:hAnsi="Times New Roman" w:cs="Times New Roman"/>
          <w:noProof/>
          <w:sz w:val="24"/>
          <w:szCs w:val="24"/>
        </w:rPr>
        <w:t xml:space="preserve">, it was </w:t>
      </w:r>
      <w:r w:rsidR="00304B41" w:rsidRPr="00490FC9">
        <w:rPr>
          <w:rFonts w:ascii="Times New Roman" w:hAnsi="Times New Roman" w:cs="Times New Roman"/>
          <w:noProof/>
          <w:sz w:val="24"/>
          <w:szCs w:val="24"/>
        </w:rPr>
        <w:t>semi-synthesized from purified betalain</w:t>
      </w:r>
      <w:r w:rsidR="004A0057">
        <w:rPr>
          <w:rFonts w:ascii="Times New Roman" w:hAnsi="Times New Roman" w:cs="Times New Roman"/>
          <w:noProof/>
          <w:sz w:val="24"/>
          <w:szCs w:val="24"/>
        </w:rPr>
        <w:t xml:space="preserve"> by using ammonia to increase pH and get </w:t>
      </w:r>
      <w:r w:rsidR="004A0057" w:rsidRPr="00490FC9">
        <w:rPr>
          <w:rFonts w:ascii="Times New Roman" w:hAnsi="Times New Roman" w:cs="Times New Roman"/>
          <w:noProof/>
          <w:sz w:val="24"/>
          <w:szCs w:val="24"/>
        </w:rPr>
        <w:t>betalamic acid</w:t>
      </w:r>
      <w:r w:rsidR="00725A98">
        <w:rPr>
          <w:rFonts w:ascii="Times New Roman" w:hAnsi="Times New Roman" w:cs="Times New Roman"/>
          <w:noProof/>
          <w:sz w:val="24"/>
          <w:szCs w:val="24"/>
        </w:rPr>
        <w:t xml:space="preserve">, which reacts with proline to obtain the compound. Extracts of </w:t>
      </w:r>
      <w:r w:rsidR="00725A98" w:rsidRPr="00725A98">
        <w:rPr>
          <w:rFonts w:ascii="Times New Roman" w:hAnsi="Times New Roman" w:cs="Times New Roman"/>
          <w:i/>
          <w:noProof/>
          <w:sz w:val="24"/>
          <w:szCs w:val="24"/>
        </w:rPr>
        <w:t xml:space="preserve">Opuntia ficus-indica </w:t>
      </w:r>
      <w:r w:rsidR="00725A98" w:rsidRPr="00490FC9">
        <w:rPr>
          <w:rFonts w:ascii="Times New Roman" w:hAnsi="Times New Roman" w:cs="Times New Roman"/>
          <w:noProof/>
          <w:sz w:val="24"/>
          <w:szCs w:val="24"/>
        </w:rPr>
        <w:t>peels</w:t>
      </w:r>
      <w:r w:rsidR="00725A98">
        <w:rPr>
          <w:rFonts w:ascii="Times New Roman" w:hAnsi="Times New Roman" w:cs="Times New Roman"/>
          <w:noProof/>
          <w:sz w:val="24"/>
          <w:szCs w:val="24"/>
        </w:rPr>
        <w:t xml:space="preserve"> were used to isolate piscidic acid </w:t>
      </w:r>
      <w:r w:rsidR="00725A98" w:rsidRPr="00490FC9">
        <w:rPr>
          <w:rFonts w:ascii="Times New Roman" w:hAnsi="Times New Roman" w:cs="Times New Roman"/>
          <w:noProof/>
          <w:sz w:val="24"/>
          <w:szCs w:val="24"/>
        </w:rPr>
        <w:t>by semi-preparative high-performance liquid chromatography (HPLC)</w:t>
      </w:r>
      <w:r w:rsidR="00725A98">
        <w:rPr>
          <w:rFonts w:ascii="Times New Roman" w:hAnsi="Times New Roman" w:cs="Times New Roman"/>
          <w:noProof/>
          <w:sz w:val="24"/>
          <w:szCs w:val="24"/>
        </w:rPr>
        <w:t>.</w:t>
      </w:r>
      <w:r w:rsidR="00B9265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9265D" w:rsidRPr="00B9265D">
        <w:rPr>
          <w:rFonts w:ascii="Times New Roman" w:hAnsi="Times New Roman" w:cs="Times New Roman"/>
          <w:noProof/>
          <w:sz w:val="24"/>
          <w:szCs w:val="24"/>
        </w:rPr>
        <w:t>In Sergio Serna-Saldivar’s laboratory in Centro de Biotecnología FEMSA (Mexico)</w:t>
      </w:r>
      <w:r w:rsidR="002F223D">
        <w:rPr>
          <w:rFonts w:ascii="Times New Roman" w:hAnsi="Times New Roman" w:cs="Times New Roman"/>
          <w:noProof/>
          <w:sz w:val="24"/>
          <w:szCs w:val="24"/>
        </w:rPr>
        <w:t>,</w:t>
      </w:r>
      <w:r w:rsidR="00B9265D" w:rsidRPr="00B9265D">
        <w:rPr>
          <w:rFonts w:ascii="Times New Roman" w:hAnsi="Times New Roman" w:cs="Times New Roman"/>
          <w:noProof/>
          <w:sz w:val="24"/>
          <w:szCs w:val="24"/>
        </w:rPr>
        <w:t xml:space="preserve"> researchers extract isorhamnetin glycosides from Opuntia cladodes, </w:t>
      </w:r>
      <w:r w:rsidR="00B9265D">
        <w:rPr>
          <w:rFonts w:ascii="Times New Roman" w:hAnsi="Times New Roman" w:cs="Times New Roman"/>
          <w:noProof/>
          <w:sz w:val="24"/>
          <w:szCs w:val="24"/>
        </w:rPr>
        <w:t>which have been provide</w:t>
      </w:r>
      <w:r w:rsidR="00572152">
        <w:rPr>
          <w:rFonts w:ascii="Times New Roman" w:hAnsi="Times New Roman" w:cs="Times New Roman"/>
          <w:noProof/>
          <w:sz w:val="24"/>
          <w:szCs w:val="24"/>
        </w:rPr>
        <w:t>d</w:t>
      </w:r>
      <w:r w:rsidR="00B9265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72152">
        <w:rPr>
          <w:rFonts w:ascii="Times New Roman" w:hAnsi="Times New Roman" w:cs="Times New Roman"/>
          <w:noProof/>
          <w:sz w:val="24"/>
          <w:szCs w:val="24"/>
        </w:rPr>
        <w:t xml:space="preserve">to </w:t>
      </w:r>
      <w:r w:rsidR="00B9265D">
        <w:rPr>
          <w:rFonts w:ascii="Times New Roman" w:hAnsi="Times New Roman" w:cs="Times New Roman"/>
          <w:noProof/>
          <w:sz w:val="24"/>
          <w:szCs w:val="24"/>
        </w:rPr>
        <w:t xml:space="preserve">us for this research. </w:t>
      </w:r>
      <w:r w:rsidR="00B9265D" w:rsidRPr="00B9265D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304B41" w:rsidRPr="00490FC9" w:rsidRDefault="00304B41" w:rsidP="00304B41">
      <w:pPr>
        <w:widowControl w:val="0"/>
        <w:kinsoku w:val="0"/>
        <w:overflowPunct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i/>
          <w:noProof/>
          <w:sz w:val="24"/>
          <w:szCs w:val="24"/>
        </w:rPr>
      </w:pPr>
      <w:r w:rsidRPr="00490FC9">
        <w:rPr>
          <w:rFonts w:ascii="Times New Roman" w:hAnsi="Times New Roman" w:cs="Times New Roman"/>
          <w:b/>
          <w:i/>
          <w:noProof/>
          <w:sz w:val="24"/>
          <w:szCs w:val="24"/>
        </w:rPr>
        <w:t>Cell experimental design</w:t>
      </w:r>
    </w:p>
    <w:p w:rsidR="00304B41" w:rsidRPr="00490FC9" w:rsidRDefault="00AC7DE8" w:rsidP="00080DAC">
      <w:pPr>
        <w:pStyle w:val="Textoindependiente"/>
        <w:kinsoku w:val="0"/>
        <w:overflowPunct w:val="0"/>
        <w:spacing w:line="480" w:lineRule="auto"/>
        <w:ind w:left="0" w:firstLine="567"/>
        <w:rPr>
          <w:noProof/>
          <w:sz w:val="24"/>
          <w:szCs w:val="24"/>
          <w:lang w:val="en-GB"/>
        </w:rPr>
      </w:pPr>
      <w:r w:rsidRPr="00490FC9">
        <w:rPr>
          <w:noProof/>
          <w:sz w:val="24"/>
          <w:szCs w:val="24"/>
          <w:lang w:val="en-GB"/>
        </w:rPr>
        <w:t>3T3-L1 preadipocytes</w:t>
      </w:r>
      <w:r>
        <w:rPr>
          <w:noProof/>
          <w:sz w:val="24"/>
          <w:szCs w:val="24"/>
          <w:lang w:val="en-GB"/>
        </w:rPr>
        <w:t xml:space="preserve"> purchased from </w:t>
      </w:r>
      <w:r w:rsidRPr="00490FC9">
        <w:rPr>
          <w:noProof/>
          <w:sz w:val="24"/>
          <w:szCs w:val="24"/>
          <w:lang w:val="en-GB"/>
        </w:rPr>
        <w:t xml:space="preserve">American Type Culture Collection </w:t>
      </w:r>
      <w:r w:rsidRPr="00490FC9">
        <w:rPr>
          <w:noProof/>
          <w:sz w:val="24"/>
          <w:szCs w:val="24"/>
          <w:lang w:val="en-GB"/>
        </w:rPr>
        <w:lastRenderedPageBreak/>
        <w:t>(Manassas, VA, USA)</w:t>
      </w:r>
      <w:r>
        <w:rPr>
          <w:noProof/>
          <w:sz w:val="24"/>
          <w:szCs w:val="24"/>
          <w:lang w:val="en-GB"/>
        </w:rPr>
        <w:t xml:space="preserve"> were </w:t>
      </w:r>
      <w:r w:rsidR="00D675AC">
        <w:rPr>
          <w:noProof/>
          <w:sz w:val="24"/>
          <w:szCs w:val="24"/>
          <w:lang w:val="en-GB"/>
        </w:rPr>
        <w:t>seeded in 6-well plates and incubated</w:t>
      </w:r>
      <w:r>
        <w:rPr>
          <w:noProof/>
          <w:sz w:val="24"/>
          <w:szCs w:val="24"/>
          <w:lang w:val="en-GB"/>
        </w:rPr>
        <w:t xml:space="preserve"> in DMEM supplemented with 10% fetal bovine serum (FBS) and 5% </w:t>
      </w:r>
      <w:r w:rsidR="00080DAC" w:rsidRPr="00490FC9">
        <w:rPr>
          <w:noProof/>
          <w:sz w:val="24"/>
          <w:szCs w:val="24"/>
          <w:lang w:val="en-GB"/>
        </w:rPr>
        <w:t xml:space="preserve">penicillin/streptomycin </w:t>
      </w:r>
      <w:r w:rsidR="00080DAC">
        <w:rPr>
          <w:noProof/>
          <w:sz w:val="24"/>
          <w:szCs w:val="24"/>
          <w:lang w:val="en-GB"/>
        </w:rPr>
        <w:t xml:space="preserve">(PS; </w:t>
      </w:r>
      <w:r w:rsidR="00080DAC" w:rsidRPr="00490FC9">
        <w:rPr>
          <w:noProof/>
          <w:sz w:val="24"/>
          <w:szCs w:val="24"/>
          <w:lang w:val="en-GB"/>
        </w:rPr>
        <w:t>10 000 U/mL</w:t>
      </w:r>
      <w:r w:rsidR="00080DAC">
        <w:rPr>
          <w:noProof/>
          <w:sz w:val="24"/>
          <w:szCs w:val="24"/>
          <w:lang w:val="en-GB"/>
        </w:rPr>
        <w:t>)</w:t>
      </w:r>
      <w:r w:rsidR="00D675AC">
        <w:rPr>
          <w:noProof/>
          <w:sz w:val="24"/>
          <w:szCs w:val="24"/>
          <w:lang w:val="en-GB"/>
        </w:rPr>
        <w:t xml:space="preserve"> under optimal growing conditions (37ºC and</w:t>
      </w:r>
      <w:r w:rsidR="00F346B2">
        <w:rPr>
          <w:noProof/>
          <w:sz w:val="24"/>
          <w:szCs w:val="24"/>
          <w:lang w:val="en-GB"/>
        </w:rPr>
        <w:t xml:space="preserve"> 5% CO</w:t>
      </w:r>
      <w:r w:rsidR="00F346B2" w:rsidRPr="00F346B2">
        <w:rPr>
          <w:noProof/>
          <w:sz w:val="24"/>
          <w:szCs w:val="24"/>
          <w:vertAlign w:val="subscript"/>
          <w:lang w:val="en-GB"/>
        </w:rPr>
        <w:t>2</w:t>
      </w:r>
      <w:r w:rsidR="00F346B2">
        <w:rPr>
          <w:noProof/>
          <w:sz w:val="24"/>
          <w:szCs w:val="24"/>
          <w:lang w:val="en-GB"/>
        </w:rPr>
        <w:t>-humidified atmosphere)</w:t>
      </w:r>
      <w:r w:rsidR="00D675AC">
        <w:rPr>
          <w:noProof/>
          <w:sz w:val="24"/>
          <w:szCs w:val="24"/>
          <w:lang w:val="en-GB"/>
        </w:rPr>
        <w:t xml:space="preserve">. </w:t>
      </w:r>
      <w:r w:rsidR="00F346B2">
        <w:rPr>
          <w:noProof/>
          <w:sz w:val="24"/>
          <w:szCs w:val="24"/>
          <w:lang w:val="en-GB"/>
        </w:rPr>
        <w:t>Post-confluent pre-adipocytes were stimulated to</w:t>
      </w:r>
      <w:r w:rsidR="00D675AC">
        <w:rPr>
          <w:noProof/>
          <w:sz w:val="24"/>
          <w:szCs w:val="24"/>
          <w:lang w:val="en-GB"/>
        </w:rPr>
        <w:t xml:space="preserve"> differen</w:t>
      </w:r>
      <w:r w:rsidR="00F346B2">
        <w:rPr>
          <w:noProof/>
          <w:sz w:val="24"/>
          <w:szCs w:val="24"/>
          <w:lang w:val="en-GB"/>
        </w:rPr>
        <w:t xml:space="preserve">tiate using the same previous incubation media </w:t>
      </w:r>
      <w:r w:rsidR="00F346B2" w:rsidRPr="00490FC9">
        <w:rPr>
          <w:noProof/>
          <w:sz w:val="24"/>
          <w:szCs w:val="24"/>
          <w:lang w:val="en-GB"/>
        </w:rPr>
        <w:t>containing</w:t>
      </w:r>
      <w:r w:rsidR="00F346B2">
        <w:rPr>
          <w:noProof/>
          <w:sz w:val="24"/>
          <w:szCs w:val="24"/>
          <w:lang w:val="en-GB"/>
        </w:rPr>
        <w:t xml:space="preserve"> </w:t>
      </w:r>
      <w:r w:rsidR="00304B41" w:rsidRPr="00490FC9">
        <w:rPr>
          <w:noProof/>
          <w:sz w:val="24"/>
          <w:szCs w:val="24"/>
          <w:lang w:val="en-GB"/>
        </w:rPr>
        <w:t>insulin</w:t>
      </w:r>
      <w:r w:rsidR="00F346B2">
        <w:rPr>
          <w:noProof/>
          <w:sz w:val="24"/>
          <w:szCs w:val="24"/>
          <w:lang w:val="en-GB"/>
        </w:rPr>
        <w:t xml:space="preserve"> (</w:t>
      </w:r>
      <w:r w:rsidR="00F346B2" w:rsidRPr="00490FC9">
        <w:rPr>
          <w:noProof/>
          <w:sz w:val="24"/>
          <w:szCs w:val="24"/>
          <w:lang w:val="en-GB"/>
        </w:rPr>
        <w:t>10 µg/mL</w:t>
      </w:r>
      <w:r w:rsidR="00F346B2">
        <w:rPr>
          <w:noProof/>
          <w:sz w:val="24"/>
          <w:szCs w:val="24"/>
          <w:lang w:val="en-GB"/>
        </w:rPr>
        <w:t>)</w:t>
      </w:r>
      <w:r w:rsidR="00304B41" w:rsidRPr="00490FC9">
        <w:rPr>
          <w:noProof/>
          <w:sz w:val="24"/>
          <w:szCs w:val="24"/>
          <w:lang w:val="en-GB"/>
        </w:rPr>
        <w:t xml:space="preserve">, isobutylmethylxanthine </w:t>
      </w:r>
      <w:r w:rsidR="00F346B2">
        <w:rPr>
          <w:noProof/>
          <w:sz w:val="24"/>
          <w:szCs w:val="24"/>
          <w:lang w:val="en-GB"/>
        </w:rPr>
        <w:t>(</w:t>
      </w:r>
      <w:r w:rsidR="00F346B2" w:rsidRPr="00490FC9">
        <w:rPr>
          <w:noProof/>
          <w:sz w:val="24"/>
          <w:szCs w:val="24"/>
          <w:lang w:val="en-GB"/>
        </w:rPr>
        <w:t>0.5 mM</w:t>
      </w:r>
      <w:r w:rsidR="00304B41" w:rsidRPr="00490FC9">
        <w:rPr>
          <w:noProof/>
          <w:sz w:val="24"/>
          <w:szCs w:val="24"/>
          <w:lang w:val="en-GB"/>
        </w:rPr>
        <w:t xml:space="preserve">), and dexamethasone </w:t>
      </w:r>
      <w:r w:rsidR="00F346B2">
        <w:rPr>
          <w:noProof/>
          <w:sz w:val="24"/>
          <w:szCs w:val="24"/>
          <w:lang w:val="en-GB"/>
        </w:rPr>
        <w:t>(</w:t>
      </w:r>
      <w:r w:rsidR="00F346B2" w:rsidRPr="00490FC9">
        <w:rPr>
          <w:noProof/>
          <w:sz w:val="24"/>
          <w:szCs w:val="24"/>
          <w:lang w:val="en-GB"/>
        </w:rPr>
        <w:t>1 µM</w:t>
      </w:r>
      <w:r w:rsidR="00F346B2">
        <w:rPr>
          <w:noProof/>
          <w:sz w:val="24"/>
          <w:szCs w:val="24"/>
          <w:lang w:val="en-GB"/>
        </w:rPr>
        <w:t>)</w:t>
      </w:r>
      <w:r w:rsidR="00F346B2" w:rsidRPr="00490FC9">
        <w:rPr>
          <w:noProof/>
          <w:sz w:val="24"/>
          <w:szCs w:val="24"/>
          <w:lang w:val="en-GB"/>
        </w:rPr>
        <w:t xml:space="preserve"> </w:t>
      </w:r>
      <w:r w:rsidR="00304B41" w:rsidRPr="00490FC9">
        <w:rPr>
          <w:noProof/>
          <w:sz w:val="24"/>
          <w:szCs w:val="24"/>
          <w:lang w:val="en-GB"/>
        </w:rPr>
        <w:t xml:space="preserve">for </w:t>
      </w:r>
      <w:r w:rsidR="00F346B2">
        <w:rPr>
          <w:noProof/>
          <w:sz w:val="24"/>
          <w:szCs w:val="24"/>
          <w:lang w:val="en-GB"/>
        </w:rPr>
        <w:t>48 hours</w:t>
      </w:r>
      <w:r w:rsidR="00304B41" w:rsidRPr="00490FC9">
        <w:rPr>
          <w:noProof/>
          <w:sz w:val="24"/>
          <w:szCs w:val="24"/>
          <w:lang w:val="en-GB"/>
        </w:rPr>
        <w:t xml:space="preserve">. </w:t>
      </w:r>
      <w:r w:rsidR="00080DAC">
        <w:rPr>
          <w:noProof/>
          <w:sz w:val="24"/>
          <w:szCs w:val="24"/>
          <w:lang w:val="en-GB"/>
        </w:rPr>
        <w:t xml:space="preserve">After 2 days, cells were incubated with DMEM/FBS/PS medium </w:t>
      </w:r>
      <w:r w:rsidR="00080DAC" w:rsidRPr="00490FC9">
        <w:rPr>
          <w:noProof/>
          <w:sz w:val="24"/>
          <w:szCs w:val="24"/>
          <w:lang w:val="en-GB"/>
        </w:rPr>
        <w:t>containing</w:t>
      </w:r>
      <w:r w:rsidR="00080DAC">
        <w:rPr>
          <w:noProof/>
          <w:sz w:val="24"/>
          <w:szCs w:val="24"/>
          <w:lang w:val="en-GB"/>
        </w:rPr>
        <w:t xml:space="preserve"> </w:t>
      </w:r>
      <w:r w:rsidR="00080DAC" w:rsidRPr="00490FC9">
        <w:rPr>
          <w:noProof/>
          <w:sz w:val="24"/>
          <w:szCs w:val="24"/>
          <w:lang w:val="en-GB"/>
        </w:rPr>
        <w:t>10 µg/mL insulin</w:t>
      </w:r>
      <w:r w:rsidR="00080DAC">
        <w:rPr>
          <w:noProof/>
          <w:sz w:val="24"/>
          <w:szCs w:val="24"/>
          <w:lang w:val="en-GB"/>
        </w:rPr>
        <w:t xml:space="preserve"> for 48 hours, and from day 4 onwards, insulin concentration was reduced to 2</w:t>
      </w:r>
      <w:r w:rsidR="00080DAC" w:rsidRPr="00490FC9">
        <w:rPr>
          <w:noProof/>
          <w:sz w:val="24"/>
          <w:szCs w:val="24"/>
          <w:lang w:val="en-GB"/>
        </w:rPr>
        <w:t xml:space="preserve"> µg/mL</w:t>
      </w:r>
      <w:r w:rsidR="00080DAC">
        <w:rPr>
          <w:noProof/>
          <w:sz w:val="24"/>
          <w:szCs w:val="24"/>
          <w:lang w:val="en-GB"/>
        </w:rPr>
        <w:t xml:space="preserve"> in the incubation media, which was replaced every two days. Cells were harvested on day 8 of differentia</w:t>
      </w:r>
      <w:r w:rsidR="002F223D">
        <w:rPr>
          <w:noProof/>
          <w:sz w:val="24"/>
          <w:szCs w:val="24"/>
          <w:lang w:val="en-GB"/>
        </w:rPr>
        <w:t>tion for maturing pre-adipocyte</w:t>
      </w:r>
      <w:r w:rsidR="00080DAC">
        <w:rPr>
          <w:noProof/>
          <w:sz w:val="24"/>
          <w:szCs w:val="24"/>
          <w:lang w:val="en-GB"/>
        </w:rPr>
        <w:t xml:space="preserve"> treatments, and day 12 in the case of mature adipocyte treatments</w:t>
      </w:r>
      <w:r w:rsidR="00304B41" w:rsidRPr="00490FC9">
        <w:rPr>
          <w:noProof/>
          <w:sz w:val="24"/>
          <w:szCs w:val="24"/>
          <w:lang w:val="en-GB"/>
        </w:rPr>
        <w:t>,</w:t>
      </w:r>
      <w:r w:rsidR="00080DAC">
        <w:rPr>
          <w:noProof/>
          <w:sz w:val="24"/>
          <w:szCs w:val="24"/>
          <w:lang w:val="en-GB"/>
        </w:rPr>
        <w:t xml:space="preserve"> where</w:t>
      </w:r>
      <w:r w:rsidR="00304B41" w:rsidRPr="00490FC9">
        <w:rPr>
          <w:noProof/>
          <w:sz w:val="24"/>
          <w:szCs w:val="24"/>
          <w:lang w:val="en-GB"/>
        </w:rPr>
        <w:t xml:space="preserve"> over 90% of cells </w:t>
      </w:r>
      <w:r w:rsidR="00080DAC">
        <w:rPr>
          <w:noProof/>
          <w:sz w:val="24"/>
          <w:szCs w:val="24"/>
          <w:lang w:val="en-GB"/>
        </w:rPr>
        <w:t>have</w:t>
      </w:r>
      <w:r w:rsidR="00304B41" w:rsidRPr="00490FC9">
        <w:rPr>
          <w:noProof/>
          <w:sz w:val="24"/>
          <w:szCs w:val="24"/>
          <w:lang w:val="en-GB"/>
        </w:rPr>
        <w:t xml:space="preserve"> visible lipid droplets. </w:t>
      </w:r>
    </w:p>
    <w:p w:rsidR="00304B41" w:rsidRPr="00490FC9" w:rsidRDefault="00304B41" w:rsidP="00304B41">
      <w:pPr>
        <w:widowControl w:val="0"/>
        <w:kinsoku w:val="0"/>
        <w:overflowPunct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i/>
          <w:noProof/>
          <w:sz w:val="24"/>
          <w:szCs w:val="24"/>
        </w:rPr>
      </w:pPr>
      <w:r w:rsidRPr="00490FC9">
        <w:rPr>
          <w:rFonts w:ascii="Times New Roman" w:hAnsi="Times New Roman" w:cs="Times New Roman"/>
          <w:b/>
          <w:i/>
          <w:noProof/>
          <w:sz w:val="24"/>
          <w:szCs w:val="24"/>
        </w:rPr>
        <w:t>Cell treatment</w:t>
      </w:r>
    </w:p>
    <w:p w:rsidR="001A6BB5" w:rsidRDefault="00304B41" w:rsidP="00581033">
      <w:pPr>
        <w:pStyle w:val="Textoindependiente"/>
        <w:kinsoku w:val="0"/>
        <w:overflowPunct w:val="0"/>
        <w:spacing w:line="480" w:lineRule="auto"/>
        <w:ind w:left="0" w:firstLine="567"/>
        <w:rPr>
          <w:noProof/>
          <w:sz w:val="24"/>
          <w:szCs w:val="24"/>
          <w:lang w:val="en-GB"/>
        </w:rPr>
      </w:pPr>
      <w:r w:rsidRPr="00490FC9">
        <w:rPr>
          <w:noProof/>
          <w:sz w:val="24"/>
          <w:szCs w:val="24"/>
          <w:lang w:val="en-GB"/>
        </w:rPr>
        <w:t>Maturing pre-adipocytes were incubated with prickly pear (</w:t>
      </w:r>
      <w:r w:rsidRPr="00490FC9">
        <w:rPr>
          <w:i/>
          <w:iCs/>
          <w:noProof/>
          <w:sz w:val="24"/>
          <w:szCs w:val="24"/>
          <w:lang w:val="en-GB"/>
        </w:rPr>
        <w:t xml:space="preserve">Opuntia ficus-indica </w:t>
      </w:r>
      <w:r w:rsidRPr="00490FC9">
        <w:rPr>
          <w:noProof/>
          <w:sz w:val="24"/>
          <w:szCs w:val="24"/>
          <w:lang w:val="en-GB"/>
        </w:rPr>
        <w:t>L. Mill.) extracts or each isolated compound during the adipogenic phase, from day</w:t>
      </w:r>
      <w:r w:rsidR="001A6BB5">
        <w:rPr>
          <w:noProof/>
          <w:sz w:val="24"/>
          <w:szCs w:val="24"/>
          <w:lang w:val="en-GB"/>
        </w:rPr>
        <w:t xml:space="preserve"> 0 to day 8 of differentiation by replacing the treatment media every 48 hours. In the case of mature adipocytes, cells were treated on day 12 of differentiation for 24 hours </w:t>
      </w:r>
      <w:r w:rsidR="001A6BB5" w:rsidRPr="00490FC9">
        <w:rPr>
          <w:noProof/>
          <w:sz w:val="24"/>
          <w:szCs w:val="24"/>
          <w:lang w:val="en-GB"/>
        </w:rPr>
        <w:t>with prickly pear (</w:t>
      </w:r>
      <w:r w:rsidR="001A6BB5" w:rsidRPr="00490FC9">
        <w:rPr>
          <w:i/>
          <w:iCs/>
          <w:noProof/>
          <w:sz w:val="24"/>
          <w:szCs w:val="24"/>
          <w:lang w:val="en-GB"/>
        </w:rPr>
        <w:t xml:space="preserve">Opuntia ficus-indica </w:t>
      </w:r>
      <w:r w:rsidR="001A6BB5" w:rsidRPr="00490FC9">
        <w:rPr>
          <w:noProof/>
          <w:sz w:val="24"/>
          <w:szCs w:val="24"/>
          <w:lang w:val="en-GB"/>
        </w:rPr>
        <w:t>L. Mill.) extracts or each isolated compound</w:t>
      </w:r>
      <w:r w:rsidR="001A6BB5">
        <w:rPr>
          <w:noProof/>
          <w:sz w:val="24"/>
          <w:szCs w:val="24"/>
          <w:lang w:val="en-GB"/>
        </w:rPr>
        <w:t>.</w:t>
      </w:r>
      <w:r w:rsidR="00581033">
        <w:rPr>
          <w:noProof/>
          <w:sz w:val="24"/>
          <w:szCs w:val="24"/>
          <w:lang w:val="en-GB"/>
        </w:rPr>
        <w:t xml:space="preserve"> To obtain the tested concentrations of extracts and isolated compounds, freeze-dried samples were dissolved in water (peel and pulp extracts, indicaxanthin and betanin) or methanol (piscidic acid and isorhamnetin glycosides), and added to cells in a final concentration of 0.1% of the incubation media. Control methanol cells were treated with the same amount of the solvent (0.1% of the incubation media). </w:t>
      </w:r>
      <w:r w:rsidR="001A6BB5">
        <w:rPr>
          <w:noProof/>
          <w:sz w:val="24"/>
          <w:szCs w:val="24"/>
          <w:lang w:val="en-GB"/>
        </w:rPr>
        <w:t>At the end of the experimental period, the incubation media was removed and cells were used for triglyceride and protein determination.</w:t>
      </w:r>
    </w:p>
    <w:p w:rsidR="00304B41" w:rsidRPr="00490FC9" w:rsidRDefault="00304B41" w:rsidP="00304B41">
      <w:pPr>
        <w:pStyle w:val="Textoindependiente"/>
        <w:kinsoku w:val="0"/>
        <w:overflowPunct w:val="0"/>
        <w:spacing w:line="480" w:lineRule="auto"/>
        <w:ind w:left="0" w:firstLine="567"/>
        <w:rPr>
          <w:noProof/>
          <w:color w:val="000000" w:themeColor="text1"/>
          <w:sz w:val="24"/>
          <w:szCs w:val="24"/>
          <w:lang w:val="en-GB"/>
        </w:rPr>
      </w:pPr>
      <w:r w:rsidRPr="00490FC9">
        <w:rPr>
          <w:noProof/>
          <w:sz w:val="24"/>
          <w:szCs w:val="24"/>
          <w:lang w:val="en-GB"/>
        </w:rPr>
        <w:t xml:space="preserve">In both cases, two independent experiments were carried out; in the first one, cells </w:t>
      </w:r>
      <w:r w:rsidRPr="00490FC9">
        <w:rPr>
          <w:noProof/>
          <w:sz w:val="24"/>
          <w:szCs w:val="24"/>
          <w:lang w:val="en-GB"/>
        </w:rPr>
        <w:lastRenderedPageBreak/>
        <w:t>were treated with the peel or</w:t>
      </w:r>
      <w:r w:rsidRPr="00490FC9">
        <w:rPr>
          <w:noProof/>
          <w:color w:val="000000" w:themeColor="text1"/>
          <w:sz w:val="24"/>
          <w:szCs w:val="24"/>
          <w:lang w:val="en-GB"/>
        </w:rPr>
        <w:t xml:space="preserve"> pulp extracts of each of the three prickly pear varieties at 200, 100, 50 and 25 µg/mL. The</w:t>
      </w:r>
      <w:r w:rsidR="00470502">
        <w:rPr>
          <w:noProof/>
          <w:color w:val="000000" w:themeColor="text1"/>
          <w:sz w:val="24"/>
          <w:szCs w:val="24"/>
          <w:lang w:val="en-GB"/>
        </w:rPr>
        <w:t xml:space="preserve"> range of concentrations used was</w:t>
      </w:r>
      <w:r w:rsidRPr="00490FC9">
        <w:rPr>
          <w:noProof/>
          <w:color w:val="000000" w:themeColor="text1"/>
          <w:sz w:val="24"/>
          <w:szCs w:val="24"/>
          <w:lang w:val="en-GB"/>
        </w:rPr>
        <w:t xml:space="preserve"> consistent with those in many other studies regarding the effect of phytochemicals on triglyceride accumulation in 3T3-L1 pre-adipocytes and mature adipocytes.</w:t>
      </w:r>
      <w:r w:rsidRPr="00490FC9">
        <w:rPr>
          <w:noProof/>
          <w:color w:val="FF0000"/>
          <w:sz w:val="24"/>
          <w:szCs w:val="24"/>
          <w:lang w:val="en-GB"/>
        </w:rPr>
        <w:t xml:space="preserve"> </w:t>
      </w:r>
      <w:r w:rsidRPr="00490FC9">
        <w:rPr>
          <w:noProof/>
          <w:sz w:val="24"/>
          <w:szCs w:val="24"/>
          <w:lang w:val="en-GB"/>
        </w:rPr>
        <w:t xml:space="preserve">In the second experiment, focused on the extract selected in the first experiment, cells were treated with the amounts of the isolated compounds, indicaxantin, betanin, piscidic acid, isorhamnetin glycosyl- rhamnosyl-rhamnoside (IG1), isorhamnetin glucosyl-rhamnosyl-pentoside (IG2), isorhamnetin glucosyl-pentoside (IG4) and isorhamnetin glucosyl-rhamnoside (IG5), present in cell culture medium </w:t>
      </w:r>
      <w:r w:rsidRPr="00490FC9">
        <w:rPr>
          <w:noProof/>
          <w:color w:val="000000" w:themeColor="text1"/>
          <w:sz w:val="24"/>
          <w:szCs w:val="24"/>
          <w:lang w:val="en-GB"/>
        </w:rPr>
        <w:t xml:space="preserve">when this selected extract </w:t>
      </w:r>
      <w:r w:rsidRPr="00490FC9">
        <w:rPr>
          <w:color w:val="000000" w:themeColor="text1"/>
          <w:sz w:val="24"/>
          <w:szCs w:val="24"/>
          <w:lang w:val="en-GB"/>
        </w:rPr>
        <w:t>induced triglyceride-lowering effects (</w:t>
      </w:r>
      <w:r w:rsidR="00B111AC">
        <w:rPr>
          <w:color w:val="000000" w:themeColor="text1"/>
          <w:sz w:val="24"/>
          <w:szCs w:val="24"/>
          <w:lang w:val="en-GB"/>
        </w:rPr>
        <w:t>Online Resource-</w:t>
      </w:r>
      <w:r w:rsidRPr="00490FC9">
        <w:rPr>
          <w:color w:val="000000" w:themeColor="text1"/>
          <w:sz w:val="24"/>
          <w:szCs w:val="24"/>
          <w:lang w:val="en-GB"/>
        </w:rPr>
        <w:t>Table 1)</w:t>
      </w:r>
      <w:r w:rsidRPr="00490FC9">
        <w:rPr>
          <w:noProof/>
          <w:color w:val="000000" w:themeColor="text1"/>
          <w:sz w:val="24"/>
          <w:szCs w:val="24"/>
          <w:lang w:val="en-GB"/>
        </w:rPr>
        <w:t>. To calculate these amounts, the composition of extracts shown in</w:t>
      </w:r>
      <w:r w:rsidR="00B111AC">
        <w:rPr>
          <w:noProof/>
          <w:color w:val="000000" w:themeColor="text1"/>
          <w:sz w:val="24"/>
          <w:szCs w:val="24"/>
          <w:lang w:val="en-GB"/>
        </w:rPr>
        <w:t xml:space="preserve"> Table 1 of</w:t>
      </w:r>
      <w:r w:rsidR="009D0E44">
        <w:rPr>
          <w:noProof/>
          <w:color w:val="000000" w:themeColor="text1"/>
          <w:sz w:val="24"/>
          <w:szCs w:val="24"/>
          <w:lang w:val="en-GB"/>
        </w:rPr>
        <w:t xml:space="preserve"> the</w:t>
      </w:r>
      <w:r w:rsidRPr="00490FC9">
        <w:rPr>
          <w:noProof/>
          <w:color w:val="000000" w:themeColor="text1"/>
          <w:sz w:val="24"/>
          <w:szCs w:val="24"/>
          <w:lang w:val="en-GB"/>
        </w:rPr>
        <w:t xml:space="preserve"> Results section</w:t>
      </w:r>
      <w:r w:rsidR="00B111AC">
        <w:rPr>
          <w:noProof/>
          <w:color w:val="000000" w:themeColor="text1"/>
          <w:sz w:val="24"/>
          <w:szCs w:val="24"/>
          <w:lang w:val="en-GB"/>
        </w:rPr>
        <w:t xml:space="preserve"> of the article</w:t>
      </w:r>
      <w:r w:rsidRPr="00490FC9">
        <w:rPr>
          <w:noProof/>
          <w:color w:val="000000" w:themeColor="text1"/>
          <w:sz w:val="24"/>
          <w:szCs w:val="24"/>
          <w:lang w:val="en-GB"/>
        </w:rPr>
        <w:t xml:space="preserve"> was used. Each experiment was performed three times.</w:t>
      </w:r>
    </w:p>
    <w:p w:rsidR="00304B41" w:rsidRPr="00490FC9" w:rsidRDefault="00B111AC" w:rsidP="00304B41">
      <w:pPr>
        <w:pStyle w:val="Textoindependiente"/>
        <w:tabs>
          <w:tab w:val="left" w:pos="709"/>
        </w:tabs>
        <w:kinsoku w:val="0"/>
        <w:overflowPunct w:val="0"/>
        <w:spacing w:line="360" w:lineRule="auto"/>
        <w:ind w:left="0" w:right="34" w:firstLine="567"/>
        <w:rPr>
          <w:noProof/>
          <w:color w:val="000000" w:themeColor="text1"/>
          <w:sz w:val="24"/>
          <w:szCs w:val="24"/>
          <w:lang w:val="en-GB"/>
        </w:rPr>
      </w:pPr>
      <w:r w:rsidRPr="00B111AC">
        <w:rPr>
          <w:b/>
          <w:color w:val="000000" w:themeColor="text1"/>
          <w:sz w:val="24"/>
          <w:szCs w:val="24"/>
          <w:lang w:val="en-GB"/>
        </w:rPr>
        <w:t>Online Resource-</w:t>
      </w:r>
      <w:r w:rsidR="00304B41" w:rsidRPr="00B111AC">
        <w:rPr>
          <w:b/>
          <w:noProof/>
          <w:color w:val="000000" w:themeColor="text1"/>
          <w:sz w:val="24"/>
          <w:szCs w:val="24"/>
          <w:lang w:val="en-GB"/>
        </w:rPr>
        <w:t>Table</w:t>
      </w:r>
      <w:r w:rsidR="00304B41" w:rsidRPr="00490FC9">
        <w:rPr>
          <w:b/>
          <w:noProof/>
          <w:color w:val="000000" w:themeColor="text1"/>
          <w:sz w:val="24"/>
          <w:szCs w:val="24"/>
          <w:lang w:val="en-GB"/>
        </w:rPr>
        <w:t xml:space="preserve"> 1. </w:t>
      </w:r>
      <w:r w:rsidR="00304B41" w:rsidRPr="00490FC9">
        <w:rPr>
          <w:noProof/>
          <w:color w:val="000000" w:themeColor="text1"/>
          <w:sz w:val="24"/>
          <w:szCs w:val="24"/>
          <w:lang w:val="en-GB"/>
        </w:rPr>
        <w:t xml:space="preserve">Amount of each compound in the incubation media of treated cells </w:t>
      </w:r>
    </w:p>
    <w:tbl>
      <w:tblPr>
        <w:tblStyle w:val="Tablaconcuadrcula"/>
        <w:tblW w:w="6099" w:type="dxa"/>
        <w:tblInd w:w="56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3405"/>
      </w:tblGrid>
      <w:tr w:rsidR="00304B41" w:rsidRPr="00490FC9" w:rsidTr="006B79CA">
        <w:trPr>
          <w:trHeight w:val="272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4B41" w:rsidRPr="00490FC9" w:rsidRDefault="00304B41" w:rsidP="006B79CA">
            <w:pPr>
              <w:pStyle w:val="Textoindependiente"/>
              <w:tabs>
                <w:tab w:val="left" w:pos="8789"/>
              </w:tabs>
              <w:kinsoku w:val="0"/>
              <w:overflowPunct w:val="0"/>
              <w:spacing w:line="276" w:lineRule="auto"/>
              <w:ind w:left="0"/>
              <w:jc w:val="center"/>
              <w:rPr>
                <w:b/>
                <w:noProof/>
                <w:color w:val="000000" w:themeColor="text1"/>
                <w:sz w:val="24"/>
                <w:szCs w:val="24"/>
                <w:lang w:val="en-GB"/>
              </w:rPr>
            </w:pPr>
            <w:r w:rsidRPr="00490FC9">
              <w:rPr>
                <w:b/>
                <w:noProof/>
                <w:color w:val="000000" w:themeColor="text1"/>
                <w:sz w:val="24"/>
                <w:szCs w:val="24"/>
                <w:lang w:val="en-GB"/>
              </w:rPr>
              <w:t>Bioactive compound</w:t>
            </w:r>
          </w:p>
        </w:tc>
        <w:tc>
          <w:tcPr>
            <w:tcW w:w="34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4B41" w:rsidRPr="00490FC9" w:rsidRDefault="00304B41" w:rsidP="006B79CA">
            <w:pPr>
              <w:pStyle w:val="Textoindependiente"/>
              <w:tabs>
                <w:tab w:val="left" w:pos="8789"/>
              </w:tabs>
              <w:kinsoku w:val="0"/>
              <w:overflowPunct w:val="0"/>
              <w:spacing w:line="276" w:lineRule="auto"/>
              <w:ind w:left="0"/>
              <w:jc w:val="center"/>
              <w:rPr>
                <w:b/>
                <w:noProof/>
                <w:color w:val="000000" w:themeColor="text1"/>
                <w:sz w:val="24"/>
                <w:szCs w:val="24"/>
                <w:lang w:val="en-GB"/>
              </w:rPr>
            </w:pPr>
            <w:r w:rsidRPr="00490FC9">
              <w:rPr>
                <w:b/>
                <w:noProof/>
                <w:color w:val="000000" w:themeColor="text1"/>
                <w:sz w:val="24"/>
                <w:szCs w:val="24"/>
                <w:lang w:val="en-GB"/>
              </w:rPr>
              <w:t xml:space="preserve">Compound quantity in the incubation media (µg/mL) </w:t>
            </w:r>
          </w:p>
        </w:tc>
      </w:tr>
      <w:tr w:rsidR="00304B41" w:rsidRPr="00490FC9" w:rsidTr="006B79CA">
        <w:trPr>
          <w:trHeight w:val="278"/>
        </w:trPr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304B41" w:rsidRPr="00490FC9" w:rsidRDefault="00304B41" w:rsidP="006B79CA">
            <w:pPr>
              <w:pStyle w:val="Textoindependiente"/>
              <w:tabs>
                <w:tab w:val="left" w:pos="8789"/>
              </w:tabs>
              <w:kinsoku w:val="0"/>
              <w:overflowPunct w:val="0"/>
              <w:spacing w:line="276" w:lineRule="auto"/>
              <w:ind w:left="0"/>
              <w:jc w:val="center"/>
              <w:rPr>
                <w:noProof/>
                <w:color w:val="000000" w:themeColor="text1"/>
                <w:sz w:val="24"/>
                <w:szCs w:val="24"/>
                <w:lang w:val="en-GB"/>
              </w:rPr>
            </w:pPr>
            <w:r w:rsidRPr="00490FC9">
              <w:rPr>
                <w:noProof/>
                <w:color w:val="000000" w:themeColor="text1"/>
                <w:sz w:val="24"/>
                <w:szCs w:val="24"/>
                <w:lang w:val="en-GB"/>
              </w:rPr>
              <w:t>Indicaxantin</w:t>
            </w:r>
          </w:p>
        </w:tc>
        <w:tc>
          <w:tcPr>
            <w:tcW w:w="3405" w:type="dxa"/>
            <w:tcBorders>
              <w:top w:val="single" w:sz="4" w:space="0" w:color="auto"/>
            </w:tcBorders>
            <w:vAlign w:val="center"/>
          </w:tcPr>
          <w:p w:rsidR="00304B41" w:rsidRPr="00490FC9" w:rsidRDefault="00304B41" w:rsidP="006B79CA">
            <w:pPr>
              <w:pStyle w:val="Textoindependiente"/>
              <w:tabs>
                <w:tab w:val="left" w:pos="8789"/>
              </w:tabs>
              <w:kinsoku w:val="0"/>
              <w:overflowPunct w:val="0"/>
              <w:spacing w:line="276" w:lineRule="auto"/>
              <w:ind w:left="0"/>
              <w:jc w:val="center"/>
              <w:rPr>
                <w:noProof/>
                <w:color w:val="000000" w:themeColor="text1"/>
                <w:sz w:val="24"/>
                <w:szCs w:val="24"/>
                <w:lang w:val="en-GB"/>
              </w:rPr>
            </w:pPr>
            <w:r w:rsidRPr="00490FC9">
              <w:rPr>
                <w:noProof/>
                <w:color w:val="000000" w:themeColor="text1"/>
                <w:sz w:val="24"/>
                <w:szCs w:val="24"/>
                <w:lang w:val="en-GB"/>
              </w:rPr>
              <w:t>0.0225</w:t>
            </w:r>
          </w:p>
        </w:tc>
      </w:tr>
      <w:tr w:rsidR="00304B41" w:rsidRPr="00490FC9" w:rsidTr="006B79CA">
        <w:trPr>
          <w:trHeight w:val="239"/>
        </w:trPr>
        <w:tc>
          <w:tcPr>
            <w:tcW w:w="2694" w:type="dxa"/>
            <w:vAlign w:val="center"/>
          </w:tcPr>
          <w:p w:rsidR="00304B41" w:rsidRPr="00490FC9" w:rsidRDefault="00304B41" w:rsidP="006B79CA">
            <w:pPr>
              <w:pStyle w:val="Textoindependiente"/>
              <w:tabs>
                <w:tab w:val="left" w:pos="8789"/>
              </w:tabs>
              <w:kinsoku w:val="0"/>
              <w:overflowPunct w:val="0"/>
              <w:spacing w:line="276" w:lineRule="auto"/>
              <w:ind w:left="0"/>
              <w:jc w:val="center"/>
              <w:rPr>
                <w:noProof/>
                <w:color w:val="000000" w:themeColor="text1"/>
                <w:sz w:val="24"/>
                <w:szCs w:val="24"/>
                <w:lang w:val="en-GB"/>
              </w:rPr>
            </w:pPr>
            <w:r w:rsidRPr="00490FC9">
              <w:rPr>
                <w:noProof/>
                <w:color w:val="000000" w:themeColor="text1"/>
                <w:sz w:val="24"/>
                <w:szCs w:val="24"/>
                <w:lang w:val="en-GB"/>
              </w:rPr>
              <w:t>Betanin</w:t>
            </w:r>
          </w:p>
        </w:tc>
        <w:tc>
          <w:tcPr>
            <w:tcW w:w="3405" w:type="dxa"/>
            <w:vAlign w:val="center"/>
          </w:tcPr>
          <w:p w:rsidR="00304B41" w:rsidRPr="00490FC9" w:rsidRDefault="00304B41" w:rsidP="006B79CA">
            <w:pPr>
              <w:pStyle w:val="Textoindependiente"/>
              <w:tabs>
                <w:tab w:val="left" w:pos="8789"/>
              </w:tabs>
              <w:kinsoku w:val="0"/>
              <w:overflowPunct w:val="0"/>
              <w:spacing w:line="276" w:lineRule="auto"/>
              <w:ind w:left="0"/>
              <w:jc w:val="center"/>
              <w:rPr>
                <w:noProof/>
                <w:color w:val="000000" w:themeColor="text1"/>
                <w:sz w:val="24"/>
                <w:szCs w:val="24"/>
                <w:lang w:val="en-GB"/>
              </w:rPr>
            </w:pPr>
            <w:r w:rsidRPr="00490FC9">
              <w:rPr>
                <w:noProof/>
                <w:color w:val="000000" w:themeColor="text1"/>
                <w:sz w:val="24"/>
                <w:szCs w:val="24"/>
                <w:lang w:val="en-GB"/>
              </w:rPr>
              <w:t>0.0045</w:t>
            </w:r>
          </w:p>
        </w:tc>
      </w:tr>
      <w:tr w:rsidR="00304B41" w:rsidRPr="00490FC9" w:rsidTr="006B79CA">
        <w:trPr>
          <w:trHeight w:val="256"/>
        </w:trPr>
        <w:tc>
          <w:tcPr>
            <w:tcW w:w="2694" w:type="dxa"/>
            <w:vAlign w:val="center"/>
          </w:tcPr>
          <w:p w:rsidR="00304B41" w:rsidRPr="00490FC9" w:rsidRDefault="00304B41" w:rsidP="006B79CA">
            <w:pPr>
              <w:pStyle w:val="Textoindependiente"/>
              <w:tabs>
                <w:tab w:val="left" w:pos="8789"/>
              </w:tabs>
              <w:kinsoku w:val="0"/>
              <w:overflowPunct w:val="0"/>
              <w:spacing w:line="276" w:lineRule="auto"/>
              <w:ind w:left="0"/>
              <w:jc w:val="center"/>
              <w:rPr>
                <w:noProof/>
                <w:color w:val="000000" w:themeColor="text1"/>
                <w:sz w:val="24"/>
                <w:szCs w:val="24"/>
                <w:lang w:val="en-GB"/>
              </w:rPr>
            </w:pPr>
            <w:r w:rsidRPr="00490FC9">
              <w:rPr>
                <w:noProof/>
                <w:color w:val="000000" w:themeColor="text1"/>
                <w:sz w:val="24"/>
                <w:szCs w:val="24"/>
                <w:lang w:val="en-GB"/>
              </w:rPr>
              <w:t>Piscidic acid</w:t>
            </w:r>
          </w:p>
        </w:tc>
        <w:tc>
          <w:tcPr>
            <w:tcW w:w="3405" w:type="dxa"/>
            <w:vAlign w:val="center"/>
          </w:tcPr>
          <w:p w:rsidR="00304B41" w:rsidRPr="00490FC9" w:rsidRDefault="00304B41" w:rsidP="006B79CA">
            <w:pPr>
              <w:pStyle w:val="Textoindependiente"/>
              <w:tabs>
                <w:tab w:val="left" w:pos="8789"/>
              </w:tabs>
              <w:kinsoku w:val="0"/>
              <w:overflowPunct w:val="0"/>
              <w:spacing w:line="276" w:lineRule="auto"/>
              <w:ind w:left="0"/>
              <w:jc w:val="center"/>
              <w:rPr>
                <w:noProof/>
                <w:color w:val="000000" w:themeColor="text1"/>
                <w:sz w:val="24"/>
                <w:szCs w:val="24"/>
                <w:lang w:val="en-GB"/>
              </w:rPr>
            </w:pPr>
            <w:r w:rsidRPr="00490FC9">
              <w:rPr>
                <w:noProof/>
                <w:color w:val="000000" w:themeColor="text1"/>
                <w:sz w:val="24"/>
                <w:szCs w:val="24"/>
                <w:lang w:val="en-GB"/>
              </w:rPr>
              <w:t>2.5495</w:t>
            </w:r>
          </w:p>
        </w:tc>
      </w:tr>
      <w:tr w:rsidR="00304B41" w:rsidRPr="00490FC9" w:rsidTr="006B79CA">
        <w:trPr>
          <w:trHeight w:val="260"/>
        </w:trPr>
        <w:tc>
          <w:tcPr>
            <w:tcW w:w="2694" w:type="dxa"/>
            <w:vAlign w:val="center"/>
          </w:tcPr>
          <w:p w:rsidR="00304B41" w:rsidRPr="00490FC9" w:rsidRDefault="00304B41" w:rsidP="006B79CA">
            <w:pPr>
              <w:pStyle w:val="Textoindependiente"/>
              <w:tabs>
                <w:tab w:val="left" w:pos="8789"/>
              </w:tabs>
              <w:kinsoku w:val="0"/>
              <w:overflowPunct w:val="0"/>
              <w:spacing w:line="276" w:lineRule="auto"/>
              <w:ind w:left="0"/>
              <w:jc w:val="center"/>
              <w:rPr>
                <w:noProof/>
                <w:color w:val="000000" w:themeColor="text1"/>
                <w:sz w:val="24"/>
                <w:szCs w:val="24"/>
                <w:lang w:val="en-GB"/>
              </w:rPr>
            </w:pPr>
            <w:r w:rsidRPr="00490FC9">
              <w:rPr>
                <w:noProof/>
                <w:color w:val="000000" w:themeColor="text1"/>
                <w:sz w:val="24"/>
                <w:szCs w:val="24"/>
                <w:lang w:val="en-GB"/>
              </w:rPr>
              <w:t>IG1</w:t>
            </w:r>
          </w:p>
        </w:tc>
        <w:tc>
          <w:tcPr>
            <w:tcW w:w="3405" w:type="dxa"/>
            <w:vAlign w:val="center"/>
          </w:tcPr>
          <w:p w:rsidR="00304B41" w:rsidRPr="00490FC9" w:rsidRDefault="00304B41" w:rsidP="006B79CA">
            <w:pPr>
              <w:pStyle w:val="Textoindependiente"/>
              <w:tabs>
                <w:tab w:val="left" w:pos="8789"/>
              </w:tabs>
              <w:kinsoku w:val="0"/>
              <w:overflowPunct w:val="0"/>
              <w:spacing w:line="276" w:lineRule="auto"/>
              <w:ind w:left="0"/>
              <w:jc w:val="center"/>
              <w:rPr>
                <w:noProof/>
                <w:color w:val="000000" w:themeColor="text1"/>
                <w:sz w:val="24"/>
                <w:szCs w:val="24"/>
                <w:lang w:val="en-GB"/>
              </w:rPr>
            </w:pPr>
            <w:r w:rsidRPr="00490FC9">
              <w:rPr>
                <w:noProof/>
                <w:color w:val="000000" w:themeColor="text1"/>
                <w:sz w:val="24"/>
                <w:szCs w:val="24"/>
                <w:lang w:val="en-GB"/>
              </w:rPr>
              <w:t>0.0110</w:t>
            </w:r>
          </w:p>
        </w:tc>
      </w:tr>
      <w:tr w:rsidR="00304B41" w:rsidRPr="00490FC9" w:rsidTr="006B79CA">
        <w:trPr>
          <w:trHeight w:val="269"/>
        </w:trPr>
        <w:tc>
          <w:tcPr>
            <w:tcW w:w="2694" w:type="dxa"/>
            <w:vAlign w:val="center"/>
          </w:tcPr>
          <w:p w:rsidR="00304B41" w:rsidRPr="00490FC9" w:rsidRDefault="00304B41" w:rsidP="006B79CA">
            <w:pPr>
              <w:pStyle w:val="Textoindependiente"/>
              <w:tabs>
                <w:tab w:val="left" w:pos="8789"/>
              </w:tabs>
              <w:kinsoku w:val="0"/>
              <w:overflowPunct w:val="0"/>
              <w:spacing w:line="276" w:lineRule="auto"/>
              <w:ind w:left="0"/>
              <w:jc w:val="center"/>
              <w:rPr>
                <w:noProof/>
                <w:color w:val="000000" w:themeColor="text1"/>
                <w:sz w:val="24"/>
                <w:szCs w:val="24"/>
                <w:lang w:val="en-GB"/>
              </w:rPr>
            </w:pPr>
            <w:r w:rsidRPr="00490FC9">
              <w:rPr>
                <w:noProof/>
                <w:color w:val="000000" w:themeColor="text1"/>
                <w:sz w:val="24"/>
                <w:szCs w:val="24"/>
                <w:lang w:val="en-GB"/>
              </w:rPr>
              <w:t>IG2</w:t>
            </w:r>
          </w:p>
        </w:tc>
        <w:tc>
          <w:tcPr>
            <w:tcW w:w="3405" w:type="dxa"/>
            <w:vAlign w:val="center"/>
          </w:tcPr>
          <w:p w:rsidR="00304B41" w:rsidRPr="00490FC9" w:rsidRDefault="00304B41" w:rsidP="006B79CA">
            <w:pPr>
              <w:pStyle w:val="Textoindependiente"/>
              <w:tabs>
                <w:tab w:val="left" w:pos="8789"/>
              </w:tabs>
              <w:kinsoku w:val="0"/>
              <w:overflowPunct w:val="0"/>
              <w:spacing w:line="276" w:lineRule="auto"/>
              <w:ind w:left="0"/>
              <w:jc w:val="center"/>
              <w:rPr>
                <w:noProof/>
                <w:color w:val="000000" w:themeColor="text1"/>
                <w:sz w:val="24"/>
                <w:szCs w:val="24"/>
                <w:lang w:val="en-GB"/>
              </w:rPr>
            </w:pPr>
            <w:r w:rsidRPr="00490FC9">
              <w:rPr>
                <w:noProof/>
                <w:color w:val="000000" w:themeColor="text1"/>
                <w:sz w:val="24"/>
                <w:szCs w:val="24"/>
                <w:lang w:val="en-GB"/>
              </w:rPr>
              <w:t>0.0105</w:t>
            </w:r>
          </w:p>
        </w:tc>
      </w:tr>
      <w:tr w:rsidR="00304B41" w:rsidRPr="00490FC9" w:rsidTr="006B79CA">
        <w:trPr>
          <w:trHeight w:val="268"/>
        </w:trPr>
        <w:tc>
          <w:tcPr>
            <w:tcW w:w="2694" w:type="dxa"/>
            <w:vAlign w:val="center"/>
          </w:tcPr>
          <w:p w:rsidR="00304B41" w:rsidRPr="00490FC9" w:rsidRDefault="00304B41" w:rsidP="006B79CA">
            <w:pPr>
              <w:pStyle w:val="Textoindependiente"/>
              <w:tabs>
                <w:tab w:val="left" w:pos="8789"/>
              </w:tabs>
              <w:kinsoku w:val="0"/>
              <w:overflowPunct w:val="0"/>
              <w:spacing w:line="276" w:lineRule="auto"/>
              <w:ind w:left="0"/>
              <w:jc w:val="center"/>
              <w:rPr>
                <w:noProof/>
                <w:color w:val="000000" w:themeColor="text1"/>
                <w:sz w:val="24"/>
                <w:szCs w:val="24"/>
                <w:lang w:val="en-GB"/>
              </w:rPr>
            </w:pPr>
            <w:r w:rsidRPr="00490FC9">
              <w:rPr>
                <w:noProof/>
                <w:color w:val="000000" w:themeColor="text1"/>
                <w:sz w:val="24"/>
                <w:szCs w:val="24"/>
                <w:lang w:val="en-GB"/>
              </w:rPr>
              <w:t>IG4</w:t>
            </w:r>
          </w:p>
        </w:tc>
        <w:tc>
          <w:tcPr>
            <w:tcW w:w="3405" w:type="dxa"/>
            <w:vAlign w:val="center"/>
          </w:tcPr>
          <w:p w:rsidR="00304B41" w:rsidRPr="00490FC9" w:rsidRDefault="00304B41" w:rsidP="006B79CA">
            <w:pPr>
              <w:pStyle w:val="Textoindependiente"/>
              <w:tabs>
                <w:tab w:val="left" w:pos="8789"/>
              </w:tabs>
              <w:kinsoku w:val="0"/>
              <w:overflowPunct w:val="0"/>
              <w:spacing w:line="276" w:lineRule="auto"/>
              <w:ind w:left="0"/>
              <w:jc w:val="center"/>
              <w:rPr>
                <w:noProof/>
                <w:color w:val="000000" w:themeColor="text1"/>
                <w:sz w:val="24"/>
                <w:szCs w:val="24"/>
                <w:lang w:val="en-GB"/>
              </w:rPr>
            </w:pPr>
            <w:r w:rsidRPr="00490FC9">
              <w:rPr>
                <w:noProof/>
                <w:color w:val="000000" w:themeColor="text1"/>
                <w:sz w:val="24"/>
                <w:szCs w:val="24"/>
                <w:lang w:val="en-GB"/>
              </w:rPr>
              <w:t>0.0060</w:t>
            </w:r>
          </w:p>
        </w:tc>
      </w:tr>
      <w:tr w:rsidR="00304B41" w:rsidRPr="00490FC9" w:rsidTr="006B79CA">
        <w:trPr>
          <w:trHeight w:val="246"/>
        </w:trPr>
        <w:tc>
          <w:tcPr>
            <w:tcW w:w="2694" w:type="dxa"/>
            <w:vAlign w:val="center"/>
          </w:tcPr>
          <w:p w:rsidR="00304B41" w:rsidRPr="00490FC9" w:rsidRDefault="00304B41" w:rsidP="006B79CA">
            <w:pPr>
              <w:pStyle w:val="Textoindependiente"/>
              <w:tabs>
                <w:tab w:val="left" w:pos="8789"/>
              </w:tabs>
              <w:kinsoku w:val="0"/>
              <w:overflowPunct w:val="0"/>
              <w:spacing w:line="276" w:lineRule="auto"/>
              <w:ind w:left="0"/>
              <w:jc w:val="center"/>
              <w:rPr>
                <w:noProof/>
                <w:color w:val="000000" w:themeColor="text1"/>
                <w:sz w:val="24"/>
                <w:szCs w:val="24"/>
                <w:lang w:val="en-GB"/>
              </w:rPr>
            </w:pPr>
            <w:r w:rsidRPr="00490FC9">
              <w:rPr>
                <w:noProof/>
                <w:color w:val="000000" w:themeColor="text1"/>
                <w:sz w:val="24"/>
                <w:szCs w:val="24"/>
                <w:lang w:val="en-GB"/>
              </w:rPr>
              <w:t>IG5</w:t>
            </w:r>
          </w:p>
        </w:tc>
        <w:tc>
          <w:tcPr>
            <w:tcW w:w="3405" w:type="dxa"/>
          </w:tcPr>
          <w:p w:rsidR="00304B41" w:rsidRPr="00490FC9" w:rsidRDefault="00304B41" w:rsidP="006B79CA">
            <w:pPr>
              <w:pStyle w:val="Textoindependiente"/>
              <w:tabs>
                <w:tab w:val="left" w:pos="8789"/>
              </w:tabs>
              <w:kinsoku w:val="0"/>
              <w:overflowPunct w:val="0"/>
              <w:spacing w:line="276" w:lineRule="auto"/>
              <w:ind w:left="0"/>
              <w:jc w:val="center"/>
              <w:rPr>
                <w:noProof/>
                <w:color w:val="000000" w:themeColor="text1"/>
                <w:sz w:val="24"/>
                <w:szCs w:val="24"/>
                <w:lang w:val="en-GB"/>
              </w:rPr>
            </w:pPr>
            <w:r w:rsidRPr="00490FC9">
              <w:rPr>
                <w:noProof/>
                <w:color w:val="000000" w:themeColor="text1"/>
                <w:sz w:val="24"/>
                <w:szCs w:val="24"/>
                <w:lang w:val="en-GB"/>
              </w:rPr>
              <w:t>0.0160</w:t>
            </w:r>
          </w:p>
        </w:tc>
      </w:tr>
    </w:tbl>
    <w:p w:rsidR="00304B41" w:rsidRPr="00490FC9" w:rsidRDefault="00304B41" w:rsidP="00304B41">
      <w:pPr>
        <w:pStyle w:val="Textoindependiente"/>
        <w:kinsoku w:val="0"/>
        <w:overflowPunct w:val="0"/>
        <w:spacing w:line="480" w:lineRule="auto"/>
        <w:ind w:left="0"/>
        <w:rPr>
          <w:b/>
          <w:i/>
          <w:noProof/>
          <w:sz w:val="24"/>
          <w:szCs w:val="24"/>
          <w:lang w:val="en-GB"/>
        </w:rPr>
      </w:pPr>
    </w:p>
    <w:p w:rsidR="00304B41" w:rsidRPr="00490FC9" w:rsidRDefault="00304B41" w:rsidP="00304B41">
      <w:pPr>
        <w:pStyle w:val="Textoindependiente"/>
        <w:kinsoku w:val="0"/>
        <w:overflowPunct w:val="0"/>
        <w:spacing w:line="480" w:lineRule="auto"/>
        <w:ind w:left="0"/>
        <w:rPr>
          <w:noProof/>
          <w:sz w:val="24"/>
          <w:szCs w:val="24"/>
          <w:lang w:val="en-GB"/>
        </w:rPr>
      </w:pPr>
      <w:r w:rsidRPr="003232C5">
        <w:rPr>
          <w:b/>
          <w:i/>
          <w:noProof/>
          <w:sz w:val="24"/>
          <w:szCs w:val="24"/>
          <w:lang w:val="en-GB"/>
        </w:rPr>
        <w:t>Cell viability</w:t>
      </w:r>
      <w:r w:rsidRPr="003232C5">
        <w:rPr>
          <w:b/>
          <w:i/>
          <w:noProof/>
          <w:spacing w:val="-1"/>
          <w:sz w:val="24"/>
          <w:szCs w:val="24"/>
          <w:lang w:val="en-GB"/>
        </w:rPr>
        <w:t xml:space="preserve"> </w:t>
      </w:r>
      <w:r w:rsidRPr="003232C5">
        <w:rPr>
          <w:b/>
          <w:i/>
          <w:noProof/>
          <w:sz w:val="24"/>
          <w:szCs w:val="24"/>
          <w:lang w:val="en-GB"/>
        </w:rPr>
        <w:t>assay</w:t>
      </w:r>
    </w:p>
    <w:p w:rsidR="00304B41" w:rsidRPr="00490FC9" w:rsidRDefault="00214F1C" w:rsidP="00082098">
      <w:pPr>
        <w:pStyle w:val="Textoindependiente"/>
        <w:kinsoku w:val="0"/>
        <w:overflowPunct w:val="0"/>
        <w:spacing w:line="480" w:lineRule="auto"/>
        <w:ind w:left="0" w:firstLine="567"/>
        <w:rPr>
          <w:noProof/>
          <w:sz w:val="24"/>
          <w:szCs w:val="24"/>
          <w:lang w:val="en-GB"/>
        </w:rPr>
      </w:pPr>
      <w:r>
        <w:rPr>
          <w:noProof/>
          <w:sz w:val="24"/>
          <w:szCs w:val="24"/>
          <w:lang w:val="en-GB"/>
        </w:rPr>
        <w:t xml:space="preserve">Cells were seeded and incubated in </w:t>
      </w:r>
      <w:r w:rsidRPr="00490FC9">
        <w:rPr>
          <w:noProof/>
          <w:sz w:val="24"/>
          <w:szCs w:val="24"/>
          <w:lang w:val="en-GB"/>
        </w:rPr>
        <w:t>96-well plates</w:t>
      </w:r>
      <w:r>
        <w:rPr>
          <w:noProof/>
          <w:sz w:val="24"/>
          <w:szCs w:val="24"/>
          <w:lang w:val="en-GB"/>
        </w:rPr>
        <w:t xml:space="preserve"> at the same incubation conditions as describe</w:t>
      </w:r>
      <w:r w:rsidR="003232C5">
        <w:rPr>
          <w:noProof/>
          <w:sz w:val="24"/>
          <w:szCs w:val="24"/>
          <w:lang w:val="en-GB"/>
        </w:rPr>
        <w:t>d</w:t>
      </w:r>
      <w:r>
        <w:rPr>
          <w:noProof/>
          <w:sz w:val="24"/>
          <w:szCs w:val="24"/>
          <w:lang w:val="en-GB"/>
        </w:rPr>
        <w:t xml:space="preserve"> before and treated </w:t>
      </w:r>
      <w:r w:rsidR="00304B41" w:rsidRPr="00490FC9">
        <w:rPr>
          <w:noProof/>
          <w:sz w:val="24"/>
          <w:szCs w:val="24"/>
          <w:lang w:val="en-GB"/>
        </w:rPr>
        <w:t>with all prickly pear (</w:t>
      </w:r>
      <w:r w:rsidR="00304B41" w:rsidRPr="00490FC9">
        <w:rPr>
          <w:i/>
          <w:iCs/>
          <w:noProof/>
          <w:sz w:val="24"/>
          <w:szCs w:val="24"/>
          <w:lang w:val="en-GB"/>
        </w:rPr>
        <w:t xml:space="preserve">Opuntia ficus-indica </w:t>
      </w:r>
      <w:r w:rsidR="00304B41" w:rsidRPr="00490FC9">
        <w:rPr>
          <w:noProof/>
          <w:sz w:val="24"/>
          <w:szCs w:val="24"/>
          <w:lang w:val="en-GB"/>
        </w:rPr>
        <w:t xml:space="preserve">L. Mill.) peel or pulp aqueous extracts at 200, 100, 50 and 25 µg/mL. </w:t>
      </w:r>
      <w:r>
        <w:rPr>
          <w:noProof/>
          <w:sz w:val="24"/>
          <w:szCs w:val="24"/>
          <w:lang w:val="en-GB"/>
        </w:rPr>
        <w:t xml:space="preserve">For cell viability evaluation, it was performed the violet coloration of living cells </w:t>
      </w:r>
      <w:r w:rsidR="00DE1168">
        <w:rPr>
          <w:noProof/>
          <w:sz w:val="24"/>
          <w:szCs w:val="24"/>
          <w:lang w:val="en-GB"/>
        </w:rPr>
        <w:t>as previously described</w:t>
      </w:r>
      <w:r>
        <w:rPr>
          <w:noProof/>
          <w:sz w:val="24"/>
          <w:szCs w:val="24"/>
          <w:lang w:val="en-GB"/>
        </w:rPr>
        <w:t xml:space="preserve"> </w:t>
      </w:r>
      <w:r w:rsidR="00F0630A" w:rsidRPr="00490FC9">
        <w:rPr>
          <w:noProof/>
          <w:sz w:val="24"/>
          <w:szCs w:val="24"/>
          <w:lang w:val="en-GB"/>
        </w:rPr>
        <w:fldChar w:fldCharType="begin"/>
      </w:r>
      <w:r w:rsidR="00304B41" w:rsidRPr="00490FC9">
        <w:rPr>
          <w:noProof/>
          <w:sz w:val="24"/>
          <w:szCs w:val="24"/>
          <w:lang w:val="en-GB"/>
        </w:rPr>
        <w:instrText>ADDIN RW.CITE{{271 Gillies,R.J. 1986}}</w:instrText>
      </w:r>
      <w:r w:rsidR="00F0630A" w:rsidRPr="00490FC9">
        <w:rPr>
          <w:noProof/>
          <w:sz w:val="24"/>
          <w:szCs w:val="24"/>
          <w:lang w:val="en-GB"/>
        </w:rPr>
        <w:fldChar w:fldCharType="separate"/>
      </w:r>
      <w:r w:rsidR="00554812" w:rsidRPr="00554812">
        <w:rPr>
          <w:bCs/>
          <w:noProof/>
          <w:sz w:val="24"/>
          <w:szCs w:val="24"/>
          <w:lang w:val="en-US"/>
        </w:rPr>
        <w:t>[3]</w:t>
      </w:r>
      <w:r w:rsidR="00F0630A" w:rsidRPr="00490FC9">
        <w:rPr>
          <w:noProof/>
          <w:sz w:val="24"/>
          <w:szCs w:val="24"/>
          <w:lang w:val="en-GB"/>
        </w:rPr>
        <w:fldChar w:fldCharType="end"/>
      </w:r>
      <w:r w:rsidR="00304B41" w:rsidRPr="00490FC9">
        <w:rPr>
          <w:noProof/>
          <w:sz w:val="24"/>
          <w:szCs w:val="24"/>
          <w:lang w:val="en-GB"/>
        </w:rPr>
        <w:t xml:space="preserve">. </w:t>
      </w:r>
      <w:r w:rsidR="00DE1168">
        <w:rPr>
          <w:noProof/>
          <w:sz w:val="24"/>
          <w:szCs w:val="24"/>
          <w:lang w:val="en-GB"/>
        </w:rPr>
        <w:t xml:space="preserve">For cell coloration, the incubation medium was removed and cells were washed </w:t>
      </w:r>
      <w:r w:rsidR="00B37F61">
        <w:rPr>
          <w:noProof/>
          <w:sz w:val="24"/>
          <w:szCs w:val="24"/>
          <w:lang w:val="en-GB"/>
        </w:rPr>
        <w:lastRenderedPageBreak/>
        <w:t xml:space="preserve">with </w:t>
      </w:r>
      <w:r w:rsidR="00B37F61" w:rsidRPr="00490FC9">
        <w:rPr>
          <w:noProof/>
          <w:sz w:val="24"/>
          <w:szCs w:val="24"/>
          <w:lang w:val="en-GB"/>
        </w:rPr>
        <w:t>sterile phosphate buffer saline (</w:t>
      </w:r>
      <w:r w:rsidR="00B37F61" w:rsidRPr="00B37F61">
        <w:rPr>
          <w:noProof/>
          <w:sz w:val="24"/>
          <w:szCs w:val="24"/>
          <w:lang w:val="en-GB"/>
        </w:rPr>
        <w:t xml:space="preserve">PBS) </w:t>
      </w:r>
      <w:r w:rsidR="00B37F61" w:rsidRPr="00B37F61">
        <w:rPr>
          <w:color w:val="000000"/>
          <w:sz w:val="24"/>
          <w:szCs w:val="24"/>
        </w:rPr>
        <w:t>10 mM</w:t>
      </w:r>
      <w:r w:rsidR="00B37F61">
        <w:rPr>
          <w:color w:val="000000"/>
          <w:sz w:val="24"/>
          <w:szCs w:val="24"/>
        </w:rPr>
        <w:t xml:space="preserve">. After that, cells were fixed with </w:t>
      </w:r>
      <w:r w:rsidR="00B37F61" w:rsidRPr="00490FC9">
        <w:rPr>
          <w:noProof/>
          <w:sz w:val="24"/>
          <w:szCs w:val="24"/>
          <w:lang w:val="en-GB"/>
        </w:rPr>
        <w:t>formaldehyde (3.7%)</w:t>
      </w:r>
      <w:r w:rsidR="00B37F61">
        <w:rPr>
          <w:noProof/>
          <w:sz w:val="24"/>
          <w:szCs w:val="24"/>
          <w:lang w:val="en-GB"/>
        </w:rPr>
        <w:t>,</w:t>
      </w:r>
      <w:r w:rsidR="00B37F61">
        <w:rPr>
          <w:color w:val="000000"/>
          <w:sz w:val="24"/>
          <w:szCs w:val="24"/>
        </w:rPr>
        <w:t xml:space="preserve"> and after a double PBS whasing, stained in the dark with </w:t>
      </w:r>
      <w:r w:rsidR="00B37F61" w:rsidRPr="00490FC9">
        <w:rPr>
          <w:noProof/>
          <w:sz w:val="24"/>
          <w:szCs w:val="24"/>
          <w:lang w:val="en-GB"/>
        </w:rPr>
        <w:t>crystal violet</w:t>
      </w:r>
      <w:r w:rsidR="00B37F61">
        <w:rPr>
          <w:noProof/>
          <w:sz w:val="24"/>
          <w:szCs w:val="24"/>
          <w:lang w:val="en-GB"/>
        </w:rPr>
        <w:t xml:space="preserve"> (0.25%) for 20 minutes. </w:t>
      </w:r>
      <w:r w:rsidR="00F512C3">
        <w:rPr>
          <w:noProof/>
          <w:sz w:val="24"/>
          <w:szCs w:val="24"/>
          <w:lang w:val="en-GB"/>
        </w:rPr>
        <w:t>Once the wells were rinsed to remove the excess of dye, t</w:t>
      </w:r>
      <w:r w:rsidR="00304B41" w:rsidRPr="00490FC9">
        <w:rPr>
          <w:noProof/>
          <w:sz w:val="24"/>
          <w:szCs w:val="24"/>
          <w:lang w:val="en-GB"/>
        </w:rPr>
        <w:t>he formed crystals were dissolved in acetic acid</w:t>
      </w:r>
      <w:r w:rsidR="00E0161D">
        <w:rPr>
          <w:noProof/>
          <w:sz w:val="24"/>
          <w:szCs w:val="24"/>
          <w:lang w:val="en-GB"/>
        </w:rPr>
        <w:t xml:space="preserve"> at</w:t>
      </w:r>
      <w:r w:rsidR="00304B41" w:rsidRPr="00490FC9">
        <w:rPr>
          <w:noProof/>
          <w:sz w:val="24"/>
          <w:szCs w:val="24"/>
          <w:lang w:val="en-GB"/>
        </w:rPr>
        <w:t xml:space="preserve"> 33% and</w:t>
      </w:r>
      <w:r w:rsidR="00F512C3">
        <w:rPr>
          <w:noProof/>
          <w:sz w:val="24"/>
          <w:szCs w:val="24"/>
          <w:lang w:val="en-GB"/>
        </w:rPr>
        <w:t xml:space="preserve"> </w:t>
      </w:r>
      <w:r w:rsidR="00F512C3" w:rsidRPr="00490FC9">
        <w:rPr>
          <w:noProof/>
          <w:sz w:val="24"/>
          <w:szCs w:val="24"/>
          <w:lang w:val="en-GB"/>
        </w:rPr>
        <w:t>the absorbance</w:t>
      </w:r>
      <w:r w:rsidR="00F512C3">
        <w:rPr>
          <w:noProof/>
          <w:sz w:val="24"/>
          <w:szCs w:val="24"/>
          <w:lang w:val="en-GB"/>
        </w:rPr>
        <w:t xml:space="preserve"> (</w:t>
      </w:r>
      <w:r w:rsidR="00F512C3" w:rsidRPr="00490FC9">
        <w:rPr>
          <w:noProof/>
          <w:sz w:val="24"/>
          <w:szCs w:val="24"/>
          <w:lang w:val="en-GB"/>
        </w:rPr>
        <w:t>590 nm</w:t>
      </w:r>
      <w:r w:rsidR="00F512C3">
        <w:rPr>
          <w:noProof/>
          <w:sz w:val="24"/>
          <w:szCs w:val="24"/>
          <w:lang w:val="en-GB"/>
        </w:rPr>
        <w:t>) was measured</w:t>
      </w:r>
      <w:r w:rsidR="00F512C3" w:rsidRPr="00F512C3">
        <w:rPr>
          <w:noProof/>
          <w:sz w:val="24"/>
          <w:szCs w:val="24"/>
          <w:lang w:val="en-GB"/>
        </w:rPr>
        <w:t xml:space="preserve"> </w:t>
      </w:r>
      <w:r w:rsidR="00F512C3" w:rsidRPr="00490FC9">
        <w:rPr>
          <w:noProof/>
          <w:sz w:val="24"/>
          <w:szCs w:val="24"/>
          <w:lang w:val="en-GB"/>
        </w:rPr>
        <w:t>with an iMark microplate reader (Bio-Rad, Hercules, CA, USA).</w:t>
      </w:r>
      <w:r w:rsidR="00082098">
        <w:rPr>
          <w:noProof/>
          <w:sz w:val="24"/>
          <w:szCs w:val="24"/>
          <w:lang w:val="en-GB"/>
        </w:rPr>
        <w:t xml:space="preserve"> </w:t>
      </w:r>
      <w:r w:rsidR="00304B41" w:rsidRPr="00490FC9">
        <w:rPr>
          <w:noProof/>
          <w:sz w:val="24"/>
          <w:szCs w:val="24"/>
          <w:lang w:val="en-GB"/>
        </w:rPr>
        <w:t>Results are expressed in arbitrary units.</w:t>
      </w:r>
    </w:p>
    <w:p w:rsidR="00304B41" w:rsidRPr="00490FC9" w:rsidRDefault="00304B41" w:rsidP="00304B41">
      <w:pPr>
        <w:pStyle w:val="Textoindependiente"/>
        <w:kinsoku w:val="0"/>
        <w:overflowPunct w:val="0"/>
        <w:spacing w:line="480" w:lineRule="auto"/>
        <w:ind w:left="0"/>
        <w:rPr>
          <w:noProof/>
          <w:sz w:val="24"/>
          <w:szCs w:val="24"/>
          <w:lang w:val="en-GB"/>
        </w:rPr>
      </w:pPr>
      <w:r w:rsidRPr="00490FC9">
        <w:rPr>
          <w:b/>
          <w:i/>
          <w:noProof/>
          <w:sz w:val="24"/>
          <w:szCs w:val="24"/>
        </w:rPr>
        <w:t>Measure</w:t>
      </w:r>
      <w:r w:rsidR="0005696E">
        <w:rPr>
          <w:b/>
          <w:i/>
          <w:noProof/>
          <w:sz w:val="24"/>
          <w:szCs w:val="24"/>
        </w:rPr>
        <w:t>ment of triglyceride and protein</w:t>
      </w:r>
      <w:r w:rsidRPr="00490FC9">
        <w:rPr>
          <w:b/>
          <w:i/>
          <w:noProof/>
          <w:sz w:val="24"/>
          <w:szCs w:val="24"/>
        </w:rPr>
        <w:t xml:space="preserve"> content in 3T3-L1 maturing pre-adipocytes and mature adipocytes</w:t>
      </w:r>
    </w:p>
    <w:p w:rsidR="00304B41" w:rsidRPr="00490FC9" w:rsidRDefault="0005696E" w:rsidP="0043441D">
      <w:pPr>
        <w:pStyle w:val="Textoindependiente"/>
        <w:kinsoku w:val="0"/>
        <w:overflowPunct w:val="0"/>
        <w:spacing w:line="480" w:lineRule="auto"/>
        <w:ind w:left="0" w:firstLine="567"/>
        <w:rPr>
          <w:noProof/>
          <w:sz w:val="24"/>
          <w:szCs w:val="24"/>
          <w:lang w:val="en-GB"/>
        </w:rPr>
      </w:pPr>
      <w:r>
        <w:rPr>
          <w:noProof/>
          <w:sz w:val="24"/>
          <w:szCs w:val="24"/>
          <w:lang w:val="en-GB"/>
        </w:rPr>
        <w:t xml:space="preserve">At the end of the experimental period, the incubation </w:t>
      </w:r>
      <w:r w:rsidRPr="00490FC9">
        <w:rPr>
          <w:noProof/>
          <w:sz w:val="24"/>
          <w:szCs w:val="24"/>
          <w:lang w:val="en-GB"/>
        </w:rPr>
        <w:t>medium was removed and cells were washed with PBS</w:t>
      </w:r>
      <w:r>
        <w:rPr>
          <w:noProof/>
          <w:sz w:val="24"/>
          <w:szCs w:val="24"/>
          <w:lang w:val="en-GB"/>
        </w:rPr>
        <w:t xml:space="preserve"> 10 mM</w:t>
      </w:r>
      <w:r w:rsidR="00842B00">
        <w:rPr>
          <w:noProof/>
          <w:sz w:val="24"/>
          <w:szCs w:val="24"/>
          <w:lang w:val="en-GB"/>
        </w:rPr>
        <w:t>. Subsequently, a harvest buffer (</w:t>
      </w:r>
      <w:r w:rsidR="00842B00" w:rsidRPr="00490FC9">
        <w:rPr>
          <w:noProof/>
          <w:sz w:val="24"/>
          <w:szCs w:val="24"/>
          <w:lang w:val="en-GB"/>
        </w:rPr>
        <w:t>Tris-HCl pH 7.4, 150 mM NaCl</w:t>
      </w:r>
      <w:r w:rsidR="00842B00">
        <w:rPr>
          <w:noProof/>
          <w:sz w:val="24"/>
          <w:szCs w:val="24"/>
          <w:lang w:val="en-GB"/>
        </w:rPr>
        <w:t>,</w:t>
      </w:r>
      <w:r w:rsidR="00842B00" w:rsidRPr="00490FC9">
        <w:rPr>
          <w:noProof/>
          <w:sz w:val="24"/>
          <w:szCs w:val="24"/>
          <w:lang w:val="en-GB"/>
        </w:rPr>
        <w:t xml:space="preserve"> 1 mM EDTA</w:t>
      </w:r>
      <w:r w:rsidR="00E0161D">
        <w:rPr>
          <w:noProof/>
          <w:sz w:val="24"/>
          <w:szCs w:val="24"/>
          <w:lang w:val="en-GB"/>
        </w:rPr>
        <w:t>,</w:t>
      </w:r>
      <w:r w:rsidR="00842B00">
        <w:rPr>
          <w:noProof/>
          <w:sz w:val="24"/>
          <w:szCs w:val="24"/>
          <w:lang w:val="en-GB"/>
        </w:rPr>
        <w:t xml:space="preserve"> </w:t>
      </w:r>
      <w:r w:rsidR="00842B00" w:rsidRPr="00490FC9">
        <w:rPr>
          <w:noProof/>
          <w:sz w:val="24"/>
          <w:szCs w:val="24"/>
          <w:lang w:val="en-GB"/>
        </w:rPr>
        <w:t>100 mM phenylmethylsulfonyl fluoride</w:t>
      </w:r>
      <w:r w:rsidR="00842B00">
        <w:rPr>
          <w:noProof/>
          <w:sz w:val="24"/>
          <w:szCs w:val="24"/>
          <w:lang w:val="en-GB"/>
        </w:rPr>
        <w:t xml:space="preserve">) was used to collect cells using a cell scraper. </w:t>
      </w:r>
      <w:r w:rsidR="00304B41" w:rsidRPr="00490FC9">
        <w:rPr>
          <w:noProof/>
          <w:sz w:val="24"/>
          <w:szCs w:val="24"/>
          <w:lang w:val="en-GB"/>
        </w:rPr>
        <w:t>Then,</w:t>
      </w:r>
      <w:r w:rsidR="00842B00">
        <w:rPr>
          <w:noProof/>
          <w:sz w:val="24"/>
          <w:szCs w:val="24"/>
          <w:lang w:val="en-GB"/>
        </w:rPr>
        <w:t xml:space="preserve"> cells were </w:t>
      </w:r>
      <w:r w:rsidR="007F71E7">
        <w:rPr>
          <w:noProof/>
          <w:sz w:val="24"/>
          <w:szCs w:val="24"/>
          <w:lang w:val="en-GB"/>
        </w:rPr>
        <w:t>exposed</w:t>
      </w:r>
      <w:r w:rsidR="00842B00">
        <w:rPr>
          <w:noProof/>
          <w:sz w:val="24"/>
          <w:szCs w:val="24"/>
          <w:lang w:val="en-GB"/>
        </w:rPr>
        <w:t xml:space="preserve"> to a </w:t>
      </w:r>
      <w:r w:rsidR="007F71E7">
        <w:rPr>
          <w:noProof/>
          <w:sz w:val="24"/>
          <w:szCs w:val="24"/>
          <w:lang w:val="en-GB"/>
        </w:rPr>
        <w:t xml:space="preserve">sonication </w:t>
      </w:r>
      <w:r w:rsidR="00304B41" w:rsidRPr="00490FC9">
        <w:rPr>
          <w:noProof/>
          <w:sz w:val="24"/>
          <w:szCs w:val="24"/>
          <w:lang w:val="en-GB"/>
        </w:rPr>
        <w:t xml:space="preserve">by </w:t>
      </w:r>
      <w:r w:rsidR="00842B00">
        <w:rPr>
          <w:noProof/>
          <w:sz w:val="24"/>
          <w:szCs w:val="24"/>
          <w:lang w:val="en-GB"/>
        </w:rPr>
        <w:t>a</w:t>
      </w:r>
      <w:r w:rsidR="00304B41" w:rsidRPr="00490FC9">
        <w:rPr>
          <w:noProof/>
          <w:sz w:val="24"/>
          <w:szCs w:val="24"/>
          <w:lang w:val="en-GB"/>
        </w:rPr>
        <w:t xml:space="preserve"> Branson Digital Sonifier SFX 550 (Emerson Electric Co, St Louis, MO, USA)</w:t>
      </w:r>
      <w:r w:rsidR="00842B00">
        <w:rPr>
          <w:noProof/>
          <w:sz w:val="24"/>
          <w:szCs w:val="24"/>
          <w:lang w:val="en-GB"/>
        </w:rPr>
        <w:t xml:space="preserve"> </w:t>
      </w:r>
      <w:r w:rsidR="007F71E7">
        <w:rPr>
          <w:noProof/>
          <w:sz w:val="24"/>
          <w:szCs w:val="24"/>
          <w:lang w:val="en-GB"/>
        </w:rPr>
        <w:t xml:space="preserve">before the measurement of </w:t>
      </w:r>
      <w:r w:rsidR="007F71E7" w:rsidRPr="008D68F8">
        <w:rPr>
          <w:noProof/>
          <w:sz w:val="24"/>
          <w:szCs w:val="24"/>
          <w:lang w:val="en-GB"/>
        </w:rPr>
        <w:t xml:space="preserve">triglycerides </w:t>
      </w:r>
      <w:r w:rsidR="008D68F8" w:rsidRPr="008D68F8">
        <w:rPr>
          <w:noProof/>
          <w:sz w:val="24"/>
          <w:szCs w:val="24"/>
          <w:lang w:val="en-GB"/>
        </w:rPr>
        <w:t xml:space="preserve">using </w:t>
      </w:r>
      <w:r w:rsidR="008D68F8" w:rsidRPr="008D68F8">
        <w:rPr>
          <w:rFonts w:cstheme="minorHAnsi"/>
          <w:sz w:val="24"/>
          <w:szCs w:val="24"/>
        </w:rPr>
        <w:t>a commercial kit (Spinreact, Girona, Spain)</w:t>
      </w:r>
      <w:r w:rsidR="008D68F8" w:rsidRPr="00E54218">
        <w:rPr>
          <w:rFonts w:cstheme="minorHAnsi"/>
          <w:sz w:val="20"/>
          <w:szCs w:val="20"/>
        </w:rPr>
        <w:t xml:space="preserve"> </w:t>
      </w:r>
      <w:r w:rsidR="007F71E7">
        <w:rPr>
          <w:noProof/>
          <w:sz w:val="24"/>
          <w:szCs w:val="24"/>
          <w:lang w:val="en-GB"/>
        </w:rPr>
        <w:t xml:space="preserve">and the protein content of each well </w:t>
      </w:r>
      <w:r w:rsidR="00304B41" w:rsidRPr="00490FC9">
        <w:rPr>
          <w:noProof/>
          <w:sz w:val="24"/>
          <w:szCs w:val="24"/>
          <w:lang w:val="en-GB"/>
        </w:rPr>
        <w:t xml:space="preserve">following the Bradford method </w:t>
      </w:r>
      <w:r w:rsidR="00F0630A" w:rsidRPr="00490FC9">
        <w:rPr>
          <w:noProof/>
          <w:sz w:val="24"/>
          <w:szCs w:val="24"/>
          <w:lang w:val="en-GB"/>
        </w:rPr>
        <w:fldChar w:fldCharType="begin"/>
      </w:r>
      <w:r w:rsidR="00A2655A">
        <w:rPr>
          <w:noProof/>
          <w:sz w:val="24"/>
          <w:szCs w:val="24"/>
          <w:lang w:val="en-GB"/>
        </w:rPr>
        <w:instrText>ADDIN RW.CITE{{218 Bradford,M.M. 1976}}</w:instrText>
      </w:r>
      <w:r w:rsidR="00F0630A" w:rsidRPr="00490FC9">
        <w:rPr>
          <w:noProof/>
          <w:sz w:val="24"/>
          <w:szCs w:val="24"/>
          <w:lang w:val="en-GB"/>
        </w:rPr>
        <w:fldChar w:fldCharType="separate"/>
      </w:r>
      <w:r w:rsidR="00A2655A" w:rsidRPr="00A2655A">
        <w:rPr>
          <w:bCs/>
          <w:noProof/>
          <w:sz w:val="24"/>
          <w:szCs w:val="24"/>
          <w:lang w:val="en-US"/>
        </w:rPr>
        <w:t>[4]</w:t>
      </w:r>
      <w:r w:rsidR="00F0630A" w:rsidRPr="00490FC9">
        <w:rPr>
          <w:noProof/>
          <w:sz w:val="24"/>
          <w:szCs w:val="24"/>
          <w:lang w:val="en-GB"/>
        </w:rPr>
        <w:fldChar w:fldCharType="end"/>
      </w:r>
      <w:r w:rsidR="00304B41" w:rsidRPr="00490FC9">
        <w:rPr>
          <w:noProof/>
          <w:sz w:val="24"/>
          <w:szCs w:val="24"/>
          <w:lang w:val="en-GB"/>
        </w:rPr>
        <w:t xml:space="preserve">. </w:t>
      </w:r>
      <w:r w:rsidR="0043441D">
        <w:rPr>
          <w:noProof/>
          <w:sz w:val="24"/>
          <w:szCs w:val="24"/>
          <w:lang w:val="en-GB"/>
        </w:rPr>
        <w:t>R</w:t>
      </w:r>
      <w:r w:rsidR="00304B41" w:rsidRPr="00490FC9">
        <w:rPr>
          <w:noProof/>
          <w:sz w:val="24"/>
          <w:szCs w:val="24"/>
          <w:lang w:val="en-GB"/>
        </w:rPr>
        <w:t>esults are e</w:t>
      </w:r>
      <w:r w:rsidR="008D68F8">
        <w:rPr>
          <w:noProof/>
          <w:sz w:val="24"/>
          <w:szCs w:val="24"/>
          <w:lang w:val="en-GB"/>
        </w:rPr>
        <w:t>xpressed as mg of triglycerides per mg of protein</w:t>
      </w:r>
      <w:r w:rsidR="00304B41" w:rsidRPr="00490FC9">
        <w:rPr>
          <w:noProof/>
          <w:sz w:val="24"/>
          <w:szCs w:val="24"/>
          <w:lang w:val="en-GB"/>
        </w:rPr>
        <w:t>.</w:t>
      </w:r>
    </w:p>
    <w:p w:rsidR="00304B41" w:rsidRPr="00490FC9" w:rsidRDefault="00304B41" w:rsidP="00304B41">
      <w:pPr>
        <w:pStyle w:val="Textoindependiente"/>
        <w:kinsoku w:val="0"/>
        <w:overflowPunct w:val="0"/>
        <w:spacing w:line="480" w:lineRule="auto"/>
        <w:ind w:left="0"/>
        <w:rPr>
          <w:b/>
          <w:i/>
          <w:noProof/>
          <w:sz w:val="24"/>
          <w:szCs w:val="24"/>
          <w:lang w:val="en-GB"/>
        </w:rPr>
      </w:pPr>
      <w:r w:rsidRPr="00490FC9">
        <w:rPr>
          <w:b/>
          <w:i/>
          <w:noProof/>
          <w:sz w:val="24"/>
          <w:szCs w:val="24"/>
          <w:lang w:val="en-GB"/>
        </w:rPr>
        <w:t>Statistical analysis</w:t>
      </w:r>
    </w:p>
    <w:p w:rsidR="00304B41" w:rsidRDefault="00304B41" w:rsidP="00304B41">
      <w:pPr>
        <w:pStyle w:val="Textoindependiente"/>
        <w:kinsoku w:val="0"/>
        <w:overflowPunct w:val="0"/>
        <w:spacing w:line="480" w:lineRule="auto"/>
        <w:ind w:left="0" w:firstLine="567"/>
        <w:rPr>
          <w:noProof/>
          <w:sz w:val="24"/>
          <w:szCs w:val="24"/>
          <w:lang w:val="en-GB"/>
        </w:rPr>
      </w:pPr>
      <w:r w:rsidRPr="00490FC9">
        <w:rPr>
          <w:noProof/>
          <w:sz w:val="24"/>
          <w:szCs w:val="24"/>
          <w:lang w:val="en-GB"/>
        </w:rPr>
        <w:t xml:space="preserve">Results are presented as mean ± SEM (standard error of the mean) of three independent experiments carried out in sextuplicates. Statistical analysis was performed using SPSS 26.0 (SPSS Inc. Chicago, IL, USA). Data from </w:t>
      </w:r>
      <w:r w:rsidR="00BA6863">
        <w:rPr>
          <w:noProof/>
          <w:sz w:val="24"/>
          <w:szCs w:val="24"/>
          <w:lang w:val="en-GB"/>
        </w:rPr>
        <w:t xml:space="preserve">cells treated with </w:t>
      </w:r>
      <w:r w:rsidRPr="00490FC9">
        <w:rPr>
          <w:noProof/>
          <w:sz w:val="24"/>
          <w:szCs w:val="24"/>
          <w:lang w:val="en-GB"/>
        </w:rPr>
        <w:t>each extract</w:t>
      </w:r>
      <w:r w:rsidR="008D68F8">
        <w:rPr>
          <w:noProof/>
          <w:sz w:val="24"/>
          <w:szCs w:val="24"/>
          <w:lang w:val="en-GB"/>
        </w:rPr>
        <w:t xml:space="preserve"> </w:t>
      </w:r>
      <w:r w:rsidRPr="00490FC9">
        <w:rPr>
          <w:noProof/>
          <w:sz w:val="24"/>
          <w:szCs w:val="24"/>
          <w:lang w:val="en-GB"/>
        </w:rPr>
        <w:t xml:space="preserve">was compared to control cells by using Student’s </w:t>
      </w:r>
      <w:r w:rsidRPr="00490FC9">
        <w:rPr>
          <w:i/>
          <w:iCs/>
          <w:noProof/>
          <w:sz w:val="24"/>
          <w:szCs w:val="24"/>
          <w:lang w:val="en-GB"/>
        </w:rPr>
        <w:t xml:space="preserve">t </w:t>
      </w:r>
      <w:r w:rsidRPr="00490FC9">
        <w:rPr>
          <w:noProof/>
          <w:sz w:val="24"/>
          <w:szCs w:val="24"/>
          <w:lang w:val="en-GB"/>
        </w:rPr>
        <w:t xml:space="preserve">test. Statistical significance was determined at </w:t>
      </w:r>
      <w:r w:rsidRPr="00490FC9">
        <w:rPr>
          <w:i/>
          <w:noProof/>
          <w:sz w:val="24"/>
          <w:szCs w:val="24"/>
          <w:lang w:val="en-GB"/>
        </w:rPr>
        <w:t xml:space="preserve">p </w:t>
      </w:r>
      <w:r w:rsidRPr="00490FC9">
        <w:rPr>
          <w:noProof/>
          <w:sz w:val="24"/>
          <w:szCs w:val="24"/>
          <w:lang w:val="en-GB"/>
        </w:rPr>
        <w:t>&lt; 0.05.</w:t>
      </w:r>
    </w:p>
    <w:p w:rsidR="00554812" w:rsidRDefault="00554812" w:rsidP="00774537">
      <w:pPr>
        <w:pStyle w:val="Ttulo1"/>
        <w:adjustRightInd w:val="0"/>
        <w:snapToGrid w:val="0"/>
        <w:spacing w:before="120" w:after="0"/>
        <w:jc w:val="left"/>
        <w:rPr>
          <w:rFonts w:ascii="Times New Roman" w:eastAsiaTheme="minorHAnsi" w:hAnsi="Times New Roman"/>
          <w:szCs w:val="24"/>
        </w:rPr>
      </w:pPr>
      <w:bookmarkStart w:id="2" w:name="_Toc102505185"/>
      <w:r>
        <w:rPr>
          <w:rFonts w:ascii="Times New Roman" w:eastAsiaTheme="minorHAnsi" w:hAnsi="Times New Roman"/>
          <w:szCs w:val="24"/>
        </w:rPr>
        <w:t>References</w:t>
      </w:r>
      <w:bookmarkEnd w:id="2"/>
      <w:r>
        <w:rPr>
          <w:rFonts w:ascii="Times New Roman" w:eastAsiaTheme="minorHAnsi" w:hAnsi="Times New Roman"/>
          <w:szCs w:val="24"/>
        </w:rPr>
        <w:tab/>
      </w:r>
    </w:p>
    <w:p w:rsidR="00A2655A" w:rsidRPr="00EA38FD" w:rsidRDefault="00F0630A" w:rsidP="00774537">
      <w:pPr>
        <w:pStyle w:val="NormalWeb"/>
        <w:spacing w:before="120" w:beforeAutospacing="0" w:after="0" w:afterAutospacing="0"/>
        <w:jc w:val="both"/>
        <w:rPr>
          <w:lang w:val="en-US"/>
        </w:rPr>
      </w:pPr>
      <w:r>
        <w:fldChar w:fldCharType="begin"/>
      </w:r>
      <w:r w:rsidR="00A2655A">
        <w:rPr>
          <w:lang w:val="en-US"/>
        </w:rPr>
        <w:instrText>ADDIN RW.BIB{{&lt;?xml version="1.0"?&gt;&lt;RWBibSettings&gt;&lt;Option name="LIST_SORT_CATEGORY" value="CITATION_ORDER" /&gt;&lt;Option name="INDENT" value="NO_INDENT" /&gt;&lt;Option name="MARGIN_UNIT" value="Centimeters" /&gt;&lt;/RWBibSettings&gt;}}</w:instrText>
      </w:r>
      <w:r>
        <w:fldChar w:fldCharType="separate"/>
      </w:r>
      <w:r w:rsidR="00A2655A" w:rsidRPr="00EA38FD">
        <w:rPr>
          <w:lang w:val="en-US"/>
        </w:rPr>
        <w:t xml:space="preserve">1.Gomez-Maqueo A, Antunes-Ricardo M, Welti-Chanes J, Cano MP (2020) Digestive Stability and Bioaccessibility of Antioxidants in Prickly Pear Fruits from the Canary Islands: Healthy Foods and Ingredients. Antioxidants (Basel) 9:164. doi: 10.3390/antiox9020164. </w:t>
      </w:r>
    </w:p>
    <w:p w:rsidR="00A2655A" w:rsidRPr="00EA38FD" w:rsidRDefault="00A2655A" w:rsidP="00774537">
      <w:pPr>
        <w:pStyle w:val="NormalWeb"/>
        <w:spacing w:before="120" w:beforeAutospacing="0" w:after="0" w:afterAutospacing="0"/>
        <w:jc w:val="both"/>
        <w:rPr>
          <w:lang w:val="en-US"/>
        </w:rPr>
      </w:pPr>
      <w:r w:rsidRPr="00EA38FD">
        <w:rPr>
          <w:lang w:val="en-US"/>
        </w:rPr>
        <w:lastRenderedPageBreak/>
        <w:t>2.García-Cayuela T, Gómez-Maqueo A, Guajardo-Flores D, Welti-Chanes J, Cano MP (2019) Characterization and quantification of individual betalain and phenolic compounds in Mexican and Spanish prickly pear (Opuntia ficus-indica L. Mil</w:t>
      </w:r>
      <w:r w:rsidR="00EA38FD" w:rsidRPr="00EA38FD">
        <w:rPr>
          <w:lang w:val="en-US"/>
        </w:rPr>
        <w:t xml:space="preserve">l) tissues: A comparative study. Journal of Food Composition and Analysis </w:t>
      </w:r>
      <w:r w:rsidRPr="00EA38FD">
        <w:rPr>
          <w:lang w:val="en-US"/>
        </w:rPr>
        <w:t xml:space="preserve">76:1-13. doi: </w:t>
      </w:r>
      <w:hyperlink r:id="rId12" w:tgtFrame="_blank" w:history="1">
        <w:r w:rsidRPr="00EA38FD">
          <w:rPr>
            <w:rStyle w:val="Hipervnculo"/>
            <w:lang w:val="en-US"/>
          </w:rPr>
          <w:t>https://doi.org/10.1016/j.jfca.2018.11.002</w:t>
        </w:r>
      </w:hyperlink>
    </w:p>
    <w:p w:rsidR="00A2655A" w:rsidRPr="00EA38FD" w:rsidRDefault="00A2655A" w:rsidP="00774537">
      <w:pPr>
        <w:pStyle w:val="NormalWeb"/>
        <w:spacing w:before="120" w:beforeAutospacing="0" w:after="0" w:afterAutospacing="0"/>
        <w:jc w:val="both"/>
        <w:rPr>
          <w:lang w:val="en-US"/>
        </w:rPr>
      </w:pPr>
      <w:r w:rsidRPr="00EA38FD">
        <w:rPr>
          <w:lang w:val="en-US"/>
        </w:rPr>
        <w:t xml:space="preserve">3.Gillies RJ, Didier N, Denton M (1986) Determination of cell number in monolayer cultures. Anal Biochem 159:109-113. doi: </w:t>
      </w:r>
      <w:hyperlink r:id="rId13" w:tgtFrame="_blank" w:history="1">
        <w:r w:rsidRPr="00EA38FD">
          <w:rPr>
            <w:rStyle w:val="Hipervnculo"/>
            <w:lang w:val="en-US"/>
          </w:rPr>
          <w:t>http://dx.doi.org/10.1016/0003-2697(86)90314-3</w:t>
        </w:r>
      </w:hyperlink>
    </w:p>
    <w:p w:rsidR="00A2655A" w:rsidRPr="00EA38FD" w:rsidRDefault="00A2655A" w:rsidP="00774537">
      <w:pPr>
        <w:pStyle w:val="NormalWeb"/>
        <w:spacing w:before="120" w:beforeAutospacing="0" w:after="0" w:afterAutospacing="0"/>
        <w:jc w:val="both"/>
      </w:pPr>
      <w:r w:rsidRPr="00EA38FD">
        <w:rPr>
          <w:lang w:val="en-US"/>
        </w:rPr>
        <w:t xml:space="preserve">4.Bradford MM (1976) A rapid and sensitive method for the quantitation of microgram quantities of protein utilizing the principle of protein-dye binding. </w:t>
      </w:r>
      <w:r w:rsidRPr="00EA38FD">
        <w:t>Anal Biochem 72:248-254</w:t>
      </w:r>
    </w:p>
    <w:p w:rsidR="00113AF8" w:rsidRDefault="00A2655A" w:rsidP="00774537">
      <w:pPr>
        <w:spacing w:before="120" w:after="0" w:line="240" w:lineRule="auto"/>
      </w:pPr>
      <w:r w:rsidRPr="00A2655A">
        <w:rPr>
          <w:rFonts w:ascii="Calibri" w:eastAsia="Times New Roman" w:hAnsi="Calibri" w:cs="Calibri"/>
        </w:rPr>
        <w:t> </w:t>
      </w:r>
      <w:r w:rsidR="00F0630A">
        <w:fldChar w:fldCharType="end"/>
      </w:r>
      <w:bookmarkStart w:id="3" w:name="_GoBack"/>
      <w:bookmarkEnd w:id="3"/>
    </w:p>
    <w:sectPr w:rsidR="00113AF8" w:rsidSect="00FD6082">
      <w:footerReference w:type="default" r:id="rId14"/>
      <w:pgSz w:w="11906" w:h="16838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279" w:rsidRDefault="000D7279" w:rsidP="00CA5151">
      <w:pPr>
        <w:spacing w:after="0" w:line="240" w:lineRule="auto"/>
      </w:pPr>
      <w:r>
        <w:separator/>
      </w:r>
    </w:p>
  </w:endnote>
  <w:endnote w:type="continuationSeparator" w:id="0">
    <w:p w:rsidR="000D7279" w:rsidRDefault="000D7279" w:rsidP="00CA5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42951"/>
      <w:docPartObj>
        <w:docPartGallery w:val="Page Numbers (Bottom of Page)"/>
        <w:docPartUnique/>
      </w:docPartObj>
    </w:sdtPr>
    <w:sdtEndPr/>
    <w:sdtContent>
      <w:p w:rsidR="00CA5151" w:rsidRDefault="00F0630A">
        <w:pPr>
          <w:pStyle w:val="Piedepgina"/>
          <w:jc w:val="right"/>
        </w:pPr>
        <w:r>
          <w:fldChar w:fldCharType="begin"/>
        </w:r>
        <w:r w:rsidR="00CA5151">
          <w:instrText>PAGE   \* MERGEFORMAT</w:instrText>
        </w:r>
        <w:r>
          <w:fldChar w:fldCharType="separate"/>
        </w:r>
        <w:r w:rsidR="00774537" w:rsidRPr="00774537">
          <w:rPr>
            <w:noProof/>
            <w:lang w:val="es-ES"/>
          </w:rPr>
          <w:t>9</w:t>
        </w:r>
        <w:r>
          <w:fldChar w:fldCharType="end"/>
        </w:r>
      </w:p>
    </w:sdtContent>
  </w:sdt>
  <w:p w:rsidR="00CA5151" w:rsidRDefault="00CA515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279" w:rsidRDefault="000D7279" w:rsidP="00CA5151">
      <w:pPr>
        <w:spacing w:after="0" w:line="240" w:lineRule="auto"/>
      </w:pPr>
      <w:r>
        <w:separator/>
      </w:r>
    </w:p>
  </w:footnote>
  <w:footnote w:type="continuationSeparator" w:id="0">
    <w:p w:rsidR="000D7279" w:rsidRDefault="000D7279" w:rsidP="00CA51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6057"/>
    <w:rsid w:val="0002390D"/>
    <w:rsid w:val="0002498E"/>
    <w:rsid w:val="00024B41"/>
    <w:rsid w:val="0005696E"/>
    <w:rsid w:val="0005775D"/>
    <w:rsid w:val="00080DAC"/>
    <w:rsid w:val="00082098"/>
    <w:rsid w:val="000D1D4E"/>
    <w:rsid w:val="000D7279"/>
    <w:rsid w:val="00113AF8"/>
    <w:rsid w:val="00161EE0"/>
    <w:rsid w:val="00192770"/>
    <w:rsid w:val="001A6BB5"/>
    <w:rsid w:val="001B4F68"/>
    <w:rsid w:val="001F7B94"/>
    <w:rsid w:val="00213BF0"/>
    <w:rsid w:val="00214F1C"/>
    <w:rsid w:val="00247BFA"/>
    <w:rsid w:val="002720DB"/>
    <w:rsid w:val="002A55FF"/>
    <w:rsid w:val="002D1973"/>
    <w:rsid w:val="002F223D"/>
    <w:rsid w:val="00304B41"/>
    <w:rsid w:val="003232C5"/>
    <w:rsid w:val="0032673B"/>
    <w:rsid w:val="0037222C"/>
    <w:rsid w:val="003A5C10"/>
    <w:rsid w:val="003F7B1C"/>
    <w:rsid w:val="00431FAB"/>
    <w:rsid w:val="0043441D"/>
    <w:rsid w:val="0044470E"/>
    <w:rsid w:val="00470502"/>
    <w:rsid w:val="00474596"/>
    <w:rsid w:val="004804AE"/>
    <w:rsid w:val="00496295"/>
    <w:rsid w:val="004A0057"/>
    <w:rsid w:val="00541CE7"/>
    <w:rsid w:val="00554812"/>
    <w:rsid w:val="00572152"/>
    <w:rsid w:val="00581033"/>
    <w:rsid w:val="005A2C05"/>
    <w:rsid w:val="005D0117"/>
    <w:rsid w:val="005E6057"/>
    <w:rsid w:val="005F7C3A"/>
    <w:rsid w:val="00610A06"/>
    <w:rsid w:val="006A75DD"/>
    <w:rsid w:val="006D46C8"/>
    <w:rsid w:val="006E298A"/>
    <w:rsid w:val="006E518A"/>
    <w:rsid w:val="00713EC7"/>
    <w:rsid w:val="00725A98"/>
    <w:rsid w:val="00747FCD"/>
    <w:rsid w:val="00757D29"/>
    <w:rsid w:val="00774537"/>
    <w:rsid w:val="007F71E7"/>
    <w:rsid w:val="008332CC"/>
    <w:rsid w:val="00842B00"/>
    <w:rsid w:val="008C0A74"/>
    <w:rsid w:val="008D68F8"/>
    <w:rsid w:val="008E42C8"/>
    <w:rsid w:val="008E49A0"/>
    <w:rsid w:val="0098422D"/>
    <w:rsid w:val="009D0E44"/>
    <w:rsid w:val="00A172CB"/>
    <w:rsid w:val="00A2655A"/>
    <w:rsid w:val="00A92655"/>
    <w:rsid w:val="00AC7DE8"/>
    <w:rsid w:val="00B07CF1"/>
    <w:rsid w:val="00B111AC"/>
    <w:rsid w:val="00B37F61"/>
    <w:rsid w:val="00B53E33"/>
    <w:rsid w:val="00B607F8"/>
    <w:rsid w:val="00B9265D"/>
    <w:rsid w:val="00B92DC2"/>
    <w:rsid w:val="00BA6863"/>
    <w:rsid w:val="00C56564"/>
    <w:rsid w:val="00CA5151"/>
    <w:rsid w:val="00CC7982"/>
    <w:rsid w:val="00CE7AF8"/>
    <w:rsid w:val="00D370B9"/>
    <w:rsid w:val="00D675AC"/>
    <w:rsid w:val="00D76A13"/>
    <w:rsid w:val="00DE1168"/>
    <w:rsid w:val="00E0161D"/>
    <w:rsid w:val="00E22ABC"/>
    <w:rsid w:val="00E855A7"/>
    <w:rsid w:val="00EA275E"/>
    <w:rsid w:val="00EA38FD"/>
    <w:rsid w:val="00F0630A"/>
    <w:rsid w:val="00F346B2"/>
    <w:rsid w:val="00F512C3"/>
    <w:rsid w:val="00FA2D00"/>
    <w:rsid w:val="00FD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3ABDF0F6"/>
  <w15:docId w15:val="{2BF2E750-D096-4FD8-926E-04EF442C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4B41"/>
    <w:rPr>
      <w:lang w:val="en-GB"/>
    </w:rPr>
  </w:style>
  <w:style w:type="paragraph" w:styleId="Ttulo1">
    <w:name w:val="heading 1"/>
    <w:basedOn w:val="Normal"/>
    <w:next w:val="Normal"/>
    <w:link w:val="Ttulo1Car"/>
    <w:qFormat/>
    <w:rsid w:val="00554812"/>
    <w:pPr>
      <w:keepNext/>
      <w:keepLines/>
      <w:widowControl w:val="0"/>
      <w:spacing w:before="240" w:after="240" w:line="240" w:lineRule="auto"/>
      <w:jc w:val="both"/>
      <w:outlineLvl w:val="0"/>
    </w:pPr>
    <w:rPr>
      <w:rFonts w:eastAsia="Calibri" w:cs="Times New Roman"/>
      <w:b/>
      <w:bCs/>
      <w:kern w:val="44"/>
      <w:sz w:val="24"/>
      <w:szCs w:val="44"/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304B41"/>
    <w:pPr>
      <w:widowControl w:val="0"/>
      <w:autoSpaceDE w:val="0"/>
      <w:autoSpaceDN w:val="0"/>
      <w:adjustRightInd w:val="0"/>
      <w:spacing w:after="0" w:line="240" w:lineRule="auto"/>
      <w:ind w:left="322"/>
      <w:jc w:val="both"/>
    </w:pPr>
    <w:rPr>
      <w:rFonts w:ascii="Times New Roman" w:eastAsiaTheme="minorEastAsia" w:hAnsi="Times New Roman" w:cs="Times New Roman"/>
      <w:lang w:val="eu-ES" w:eastAsia="eu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04B41"/>
    <w:rPr>
      <w:rFonts w:ascii="Times New Roman" w:eastAsiaTheme="minorEastAsia" w:hAnsi="Times New Roman" w:cs="Times New Roman"/>
      <w:lang w:val="eu-ES" w:eastAsia="eu-ES"/>
    </w:rPr>
  </w:style>
  <w:style w:type="table" w:styleId="Tablaconcuadrcula">
    <w:name w:val="Table Grid"/>
    <w:basedOn w:val="Tablanormal"/>
    <w:uiPriority w:val="39"/>
    <w:rsid w:val="0030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A5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5151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CA5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5151"/>
    <w:rPr>
      <w:lang w:val="en-GB"/>
    </w:rPr>
  </w:style>
  <w:style w:type="character" w:styleId="Nmerodelnea">
    <w:name w:val="line number"/>
    <w:basedOn w:val="Fuentedeprrafopredeter"/>
    <w:uiPriority w:val="99"/>
    <w:semiHidden/>
    <w:unhideWhenUsed/>
    <w:rsid w:val="00FD6082"/>
  </w:style>
  <w:style w:type="character" w:styleId="Hipervnculo">
    <w:name w:val="Hyperlink"/>
    <w:basedOn w:val="Fuentedeprrafopredeter"/>
    <w:uiPriority w:val="99"/>
    <w:unhideWhenUsed/>
    <w:qFormat/>
    <w:rsid w:val="00554812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55481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5481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54812"/>
    <w:rPr>
      <w:sz w:val="20"/>
      <w:szCs w:val="20"/>
      <w:lang w:val="en-GB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5481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54812"/>
    <w:rPr>
      <w:b/>
      <w:bCs/>
      <w:sz w:val="20"/>
      <w:szCs w:val="20"/>
      <w:lang w:val="en-GB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48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4812"/>
    <w:rPr>
      <w:rFonts w:ascii="Segoe UI" w:hAnsi="Segoe UI" w:cs="Segoe UI"/>
      <w:sz w:val="18"/>
      <w:szCs w:val="18"/>
      <w:lang w:val="en-GB"/>
    </w:rPr>
  </w:style>
  <w:style w:type="paragraph" w:styleId="NormalWeb">
    <w:name w:val="Normal (Web)"/>
    <w:basedOn w:val="Normal"/>
    <w:uiPriority w:val="99"/>
    <w:semiHidden/>
    <w:unhideWhenUsed/>
    <w:rsid w:val="0055481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ES" w:eastAsia="es-ES"/>
    </w:rPr>
  </w:style>
  <w:style w:type="character" w:customStyle="1" w:styleId="Ttulo1Car">
    <w:name w:val="Título 1 Car"/>
    <w:basedOn w:val="Fuentedeprrafopredeter"/>
    <w:link w:val="Ttulo1"/>
    <w:qFormat/>
    <w:rsid w:val="00554812"/>
    <w:rPr>
      <w:rFonts w:eastAsia="Calibri" w:cs="Times New Roman"/>
      <w:b/>
      <w:bCs/>
      <w:kern w:val="44"/>
      <w:sz w:val="24"/>
      <w:szCs w:val="44"/>
      <w:lang w:val="en-US" w:eastAsia="zh-CN"/>
    </w:rPr>
  </w:style>
  <w:style w:type="paragraph" w:styleId="Prrafodelista">
    <w:name w:val="List Paragraph"/>
    <w:basedOn w:val="Normal"/>
    <w:uiPriority w:val="34"/>
    <w:qFormat/>
    <w:rsid w:val="003A5C10"/>
    <w:pPr>
      <w:ind w:left="720"/>
      <w:contextualSpacing/>
    </w:pPr>
  </w:style>
  <w:style w:type="paragraph" w:customStyle="1" w:styleId="Default">
    <w:name w:val="Default"/>
    <w:rsid w:val="003A5C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jlqj4b">
    <w:name w:val="jlqj4b"/>
    <w:basedOn w:val="Fuentedeprrafopredeter"/>
    <w:rsid w:val="003A5C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1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dx.doi.org/10.1016/0003-2697(86)90314-3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s://doi.org/10.1016/j.jfca.2018.11.002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9</Pages>
  <Words>1860</Words>
  <Characters>9825</Characters>
  <Application>Microsoft Office Word</Application>
  <DocSecurity>0</DocSecurity>
  <Lines>233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UPV/EHU</Company>
  <LinksUpToDate>false</LinksUpToDate>
  <CharactersWithSpaces>11624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ITZIAR ESEBERRI</dc:creator>
  <cp:keywords/>
  <dc:description/>
  <cp:lastModifiedBy>ITZIAR ESEBERRI</cp:lastModifiedBy>
  <cp:revision>19</cp:revision>
  <dcterms:created xsi:type="dcterms:W3CDTF">2023-11-14T15:07:00Z</dcterms:created>
  <dcterms:modified xsi:type="dcterms:W3CDTF">2023-12-04T12:18:00Z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nCUserId">
    <vt:lpwstr>3178</vt:lpwstr>
  </property>
  <property fmtid="{D5CDD505-2E9C-101B-9397-08002B2CF9AE}" pid="3" name="WnCSubscriberId">
    <vt:lpwstr>5389</vt:lpwstr>
  </property>
  <property fmtid="{D5CDD505-2E9C-101B-9397-08002B2CF9AE}" pid="4" name="WnCOutputStyleId">
    <vt:lpwstr>11598</vt:lpwstr>
  </property>
  <property fmtid="{D5CDD505-2E9C-101B-9397-08002B2CF9AE}" pid="5" name="RWProductId">
    <vt:lpwstr>WnC</vt:lpwstr>
  </property>
  <property fmtid="{D5CDD505-2E9C-101B-9397-08002B2CF9AE}" pid="6" name="WnC4Folder">
    <vt:lpwstr>Documents///Eseberri 2023- supplementary material</vt:lpwstr>
  </property>
</Properties>
</file>