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6C745F" w14:textId="77777777" w:rsidR="00F93500" w:rsidRDefault="00F93500" w:rsidP="00F93500">
      <w:pPr>
        <w:rPr>
          <w:rFonts w:eastAsia="Times New Roman" w:cs="Times New Roman"/>
          <w:b/>
          <w:szCs w:val="24"/>
        </w:rPr>
      </w:pPr>
      <w:r w:rsidRPr="00A40579">
        <w:rPr>
          <w:rFonts w:eastAsia="Times New Roman" w:cs="Times New Roman"/>
          <w:b/>
          <w:szCs w:val="24"/>
        </w:rPr>
        <w:t xml:space="preserve">Can there be differences in blood glucose fluctuations with consumption of various breads in obesity and normal-weight individuals: </w:t>
      </w:r>
      <w:r>
        <w:rPr>
          <w:rFonts w:eastAsia="Times New Roman" w:cs="Times New Roman"/>
          <w:b/>
          <w:szCs w:val="24"/>
        </w:rPr>
        <w:t>A</w:t>
      </w:r>
      <w:r w:rsidRPr="00A40579">
        <w:rPr>
          <w:rFonts w:eastAsia="Times New Roman" w:cs="Times New Roman"/>
          <w:b/>
          <w:szCs w:val="24"/>
        </w:rPr>
        <w:t xml:space="preserve"> </w:t>
      </w:r>
      <w:r>
        <w:rPr>
          <w:rFonts w:eastAsia="Times New Roman" w:cs="Times New Roman"/>
          <w:b/>
          <w:szCs w:val="24"/>
        </w:rPr>
        <w:t>R</w:t>
      </w:r>
      <w:r w:rsidRPr="00A40579">
        <w:rPr>
          <w:rFonts w:eastAsia="Times New Roman" w:cs="Times New Roman"/>
          <w:b/>
          <w:szCs w:val="24"/>
        </w:rPr>
        <w:t xml:space="preserve">andomized </w:t>
      </w:r>
      <w:r>
        <w:rPr>
          <w:rFonts w:eastAsia="Times New Roman" w:cs="Times New Roman"/>
          <w:b/>
          <w:szCs w:val="24"/>
        </w:rPr>
        <w:t>C</w:t>
      </w:r>
      <w:r w:rsidRPr="00A40579">
        <w:rPr>
          <w:rFonts w:eastAsia="Times New Roman" w:cs="Times New Roman"/>
          <w:b/>
          <w:szCs w:val="24"/>
        </w:rPr>
        <w:t xml:space="preserve">ontrolled </w:t>
      </w:r>
      <w:r>
        <w:rPr>
          <w:rFonts w:eastAsia="Times New Roman" w:cs="Times New Roman"/>
          <w:b/>
          <w:szCs w:val="24"/>
        </w:rPr>
        <w:t>T</w:t>
      </w:r>
      <w:r w:rsidRPr="00A40579">
        <w:rPr>
          <w:rFonts w:eastAsia="Times New Roman" w:cs="Times New Roman"/>
          <w:b/>
          <w:szCs w:val="24"/>
        </w:rPr>
        <w:t>rial</w:t>
      </w:r>
    </w:p>
    <w:p w14:paraId="48B935DB" w14:textId="77777777" w:rsidR="00F93500" w:rsidRPr="005D7873" w:rsidRDefault="00F93500" w:rsidP="00F93500">
      <w:pPr>
        <w:spacing w:after="0"/>
        <w:rPr>
          <w:rFonts w:eastAsia="Times New Roman" w:cs="Times New Roman"/>
          <w:szCs w:val="24"/>
          <w:vertAlign w:val="superscript"/>
        </w:rPr>
      </w:pPr>
      <w:r w:rsidRPr="005D7873">
        <w:rPr>
          <w:rFonts w:eastAsia="Times New Roman" w:cs="Times New Roman"/>
          <w:szCs w:val="24"/>
        </w:rPr>
        <w:t>Fatih Cesur</w:t>
      </w:r>
      <w:r>
        <w:rPr>
          <w:rFonts w:eastAsia="Times New Roman" w:cs="Times New Roman"/>
          <w:szCs w:val="24"/>
          <w:vertAlign w:val="superscript"/>
        </w:rPr>
        <w:t>1*</w:t>
      </w:r>
      <w:r w:rsidRPr="005D7873">
        <w:rPr>
          <w:rFonts w:eastAsia="Times New Roman" w:cs="Times New Roman"/>
          <w:szCs w:val="24"/>
        </w:rPr>
        <w:t xml:space="preserve">, Hatice </w:t>
      </w:r>
      <w:proofErr w:type="spellStart"/>
      <w:r w:rsidRPr="005D7873">
        <w:rPr>
          <w:rFonts w:eastAsia="Times New Roman" w:cs="Times New Roman"/>
          <w:szCs w:val="24"/>
        </w:rPr>
        <w:t>Nurseda</w:t>
      </w:r>
      <w:proofErr w:type="spellEnd"/>
      <w:r w:rsidRPr="005D7873">
        <w:rPr>
          <w:rFonts w:eastAsia="Times New Roman" w:cs="Times New Roman"/>
          <w:szCs w:val="24"/>
        </w:rPr>
        <w:t xml:space="preserve"> Hatunoglu</w:t>
      </w:r>
      <w:r>
        <w:rPr>
          <w:rFonts w:eastAsia="Times New Roman" w:cs="Times New Roman"/>
          <w:szCs w:val="24"/>
          <w:vertAlign w:val="superscript"/>
        </w:rPr>
        <w:t>2</w:t>
      </w:r>
      <w:r w:rsidRPr="005D7873">
        <w:rPr>
          <w:rFonts w:eastAsia="Times New Roman" w:cs="Times New Roman"/>
          <w:szCs w:val="24"/>
        </w:rPr>
        <w:t xml:space="preserve">, </w:t>
      </w:r>
      <w:proofErr w:type="spellStart"/>
      <w:r w:rsidRPr="005D7873">
        <w:rPr>
          <w:rFonts w:eastAsia="Times New Roman" w:cs="Times New Roman"/>
          <w:szCs w:val="24"/>
        </w:rPr>
        <w:t>Gulsah</w:t>
      </w:r>
      <w:proofErr w:type="spellEnd"/>
      <w:r w:rsidRPr="005D7873">
        <w:rPr>
          <w:rFonts w:eastAsia="Times New Roman" w:cs="Times New Roman"/>
          <w:szCs w:val="24"/>
        </w:rPr>
        <w:t xml:space="preserve"> Saglam</w:t>
      </w:r>
      <w:r>
        <w:rPr>
          <w:rFonts w:eastAsia="Times New Roman" w:cs="Times New Roman"/>
          <w:szCs w:val="24"/>
          <w:vertAlign w:val="superscript"/>
        </w:rPr>
        <w:t>3</w:t>
      </w:r>
    </w:p>
    <w:p w14:paraId="21FCFE1A" w14:textId="77777777" w:rsidR="00F93500" w:rsidRPr="005D7873" w:rsidRDefault="00F93500" w:rsidP="00F93500">
      <w:pPr>
        <w:spacing w:after="0"/>
        <w:rPr>
          <w:rFonts w:eastAsia="Times New Roman" w:cs="Times New Roman"/>
          <w:szCs w:val="24"/>
        </w:rPr>
      </w:pPr>
      <w:r w:rsidRPr="005D7873">
        <w:rPr>
          <w:rFonts w:eastAsia="Times New Roman" w:cs="Times New Roman"/>
          <w:b/>
          <w:szCs w:val="24"/>
        </w:rPr>
        <w:t>Short heading:</w:t>
      </w:r>
      <w:r w:rsidRPr="005D7873">
        <w:rPr>
          <w:rFonts w:eastAsia="Times New Roman" w:cs="Times New Roman"/>
          <w:szCs w:val="24"/>
        </w:rPr>
        <w:t xml:space="preserve"> </w:t>
      </w:r>
      <w:r w:rsidRPr="005D7873">
        <w:rPr>
          <w:rFonts w:eastAsia="Times New Roman" w:cs="Times New Roman"/>
          <w:bCs/>
          <w:szCs w:val="24"/>
        </w:rPr>
        <w:t xml:space="preserve">Effect of bread types on blood glucose </w:t>
      </w:r>
    </w:p>
    <w:p w14:paraId="6094AE08" w14:textId="77777777" w:rsidR="00F93500" w:rsidRPr="005D7873" w:rsidRDefault="00F93500" w:rsidP="00F93500">
      <w:pPr>
        <w:spacing w:after="0"/>
        <w:rPr>
          <w:rFonts w:eastAsia="Times New Roman" w:cs="Times New Roman"/>
          <w:szCs w:val="24"/>
        </w:rPr>
      </w:pPr>
      <w:r w:rsidRPr="005D7873">
        <w:rPr>
          <w:rFonts w:eastAsia="Times New Roman" w:cs="Times New Roman"/>
          <w:b/>
          <w:szCs w:val="24"/>
        </w:rPr>
        <w:t>Corresponding author’s name and contact information:</w:t>
      </w:r>
      <w:r w:rsidRPr="005D7873">
        <w:rPr>
          <w:rFonts w:eastAsia="Times New Roman" w:cs="Times New Roman"/>
          <w:szCs w:val="24"/>
        </w:rPr>
        <w:t xml:space="preserve"> </w:t>
      </w:r>
    </w:p>
    <w:p w14:paraId="42E563F1" w14:textId="5E8BD209" w:rsidR="00F93500" w:rsidRPr="005D7873" w:rsidRDefault="00F93500" w:rsidP="00F93500">
      <w:pPr>
        <w:spacing w:after="0"/>
        <w:rPr>
          <w:rFonts w:eastAsia="Times New Roman" w:cs="Times New Roman"/>
          <w:szCs w:val="24"/>
        </w:rPr>
      </w:pPr>
      <w:r>
        <w:rPr>
          <w:rFonts w:eastAsia="Times New Roman" w:cs="Times New Roman"/>
          <w:b/>
          <w:szCs w:val="24"/>
          <w:vertAlign w:val="superscript"/>
        </w:rPr>
        <w:t>1*</w:t>
      </w:r>
      <w:r w:rsidRPr="005D7873">
        <w:rPr>
          <w:rFonts w:eastAsia="Times New Roman" w:cs="Times New Roman"/>
          <w:szCs w:val="24"/>
        </w:rPr>
        <w:t xml:space="preserve">Fatih Cesur; Ph.D., Assistant Professor, fatihcesr@gmail.com, +90 553 751 2737, </w:t>
      </w:r>
      <w:proofErr w:type="spellStart"/>
      <w:r w:rsidRPr="005D7873">
        <w:rPr>
          <w:rFonts w:eastAsia="Times New Roman" w:cs="Times New Roman"/>
          <w:szCs w:val="24"/>
        </w:rPr>
        <w:t>Orcid</w:t>
      </w:r>
      <w:proofErr w:type="spellEnd"/>
      <w:r w:rsidRPr="005D7873">
        <w:rPr>
          <w:rFonts w:eastAsia="Times New Roman" w:cs="Times New Roman"/>
          <w:szCs w:val="24"/>
        </w:rPr>
        <w:t xml:space="preserve">: 0000-0003-2062-098X, Department of Nutrition and Dietetics, Faculty of Health Science, </w:t>
      </w:r>
      <w:proofErr w:type="spellStart"/>
      <w:r>
        <w:rPr>
          <w:rFonts w:eastAsia="Times New Roman" w:cs="Times New Roman"/>
          <w:szCs w:val="24"/>
        </w:rPr>
        <w:t>Çankırı</w:t>
      </w:r>
      <w:proofErr w:type="spellEnd"/>
      <w:r>
        <w:rPr>
          <w:rFonts w:eastAsia="Times New Roman" w:cs="Times New Roman"/>
          <w:szCs w:val="24"/>
        </w:rPr>
        <w:t xml:space="preserve"> </w:t>
      </w:r>
      <w:proofErr w:type="spellStart"/>
      <w:r>
        <w:rPr>
          <w:rFonts w:eastAsia="Times New Roman" w:cs="Times New Roman"/>
          <w:szCs w:val="24"/>
        </w:rPr>
        <w:t>Karatekin</w:t>
      </w:r>
      <w:proofErr w:type="spellEnd"/>
      <w:r>
        <w:rPr>
          <w:rFonts w:eastAsia="Times New Roman" w:cs="Times New Roman"/>
          <w:szCs w:val="24"/>
        </w:rPr>
        <w:t xml:space="preserve"> </w:t>
      </w:r>
      <w:r w:rsidRPr="005D7873">
        <w:rPr>
          <w:rFonts w:eastAsia="Times New Roman" w:cs="Times New Roman"/>
          <w:szCs w:val="24"/>
        </w:rPr>
        <w:t xml:space="preserve">University, </w:t>
      </w:r>
      <w:proofErr w:type="spellStart"/>
      <w:r>
        <w:rPr>
          <w:rFonts w:eastAsia="Times New Roman" w:cs="Times New Roman"/>
          <w:szCs w:val="24"/>
        </w:rPr>
        <w:t>Çankırı</w:t>
      </w:r>
      <w:proofErr w:type="spellEnd"/>
      <w:r w:rsidRPr="005D7873">
        <w:rPr>
          <w:rFonts w:eastAsia="Times New Roman" w:cs="Times New Roman"/>
          <w:szCs w:val="24"/>
        </w:rPr>
        <w:t>, Turkey</w:t>
      </w:r>
    </w:p>
    <w:p w14:paraId="7CE9ADB2" w14:textId="77777777" w:rsidR="00F93500" w:rsidRPr="005D7873" w:rsidRDefault="00F93500" w:rsidP="00F93500">
      <w:pPr>
        <w:spacing w:after="0"/>
        <w:rPr>
          <w:rFonts w:eastAsia="Times New Roman" w:cs="Times New Roman"/>
          <w:szCs w:val="24"/>
        </w:rPr>
      </w:pPr>
      <w:r>
        <w:rPr>
          <w:rFonts w:eastAsia="Times New Roman" w:cs="Times New Roman"/>
          <w:b/>
          <w:szCs w:val="24"/>
          <w:vertAlign w:val="superscript"/>
        </w:rPr>
        <w:t>2</w:t>
      </w:r>
      <w:r w:rsidRPr="005D7873">
        <w:rPr>
          <w:rFonts w:eastAsia="Times New Roman" w:cs="Times New Roman"/>
          <w:szCs w:val="24"/>
        </w:rPr>
        <w:t xml:space="preserve">Hatice </w:t>
      </w:r>
      <w:proofErr w:type="spellStart"/>
      <w:r w:rsidRPr="005D7873">
        <w:rPr>
          <w:rFonts w:eastAsia="Times New Roman" w:cs="Times New Roman"/>
          <w:szCs w:val="24"/>
        </w:rPr>
        <w:t>Nurseda</w:t>
      </w:r>
      <w:proofErr w:type="spellEnd"/>
      <w:r w:rsidRPr="005D7873">
        <w:rPr>
          <w:rFonts w:eastAsia="Times New Roman" w:cs="Times New Roman"/>
          <w:szCs w:val="24"/>
        </w:rPr>
        <w:t xml:space="preserve"> </w:t>
      </w:r>
      <w:proofErr w:type="spellStart"/>
      <w:r w:rsidRPr="005D7873">
        <w:rPr>
          <w:rFonts w:eastAsia="Times New Roman" w:cs="Times New Roman"/>
          <w:szCs w:val="24"/>
        </w:rPr>
        <w:t>Hatunoglu</w:t>
      </w:r>
      <w:proofErr w:type="spellEnd"/>
      <w:r w:rsidRPr="005D7873">
        <w:rPr>
          <w:rFonts w:eastAsia="Times New Roman" w:cs="Times New Roman"/>
          <w:szCs w:val="24"/>
        </w:rPr>
        <w:t xml:space="preserve">; Ph.D. Student, Lecturer, nursedahatunoglu1@gmail.com, +90 545 728 24 50, </w:t>
      </w:r>
      <w:proofErr w:type="spellStart"/>
      <w:r w:rsidRPr="005D7873">
        <w:rPr>
          <w:rFonts w:eastAsia="Times New Roman" w:cs="Times New Roman"/>
          <w:szCs w:val="24"/>
        </w:rPr>
        <w:t>Orcid</w:t>
      </w:r>
      <w:proofErr w:type="spellEnd"/>
      <w:r w:rsidRPr="005D7873">
        <w:rPr>
          <w:rFonts w:eastAsia="Times New Roman" w:cs="Times New Roman"/>
          <w:szCs w:val="24"/>
        </w:rPr>
        <w:t xml:space="preserve">: 0000-0003-1506-5766, Department of Nutrition and Dietetics, Faculty of Health Science, </w:t>
      </w:r>
      <w:proofErr w:type="spellStart"/>
      <w:r w:rsidRPr="005D7873">
        <w:rPr>
          <w:rFonts w:eastAsia="Times New Roman" w:cs="Times New Roman"/>
          <w:szCs w:val="24"/>
        </w:rPr>
        <w:t>Uskudar</w:t>
      </w:r>
      <w:proofErr w:type="spellEnd"/>
      <w:r w:rsidRPr="005D7873">
        <w:rPr>
          <w:rFonts w:eastAsia="Times New Roman" w:cs="Times New Roman"/>
          <w:szCs w:val="24"/>
        </w:rPr>
        <w:t xml:space="preserve"> University, İstanbul, Turkey</w:t>
      </w:r>
    </w:p>
    <w:p w14:paraId="0796644C" w14:textId="77777777" w:rsidR="00F93500" w:rsidRPr="005D7873" w:rsidRDefault="00F93500" w:rsidP="00F93500">
      <w:pPr>
        <w:spacing w:after="0"/>
        <w:rPr>
          <w:rFonts w:eastAsia="Times New Roman" w:cs="Times New Roman"/>
          <w:szCs w:val="24"/>
        </w:rPr>
      </w:pPr>
      <w:r>
        <w:rPr>
          <w:rFonts w:eastAsia="Times New Roman" w:cs="Times New Roman"/>
          <w:b/>
          <w:szCs w:val="24"/>
          <w:vertAlign w:val="superscript"/>
        </w:rPr>
        <w:t>3</w:t>
      </w:r>
      <w:r w:rsidRPr="005D7873">
        <w:rPr>
          <w:rFonts w:eastAsia="Times New Roman" w:cs="Times New Roman"/>
          <w:szCs w:val="24"/>
        </w:rPr>
        <w:t xml:space="preserve">Gulsah Saglam; Master Student, Research Assistant, diyetisyen.gulsahsaglam@gmail.com, +90 532 545 08 65, </w:t>
      </w:r>
      <w:proofErr w:type="spellStart"/>
      <w:r w:rsidRPr="005D7873">
        <w:rPr>
          <w:rFonts w:eastAsia="Times New Roman" w:cs="Times New Roman"/>
          <w:szCs w:val="24"/>
        </w:rPr>
        <w:t>Orcid</w:t>
      </w:r>
      <w:proofErr w:type="spellEnd"/>
      <w:r w:rsidRPr="005D7873">
        <w:rPr>
          <w:rFonts w:eastAsia="Times New Roman" w:cs="Times New Roman"/>
          <w:szCs w:val="24"/>
        </w:rPr>
        <w:t xml:space="preserve">: 0000-0001-7032-2177, Department of Nutrition and Dietetics, Faculty of Health Science, </w:t>
      </w:r>
      <w:r>
        <w:rPr>
          <w:rFonts w:eastAsia="Times New Roman" w:cs="Times New Roman"/>
          <w:szCs w:val="24"/>
        </w:rPr>
        <w:t>İstanbul Bilgi</w:t>
      </w:r>
      <w:r w:rsidRPr="005D7873">
        <w:rPr>
          <w:rFonts w:eastAsia="Times New Roman" w:cs="Times New Roman"/>
          <w:szCs w:val="24"/>
        </w:rPr>
        <w:t xml:space="preserve"> University, Trabzon, Turkey</w:t>
      </w:r>
    </w:p>
    <w:p w14:paraId="274242A1" w14:textId="77777777" w:rsidR="00F93500" w:rsidRDefault="00F93500" w:rsidP="00F93500">
      <w:pPr>
        <w:rPr>
          <w:rFonts w:cs="Times New Roman"/>
          <w:b/>
          <w:color w:val="000000" w:themeColor="text1"/>
        </w:rPr>
      </w:pPr>
      <w:r>
        <w:rPr>
          <w:rFonts w:cs="Times New Roman"/>
          <w:b/>
          <w:color w:val="000000" w:themeColor="text1"/>
        </w:rPr>
        <w:t>A</w:t>
      </w:r>
      <w:r>
        <w:rPr>
          <w:rFonts w:cs="Times New Roman" w:hint="eastAsia"/>
          <w:b/>
          <w:color w:val="000000" w:themeColor="text1"/>
        </w:rPr>
        <w:t>bbreviations</w:t>
      </w:r>
    </w:p>
    <w:p w14:paraId="3402D4DC" w14:textId="77777777" w:rsidR="00F93500" w:rsidRPr="00556FD8" w:rsidRDefault="00F93500" w:rsidP="00F93500">
      <w:pPr>
        <w:spacing w:line="259" w:lineRule="auto"/>
        <w:jc w:val="left"/>
        <w:rPr>
          <w:rFonts w:cs="Times New Roman"/>
          <w:szCs w:val="24"/>
        </w:rPr>
      </w:pPr>
      <w:r w:rsidRPr="00556FD8">
        <w:rPr>
          <w:rFonts w:cs="Times New Roman"/>
          <w:szCs w:val="24"/>
        </w:rPr>
        <w:t>CHO</w:t>
      </w:r>
      <w:r w:rsidRPr="00556FD8">
        <w:rPr>
          <w:rFonts w:cs="Times New Roman"/>
          <w:szCs w:val="24"/>
        </w:rPr>
        <w:tab/>
        <w:t>Carbohydrate</w:t>
      </w:r>
    </w:p>
    <w:p w14:paraId="5DAEACBF" w14:textId="77777777" w:rsidR="00F93500" w:rsidRPr="00556FD8" w:rsidRDefault="00F93500" w:rsidP="00F93500">
      <w:pPr>
        <w:spacing w:line="259" w:lineRule="auto"/>
        <w:jc w:val="left"/>
        <w:rPr>
          <w:rFonts w:cs="Times New Roman"/>
          <w:szCs w:val="24"/>
        </w:rPr>
      </w:pPr>
      <w:r w:rsidRPr="00556FD8">
        <w:rPr>
          <w:rFonts w:cs="Times New Roman"/>
          <w:szCs w:val="24"/>
        </w:rPr>
        <w:t>CB</w:t>
      </w:r>
      <w:r w:rsidRPr="00556FD8">
        <w:rPr>
          <w:rFonts w:cs="Times New Roman"/>
          <w:szCs w:val="24"/>
        </w:rPr>
        <w:tab/>
        <w:t xml:space="preserve">Corn-bread </w:t>
      </w:r>
    </w:p>
    <w:p w14:paraId="60CB38C0" w14:textId="36F4F8E4" w:rsidR="00CA4053" w:rsidRDefault="00CA4053" w:rsidP="00F93500">
      <w:pPr>
        <w:spacing w:line="259" w:lineRule="auto"/>
        <w:jc w:val="left"/>
        <w:rPr>
          <w:rFonts w:cs="Times New Roman"/>
          <w:szCs w:val="24"/>
        </w:rPr>
      </w:pPr>
      <w:r>
        <w:rPr>
          <w:rFonts w:cs="Times New Roman"/>
          <w:szCs w:val="24"/>
        </w:rPr>
        <w:t>RR</w:t>
      </w:r>
      <w:r>
        <w:rPr>
          <w:rFonts w:cs="Times New Roman"/>
          <w:szCs w:val="24"/>
        </w:rPr>
        <w:tab/>
        <w:t>Refence bread (white bread)</w:t>
      </w:r>
    </w:p>
    <w:p w14:paraId="390BFBAE" w14:textId="2CA1EC2D" w:rsidR="00CA4053" w:rsidRDefault="00CA4053" w:rsidP="00F93500">
      <w:pPr>
        <w:spacing w:line="259" w:lineRule="auto"/>
        <w:jc w:val="left"/>
        <w:rPr>
          <w:rFonts w:cs="Times New Roman"/>
          <w:szCs w:val="24"/>
        </w:rPr>
      </w:pPr>
      <w:r>
        <w:rPr>
          <w:rFonts w:cs="Times New Roman"/>
          <w:szCs w:val="24"/>
        </w:rPr>
        <w:t>WWB Whole</w:t>
      </w:r>
      <w:r w:rsidRPr="00CA4053">
        <w:rPr>
          <w:rFonts w:cs="Times New Roman"/>
          <w:szCs w:val="24"/>
        </w:rPr>
        <w:t xml:space="preserve"> wheat bread</w:t>
      </w:r>
    </w:p>
    <w:p w14:paraId="21F9B67F" w14:textId="6362A2F7" w:rsidR="00CA4053" w:rsidRDefault="00CA4053" w:rsidP="00F93500">
      <w:pPr>
        <w:spacing w:line="259" w:lineRule="auto"/>
        <w:jc w:val="left"/>
        <w:rPr>
          <w:rFonts w:cs="Times New Roman"/>
          <w:szCs w:val="24"/>
        </w:rPr>
      </w:pPr>
      <w:r w:rsidRPr="00CA4053">
        <w:rPr>
          <w:rFonts w:cs="Times New Roman"/>
          <w:szCs w:val="24"/>
        </w:rPr>
        <w:t>BWB</w:t>
      </w:r>
      <w:r w:rsidRPr="00CA4053">
        <w:rPr>
          <w:rFonts w:cs="Times New Roman"/>
          <w:szCs w:val="24"/>
        </w:rPr>
        <w:tab/>
        <w:t>Buckwheat bread</w:t>
      </w:r>
    </w:p>
    <w:p w14:paraId="7D84F6F5" w14:textId="77777777" w:rsidR="00F93500" w:rsidRPr="00556FD8" w:rsidRDefault="00F93500" w:rsidP="00F93500">
      <w:pPr>
        <w:spacing w:line="259" w:lineRule="auto"/>
        <w:jc w:val="left"/>
        <w:rPr>
          <w:rFonts w:cs="Times New Roman"/>
          <w:szCs w:val="24"/>
        </w:rPr>
      </w:pPr>
      <w:r w:rsidRPr="00556FD8">
        <w:rPr>
          <w:rFonts w:cs="Times New Roman"/>
          <w:szCs w:val="24"/>
        </w:rPr>
        <w:t>GI</w:t>
      </w:r>
      <w:r w:rsidRPr="00556FD8">
        <w:rPr>
          <w:rFonts w:cs="Times New Roman"/>
          <w:szCs w:val="24"/>
        </w:rPr>
        <w:tab/>
        <w:t>Glycemic Index</w:t>
      </w:r>
    </w:p>
    <w:p w14:paraId="71031A60" w14:textId="77777777" w:rsidR="00F93500" w:rsidRPr="00556FD8" w:rsidRDefault="00F93500" w:rsidP="00F93500">
      <w:pPr>
        <w:spacing w:line="259" w:lineRule="auto"/>
        <w:jc w:val="left"/>
        <w:rPr>
          <w:rFonts w:cs="Times New Roman"/>
          <w:szCs w:val="24"/>
        </w:rPr>
      </w:pPr>
      <w:r w:rsidRPr="00556FD8">
        <w:rPr>
          <w:rFonts w:cs="Times New Roman"/>
          <w:szCs w:val="24"/>
        </w:rPr>
        <w:t>WHO</w:t>
      </w:r>
      <w:r w:rsidRPr="00556FD8">
        <w:rPr>
          <w:rFonts w:cs="Times New Roman"/>
          <w:szCs w:val="24"/>
        </w:rPr>
        <w:tab/>
        <w:t>The World Health Organization</w:t>
      </w:r>
    </w:p>
    <w:p w14:paraId="6C6DDF04" w14:textId="77777777" w:rsidR="00F93500" w:rsidRDefault="00F93500" w:rsidP="00F93500">
      <w:pPr>
        <w:spacing w:line="259" w:lineRule="auto"/>
        <w:jc w:val="left"/>
        <w:rPr>
          <w:rFonts w:cs="Times New Roman"/>
          <w:szCs w:val="24"/>
        </w:rPr>
      </w:pPr>
      <w:r w:rsidRPr="00556FD8">
        <w:rPr>
          <w:rFonts w:cs="Times New Roman"/>
          <w:szCs w:val="24"/>
        </w:rPr>
        <w:t>AUC</w:t>
      </w:r>
      <w:r w:rsidRPr="00556FD8">
        <w:rPr>
          <w:rFonts w:cs="Times New Roman"/>
          <w:szCs w:val="24"/>
        </w:rPr>
        <w:tab/>
        <w:t>Area under the curve</w:t>
      </w:r>
    </w:p>
    <w:p w14:paraId="39F62602" w14:textId="77777777" w:rsidR="00F93500" w:rsidRDefault="00F93500">
      <w:pPr>
        <w:spacing w:line="259" w:lineRule="auto"/>
        <w:jc w:val="left"/>
        <w:rPr>
          <w:rFonts w:eastAsia="Times New Roman" w:cs="Times New Roman"/>
          <w:b/>
          <w:szCs w:val="32"/>
          <w14:ligatures w14:val="none"/>
        </w:rPr>
      </w:pPr>
      <w:r>
        <w:rPr>
          <w:rFonts w:eastAsia="Times New Roman" w:cs="Times New Roman"/>
          <w:b/>
          <w:szCs w:val="32"/>
          <w14:ligatures w14:val="none"/>
        </w:rPr>
        <w:br w:type="page"/>
      </w:r>
    </w:p>
    <w:p w14:paraId="50AC3A49" w14:textId="0937BA63" w:rsidR="00A3541A" w:rsidRPr="00A3541A" w:rsidRDefault="00A3541A" w:rsidP="00A3541A">
      <w:pPr>
        <w:keepNext/>
        <w:keepLines/>
        <w:spacing w:before="240" w:after="0"/>
        <w:outlineLvl w:val="0"/>
        <w:rPr>
          <w:rFonts w:eastAsia="Times New Roman" w:cs="Times New Roman"/>
          <w:b/>
          <w:szCs w:val="32"/>
          <w14:ligatures w14:val="none"/>
        </w:rPr>
      </w:pPr>
      <w:r w:rsidRPr="00A3541A">
        <w:rPr>
          <w:rFonts w:eastAsia="Times New Roman" w:cs="Times New Roman"/>
          <w:b/>
          <w:szCs w:val="32"/>
          <w14:ligatures w14:val="none"/>
        </w:rPr>
        <w:lastRenderedPageBreak/>
        <w:t>Materials and Methods</w:t>
      </w:r>
    </w:p>
    <w:p w14:paraId="5C5AFDDA" w14:textId="453F5153" w:rsidR="00A3541A" w:rsidRPr="005D7873" w:rsidRDefault="00A3541A" w:rsidP="00A3541A">
      <w:pPr>
        <w:pStyle w:val="Balk3"/>
      </w:pPr>
      <w:r w:rsidRPr="005D7873">
        <w:t>The study groups</w:t>
      </w:r>
    </w:p>
    <w:p w14:paraId="29C981BE" w14:textId="77777777" w:rsidR="00A3541A" w:rsidRPr="005D7873" w:rsidRDefault="00A3541A" w:rsidP="00A3541A">
      <w:r w:rsidRPr="005D7873">
        <w:t>In the randomized controlled study, the study group consisted of volunteer individuals aged between 18 and 35 years. Pregnant women, lactating women, and patients with physician-diagnosed chronic diseases were not included in the study. This study was completed between December 19, 2022, and January 20, 2023, and 138 people agreed to voluntarily participate in the study.</w:t>
      </w:r>
    </w:p>
    <w:p w14:paraId="32831EEE" w14:textId="41309D19" w:rsidR="00A3541A" w:rsidRPr="008D65DD" w:rsidRDefault="004F5A2C" w:rsidP="00A3541A">
      <w:pPr>
        <w:pStyle w:val="Balk3"/>
      </w:pPr>
      <w:r>
        <w:t>C</w:t>
      </w:r>
      <w:r w:rsidR="00A3541A" w:rsidRPr="008D65DD">
        <w:t xml:space="preserve">onsumption of different breads by different groups </w:t>
      </w:r>
    </w:p>
    <w:p w14:paraId="6B46602F" w14:textId="6F80B7C9" w:rsidR="00A3541A" w:rsidRPr="005D7873" w:rsidRDefault="00A3541A" w:rsidP="00A3541A">
      <w:r w:rsidRPr="005D7873">
        <w:t>A total of 103 of these participants (</w:t>
      </w:r>
      <w:proofErr w:type="spellStart"/>
      <w:r w:rsidRPr="005D7873">
        <w:t>n</w:t>
      </w:r>
      <w:r w:rsidRPr="005D7873">
        <w:rPr>
          <w:vertAlign w:val="subscript"/>
        </w:rPr>
        <w:t>male</w:t>
      </w:r>
      <w:proofErr w:type="spellEnd"/>
      <w:r w:rsidRPr="005D7873">
        <w:rPr>
          <w:vertAlign w:val="subscript"/>
        </w:rPr>
        <w:t xml:space="preserve"> </w:t>
      </w:r>
      <w:r w:rsidRPr="005D7873">
        <w:t xml:space="preserve">= 13, </w:t>
      </w:r>
      <w:proofErr w:type="spellStart"/>
      <w:r w:rsidRPr="005D7873">
        <w:t>n</w:t>
      </w:r>
      <w:r w:rsidRPr="005D7873">
        <w:rPr>
          <w:vertAlign w:val="subscript"/>
        </w:rPr>
        <w:t>female</w:t>
      </w:r>
      <w:proofErr w:type="spellEnd"/>
      <w:r w:rsidRPr="005D7873">
        <w:rPr>
          <w:vertAlign w:val="subscript"/>
        </w:rPr>
        <w:t xml:space="preserve"> </w:t>
      </w:r>
      <w:r w:rsidRPr="005D7873">
        <w:t>= 90) were included in the study and randomly divided into four groups: the control group (27 people who consumed RB), the first experimental group (28 people who consumed WWB), the second experimental group (26 people who consumed BWB), and third experimental group (22 people who consumed CB) (Fig</w:t>
      </w:r>
      <w:r>
        <w:t>.</w:t>
      </w:r>
      <w:r w:rsidRPr="005D7873">
        <w:t xml:space="preserve"> 1). Four types of bread were consumed in 1 week. These groups consisted of different individuals. The values for each group are shown in Table 2. No difference in fasting blood glucose levels was observed among the four groups (Table 2).</w:t>
      </w:r>
    </w:p>
    <w:p w14:paraId="05E4CF1B" w14:textId="77777777" w:rsidR="00A3541A" w:rsidRPr="005D7873" w:rsidRDefault="00A3541A" w:rsidP="00A3541A">
      <w:pPr>
        <w:pStyle w:val="Balk3"/>
      </w:pPr>
      <w:r w:rsidRPr="005D7873">
        <w:t xml:space="preserve">Measurement of capillary blood glucose </w:t>
      </w:r>
    </w:p>
    <w:p w14:paraId="35EA052B" w14:textId="77777777" w:rsidR="00A3541A" w:rsidRPr="005D7873" w:rsidRDefault="00A3541A" w:rsidP="00A3541A">
      <w:r w:rsidRPr="005D7873">
        <w:t xml:space="preserve">In this study, two Accu-Check Performa </w:t>
      </w:r>
      <w:proofErr w:type="spellStart"/>
      <w:r w:rsidRPr="005D7873">
        <w:t>Nanoglucometer</w:t>
      </w:r>
      <w:proofErr w:type="spellEnd"/>
      <w:r w:rsidRPr="005D7873">
        <w:t xml:space="preserve"> devices were used. Capillary blood glucose levels of individuals were measured at 0, 30, 60, 90, and 120 min. The first blood glucose measurement was taken after at least 8 h of fasting, and any of the bread types were given to the participants for consumption. All measurements were taken between 09.00 and 13.00. During the measurements, the volunteers were instructed to avoid water, coffee, and any food intake and to avoid excessive exercise.</w:t>
      </w:r>
    </w:p>
    <w:p w14:paraId="6DD50B99" w14:textId="77777777" w:rsidR="00A3541A" w:rsidRPr="005D7873" w:rsidRDefault="00A3541A" w:rsidP="00A3541A">
      <w:pPr>
        <w:pStyle w:val="Balk3"/>
      </w:pPr>
      <w:r w:rsidRPr="005D7873">
        <w:lastRenderedPageBreak/>
        <w:t>The area under the curve</w:t>
      </w:r>
      <w:r>
        <w:t xml:space="preserve"> (AUC)</w:t>
      </w:r>
      <w:r w:rsidRPr="005D7873">
        <w:t xml:space="preserve"> calculation </w:t>
      </w:r>
    </w:p>
    <w:p w14:paraId="212AE9A4" w14:textId="7CC8F71C" w:rsidR="00A3541A" w:rsidRPr="005D7873" w:rsidRDefault="00A3541A" w:rsidP="00A3541A">
      <w:r w:rsidRPr="005D7873">
        <w:t>Capillary blood glucose</w:t>
      </w:r>
      <w:r>
        <w:t xml:space="preserve"> (BG)</w:t>
      </w:r>
      <w:r w:rsidRPr="005D7873">
        <w:t xml:space="preserve"> measurements were taken at 0, 30, 60, 90, and 120 min. These values were drawn as a graph of blood glucose levels against time</w:t>
      </w:r>
      <w:r>
        <w:t xml:space="preserve"> </w:t>
      </w:r>
      <w:r w:rsidRPr="005D7873">
        <w:t>was obtained. The "area under the curve</w:t>
      </w:r>
      <w:r>
        <w:t xml:space="preserve"> (</w:t>
      </w:r>
      <w:r w:rsidRPr="005D7873">
        <w:t xml:space="preserve">AUC </w:t>
      </w:r>
      <w:r>
        <w:t>)</w:t>
      </w:r>
      <w:r w:rsidRPr="005D7873">
        <w:t xml:space="preserve">" method was used </w:t>
      </w:r>
      <w:r w:rsidRPr="005D7873">
        <w:fldChar w:fldCharType="begin" w:fldLock="1"/>
      </w:r>
      <w:r w:rsidR="0051396A">
        <w:instrText>ADDIN CSL_CITATION {"citationItems":[{"id":"ITEM-1","itemData":{"DOI":"10.1093/ajcn/54.5.846","ISSN":"00029165","PMID":"1951155","abstract":"There is controversy regarding the clinical utility of classifying foods according to their glycemic responses by using the glycemic index (GI). Part of the controversy is due to methodologic variables that can markedly affect the interpretation of glycemic responses and the GI values obtained. Recent studies support the clinical utility of the GI. Within limits determined by the expected GI difference and by the day-to-day variation of glycemic responses, the GI predicts the ranking of the glycemic potential of different meals in individual subjects. In long-term trials, low-GI diets result in modest improvements in overall blood glucose control in patients with insulin-dependent and non-insulin-dependent diabetes. Of perhaps greater therapeutic importance is the ability of low-GI diets to reduce insulin secretion and lower blood lipid concentrations in patients with hypertriglyceridemia.","author":[{"dropping-particle":"","family":"Wolever","given":"T. M.S.","non-dropping-particle":"","parse-names":false,"suffix":""},{"dropping-particle":"","family":"Jenkins","given":"D. J.A.","non-dropping-particle":"","parse-names":false,"suffix":""},{"dropping-particle":"","family":"Jenkins","given":"A. L.","non-dropping-particle":"","parse-names":false,"suffix":""},{"dropping-particle":"","family":"Josse","given":"R. G.","non-dropping-particle":"","parse-names":false,"suffix":""}],"container-title":"American Journal of Clinical Nutrition","id":"ITEM-1","issue":"5","issued":{"date-parts":[["1991"]]},"page":"846-854","publisher":"Am J Clin Nutr","title":"The glycemic index: Methodology and clinical implications","type":"article","volume":"54"},"uris":["http://www.mendeley.com/documents/?uuid=d5d8b78e-bb6a-33ca-8562-80649e71e74b"]}],"mendeley":{"formattedCitation":"[1]","plainTextFormattedCitation":"[1]","previouslyFormattedCitation":"[1]"},"properties":{"noteIndex":0},"schema":"https://github.com/citation-style-language/schema/raw/master/csl-citation.json"}</w:instrText>
      </w:r>
      <w:r w:rsidRPr="005D7873">
        <w:fldChar w:fldCharType="separate"/>
      </w:r>
      <w:r w:rsidR="00A907DF" w:rsidRPr="00A907DF">
        <w:rPr>
          <w:noProof/>
        </w:rPr>
        <w:t>[1]</w:t>
      </w:r>
      <w:r w:rsidRPr="005D7873">
        <w:fldChar w:fldCharType="end"/>
      </w:r>
      <w:r w:rsidRPr="005D7873">
        <w:t xml:space="preserve">. </w:t>
      </w:r>
    </w:p>
    <w:p w14:paraId="0651F234" w14:textId="1096D437" w:rsidR="00A3541A" w:rsidRDefault="00A3541A" w:rsidP="00A3541A">
      <w:r w:rsidRPr="005D7873">
        <w:t xml:space="preserve">AUC = [(BG </w:t>
      </w:r>
      <w:r>
        <w:t>0</w:t>
      </w:r>
      <w:r w:rsidRPr="005D7873">
        <w:t xml:space="preserve">h min + BG </w:t>
      </w:r>
      <w:r>
        <w:t>30</w:t>
      </w:r>
      <w:r w:rsidRPr="005D7873">
        <w:t>th min) / 2] * (</w:t>
      </w:r>
      <w:r>
        <w:t>3</w:t>
      </w:r>
      <w:r w:rsidRPr="005D7873">
        <w:t>0th min –0th min)</w:t>
      </w:r>
      <w:r>
        <w:t>+</w:t>
      </w:r>
      <w:r w:rsidRPr="00124507">
        <w:t xml:space="preserve"> </w:t>
      </w:r>
      <w:r w:rsidRPr="005D7873">
        <w:t>[(BG 30th min + BG 60th min) / 2] * (60th min – 30th min)</w:t>
      </w:r>
      <w:r>
        <w:t>+</w:t>
      </w:r>
      <w:r w:rsidRPr="00124507">
        <w:t xml:space="preserve"> </w:t>
      </w:r>
      <w:r w:rsidRPr="005D7873">
        <w:t xml:space="preserve">[(BG </w:t>
      </w:r>
      <w:r>
        <w:t>6</w:t>
      </w:r>
      <w:r w:rsidRPr="005D7873">
        <w:t xml:space="preserve">0th min + BG </w:t>
      </w:r>
      <w:r>
        <w:t>9</w:t>
      </w:r>
      <w:r w:rsidRPr="005D7873">
        <w:t>0th min) / 2] * (</w:t>
      </w:r>
      <w:r>
        <w:t>9</w:t>
      </w:r>
      <w:r w:rsidRPr="005D7873">
        <w:t xml:space="preserve">0th min – </w:t>
      </w:r>
      <w:r>
        <w:t>6</w:t>
      </w:r>
      <w:r w:rsidRPr="005D7873">
        <w:t xml:space="preserve">0th min) </w:t>
      </w:r>
      <w:r>
        <w:t>+</w:t>
      </w:r>
      <w:r w:rsidRPr="005D7873">
        <w:t xml:space="preserve">[(BG </w:t>
      </w:r>
      <w:r>
        <w:t>12</w:t>
      </w:r>
      <w:r w:rsidRPr="005D7873">
        <w:t xml:space="preserve">0th min + BG </w:t>
      </w:r>
      <w:r>
        <w:t>9</w:t>
      </w:r>
      <w:r w:rsidRPr="005D7873">
        <w:t>0th min) / 2] * (</w:t>
      </w:r>
      <w:r>
        <w:t>9</w:t>
      </w:r>
      <w:r w:rsidRPr="005D7873">
        <w:t xml:space="preserve">0th min – </w:t>
      </w:r>
      <w:r>
        <w:t>12</w:t>
      </w:r>
      <w:r w:rsidRPr="005D7873">
        <w:t>0th min)</w:t>
      </w:r>
      <w:r>
        <w:t>]</w:t>
      </w:r>
      <w:r w:rsidRPr="00124507">
        <w:t xml:space="preserve"> </w:t>
      </w:r>
      <w:r w:rsidRPr="005D7873">
        <w:fldChar w:fldCharType="begin" w:fldLock="1"/>
      </w:r>
      <w:r w:rsidR="0051396A">
        <w:instrText>ADDIN CSL_CITATION {"citationItems":[{"id":"ITEM-1","itemData":{"DOI":"10.1002/star.202200279","ISSN":"1521379X","abstract":"This study aims to compare the effect of enzyme-resistant starch flour (ERSF) and standard wheat flour (SWF) bagels given as a mid-afternoon snack on blood glucose (BG) levels in patients with insulin-treated type 2 diabetes mellitus (T2DM). First, bagels containing 15 g of carbohydrates are prepared using ERSF or SWF. Then, the effect of bagels prepared using SWF or ERSF on BG levels is examined through clinical research. A continuous glucose monitoring system (CGMS) device is placed and then, the patients are given three packages of bagels that are visually similar and are asked to consume the red package (SWF bagel) on the first day and blue packages (ERSF bagels) on the second and third days as a mid-afternoon snack, without consuming anything else. The increase in BG from ERSF is less than that caused by SWF bagel consumption, and SWF is found to have higher BG averages than ERSF (ERSF: 150 mg dL−1, SWF: 170 mg dL−1). Patients stated that they like the taste and do not feel any discomfort while consuming ERSF bagels. ERSF bagels have higher fiber content and cause more even fluctuations in BG levels than SWF bagels. Food fortification using ERSF foods can be recommended for patients with T2DM.","author":[{"dropping-particle":"","family":"Cesur","given":"Fatih","non-dropping-particle":"","parse-names":false,"suffix":""},{"dropping-particle":"","family":"Seçkiner","given":"Selda","non-dropping-particle":"","parse-names":false,"suffix":""},{"dropping-particle":"","family":"Kucukerdonmez","given":"Ozge","non-dropping-particle":"","parse-names":false,"suffix":""},{"dropping-particle":"","family":"Cagindi","given":"Ozlem","non-dropping-particle":"","parse-names":false,"suffix":""},{"dropping-particle":"","family":"Saygili","given":"Lütfiye Füsun","non-dropping-particle":"","parse-names":false,"suffix":""},{"dropping-particle":"","family":"Meseri","given":"Reci","non-dropping-particle":"","parse-names":false,"suffix":""}],"container-title":"Starch/Staerke","id":"ITEM-1","issue":"9-10","issued":{"date-parts":[["2023"]]},"title":"Can Enzyme-Resistant Starch Snack Prevent Blood Glucose Fluctuations? A Pilot Trial in Patients with Insulin-Treated Type 2 Diabetes","type":"article-journal","volume":"75"},"uris":["http://www.mendeley.com/documents/?uuid=297e49bd-b642-3870-8324-a041f55ba6f7"]}],"mendeley":{"formattedCitation":"[2]","plainTextFormattedCitation":"[2]","previouslyFormattedCitation":"[2]"},"properties":{"noteIndex":0},"schema":"https://github.com/citation-style-language/schema/raw/master/csl-citation.json"}</w:instrText>
      </w:r>
      <w:r w:rsidRPr="005D7873">
        <w:fldChar w:fldCharType="separate"/>
      </w:r>
      <w:r w:rsidR="00A907DF" w:rsidRPr="00A907DF">
        <w:rPr>
          <w:noProof/>
        </w:rPr>
        <w:t>[2]</w:t>
      </w:r>
      <w:r w:rsidRPr="005D7873">
        <w:fldChar w:fldCharType="end"/>
      </w:r>
      <w:r>
        <w:t>.</w:t>
      </w:r>
    </w:p>
    <w:p w14:paraId="10C55C28" w14:textId="77777777" w:rsidR="00A3541A" w:rsidRPr="005D7873" w:rsidRDefault="00A3541A" w:rsidP="00A3541A">
      <w:pPr>
        <w:pStyle w:val="Balk3"/>
      </w:pPr>
      <w:r w:rsidRPr="005D7873">
        <w:t xml:space="preserve">Anthropometric </w:t>
      </w:r>
      <w:r>
        <w:t>m</w:t>
      </w:r>
      <w:r w:rsidRPr="005D7873">
        <w:t>easurements</w:t>
      </w:r>
    </w:p>
    <w:p w14:paraId="7E6D24E6" w14:textId="599788E6" w:rsidR="00A3541A" w:rsidRPr="005D7873" w:rsidRDefault="00A3541A" w:rsidP="00A3541A">
      <w:r w:rsidRPr="005D7873">
        <w:t xml:space="preserve">Before starting the capillary blood glucose measurement, the bioimpedance method (TANITA MC780 MA) was used to analyze the body composition of participants (body weight, body mass index [BMI], waist circumference, waist/hip ratio, fat percentage, muscle percentage, internal adiposity rate, and basal metabolic rate). Heights were measured using a stadiometer (TANITA). Using the bioimpedance method, the body fat and muscle compositions of the volunteers (male and female) were analyzed and classified as normal (in the ideal range) and obese (over the ideal range). The ideal fat percentage is between 18% and 26% in women aged 20-29 years and between 10% and 20% in men </w:t>
      </w:r>
      <w:r w:rsidRPr="005D7873">
        <w:fldChar w:fldCharType="begin" w:fldLock="1"/>
      </w:r>
      <w:r w:rsidR="0051396A">
        <w:instrText>ADDIN CSL_CITATION {"citationItems":[{"id":"ITEM-1","itemData":{"DOI":"10.1007/978-3-642-36172-2_200883","ISSN":"00228710","PMID":"2004067790","author":[{"dropping-particle":"","family":"World Health Organization","given":"","non-dropping-particle":"","parse-names":false,"suffix":""}],"container-title":"The Kansas nurse","id":"ITEM-1","issue":"3","issued":{"date-parts":[["2004","1","17"]]},"page":"9","publisher":"World Health Organization","title":"Body mass index","type":"article","volume":"79"},"uris":["http://www.mendeley.com/documents/?uuid=1abf0f54-4017-3efb-863f-21b63e191776"]}],"mendeley":{"formattedCitation":"[3]","plainTextFormattedCitation":"[3]","previouslyFormattedCitation":"[3]"},"properties":{"noteIndex":0},"schema":"https://github.com/citation-style-language/schema/raw/master/csl-citation.json"}</w:instrText>
      </w:r>
      <w:r w:rsidRPr="005D7873">
        <w:fldChar w:fldCharType="separate"/>
      </w:r>
      <w:r w:rsidR="00A907DF" w:rsidRPr="00A907DF">
        <w:rPr>
          <w:noProof/>
        </w:rPr>
        <w:t>[3]</w:t>
      </w:r>
      <w:r w:rsidRPr="005D7873">
        <w:fldChar w:fldCharType="end"/>
      </w:r>
      <w:r w:rsidRPr="005D7873">
        <w:t>. Individuals who exceeded the ideal fat percentage limit based on their age ranges were referred to as “individuals with obesity”.</w:t>
      </w:r>
    </w:p>
    <w:p w14:paraId="3C2D7880" w14:textId="77777777" w:rsidR="00A3541A" w:rsidRPr="005D7873" w:rsidRDefault="00A3541A" w:rsidP="00A3541A">
      <w:pPr>
        <w:pStyle w:val="Balk3"/>
      </w:pPr>
      <w:r w:rsidRPr="005D7873">
        <w:t xml:space="preserve">Bread </w:t>
      </w:r>
      <w:r>
        <w:t>m</w:t>
      </w:r>
      <w:r w:rsidRPr="005D7873">
        <w:t>aking</w:t>
      </w:r>
    </w:p>
    <w:p w14:paraId="3774A489" w14:textId="7C7C7556" w:rsidR="00A3541A" w:rsidRPr="005D7873" w:rsidRDefault="00A3541A" w:rsidP="00A3541A">
      <w:r w:rsidRPr="005D7873">
        <w:t xml:space="preserve">All types of bread consumed in the study (RB, WWB, BWB, and CB) were made in the </w:t>
      </w:r>
      <w:proofErr w:type="spellStart"/>
      <w:r w:rsidRPr="005D7873">
        <w:t>Avrasya</w:t>
      </w:r>
      <w:proofErr w:type="spellEnd"/>
      <w:r w:rsidRPr="005D7873">
        <w:t xml:space="preserve"> University Gastronomy Kitchen. Based on studies examining the effect of foods containing 25-30 g of carbohydrates on blood glucose levels, bread made from each type of flour contains 30 g of available carbohydrates </w:t>
      </w:r>
      <w:r w:rsidRPr="005D7873">
        <w:fldChar w:fldCharType="begin" w:fldLock="1"/>
      </w:r>
      <w:r w:rsidR="0051396A">
        <w:instrText>ADDIN CSL_CITATION {"citationItems":[{"id":"ITEM-1","itemData":{"DOI":"10.1016/j.jcs.2005.11.001","ISSN":"07335210","abstract":"Bread products with three different levels (35, 50 and 75%) of the (1→3;1→4)-β-glucan rich barley genotype Prowashonupana (PW), 50% common barley (CB) or 100% white wheat, were given as a breakfast meal to 10 men and their postprandial blood glucose and insulin responses were measured. In addition, the viscosity of (1→3;1→4)-β-glucans isolated from the pw flours was measured, and the fluidity characteristics of the (1→3;1→4)-β-glucans in the bread products estimated in in vitro enzymatic digests prepared under conditions simulating those prevailing in the gastrointestinal tract. Bread containing 50 and 75% PW flour lowered the glycaemic index (GI) (40 and 48%, respectively) and insulinaemic index (II) (37 and 34%) compared with a white wheat reference bread (GI=100; II=100). A high correlation (r=0.9782; P=0.0007) was found between the fluidity index (FI) of the enzymatic digests and GI of all bread products (GI=50.8+0.441FI). The overall conclusions were that incorporation of (1→3;1→4)-β-glucan rich barley in bread may lower its glycaemic and insulinaemic properties and that the metabolic response could be predicted by measuring the in vitro fluidity of bread digests. © 2005 Elsevier Ltd. All rights reserved.","author":[{"dropping-particle":"","family":"Östman","given":"Elin","non-dropping-particle":"","parse-names":false,"suffix":""},{"dropping-particle":"","family":"Rossi","given":"Emanuele","non-dropping-particle":"","parse-names":false,"suffix":""},{"dropping-particle":"","family":"Larsson","given":"Helena","non-dropping-particle":"","parse-names":false,"suffix":""},{"dropping-particle":"","family":"Brighenti","given":"Furio","non-dropping-particle":"","parse-names":false,"suffix":""},{"dropping-particle":"","family":"Björck","given":"Inger","non-dropping-particle":"","parse-names":false,"suffix":""}],"container-title":"Journal of Cereal Science","id":"ITEM-1","issue":"2","issued":{"date-parts":[["2006","3","1"]]},"page":"230-235","publisher":"Academic Press","title":"Glucose and insulin responses in healthy men to barley bread with different levels of (1→3;1→4)-β-glucans; predictions using fluidity measurements of in vitro enzyme digests","type":"article-journal","volume":"43"},"uris":["http://www.mendeley.com/documents/?uuid=6b852cdf-3c59-3532-97ec-95897b2266eb"]},{"id":"ITEM-2","itemData":{"DOI":"10.2/JQUERY.MIN.JS","ISBN":"9772081415","ISSN":"1868-7075","PMID":"25246403","abstract":"Bu çalışmanın amacı farklı pişirme yöntemleri uygulanan patateslerin glisemik indeks değerinin saptanmasıdır. Çalışmaya, yaşları 19-35 yıl arasında değişen (24±3.81), beden kütle indeksleri normal (18.0-24.99 kg/m2) olan (21.58±2.14), hiçbir metabolik ve endokrin hastalığı bulunmayan 12 (4 erkek, 8 kadın) yetişkin sağlıklı gönüllü birey katılmıştır. Bireyler 10-12 saatlik açlığı takiben, tam randomizasyon yöntemi kullanılarak referans besin olarak glukoz ve beyaz ekmek, test besini olarak 25 g sindirilebilir karbonhidrat içeren haşlama, haşlama-soğutma, kızartma ve fırınlama işlemleri uygulanmış (Kabuğu soyularak kaynayan suya atılan 2.5x2.5 cm’lik 35 dk haşlanmış sade tuzsuz patates küpleri, Kabuğu soyularak kaynayan suya atılan 2.5x2.5 cm’lik 50 dk haşlanmış sade tuzsuz patates küpleri, kabuğu soyularak kaynayan suya atılan 2.5x2.5 cm’lik 35 dk haşlanmış sade tuzsuz 24 saat buzdolabında bekletilmiş patates küpleri, kabuğu soyularak kaynayan suya atılan 2.5x2.5 cm’lik 50 dk haşlanmış sade tuzsuz 24 saat buzdolabında bekletilmiş patates küpleri, kabuğu soyularak patates doğrama makinasında doğranan ve uzunluğu 5 cm olan 180 dereceye ısıtılmış ayçiçek yağında 8 dk kızartılmış tuzsuz çubuk patates, kabuğu soyulmadan 180 derece ısıtılmış ayçiçek yağında 8 dk kızartılmış tuzsuz elma dilimli patates, kabuğu soyularak patates doğrama makinasında doğranan ve uzunluğu 5 cm olan 200 dereceye önceden ısıtılmış fırında 30 dakika pişirilmiş tuzsuz çubuk patates, kabuğu soyulmadan 200 dereceye önceden ısıtılmış fırında 30 dakika pişirilmiş tuzsuz elma dilimli patates) patatesleri tüketmişlerdir. 50’ ve 35’ haşlanmış 24 saat +4°C’de bekletilmiş soğuk patatesler hariç diğer tüm patatesler bireyler tüketmeden hemen önce taze olarak hazırlanmıştır. Bireylerden 0., 15., 30., 45., 60., 90., ve 120. dakikalarda duplike olarak kapiller kan glukoz ölçümü yapılmıştır. Farklı pişirme yöntemleri uygulanmış patateslerin hem beyaz ekmeğe göre hem de glukoza göre glisemik indeks değerleri hesaplanmıştır. Patateslerin beyaz ekmeğe göre büyükten küçüğe glisemik indeks değerleri sırasıyla fırınlanmış parmak (çubuk) patates için 147.9, 35’ haşlanmış sıcak patates için 133.1, 50’ haşlanmış sıcak patates için 131.4, fırınlanmış elma dilimli patates için 115.1, 50’ haşlanmış 24 saat +4°C’de bekletilmiş soğuk patates için 101.9, ayçiçek yağında kızartılmış elma dilimli patates için 101.5, ayçiçek yağında kızartılmış parmak (çubuk) patates için 97.2, 35’ haşlanmış 24 saat +4°C’de bekletilm…","author":[{"dropping-particle":"","family":"Maciej Serda","given":"","non-dropping-particle":"","parse-names":false,"suffix":""},{"dropping-particle":"","family":"Becker","given":"Fernando Gertum","non-dropping-particle":"","parse-names":false,"suffix":""},{"dropping-particle":"","family":"Cleary","given":"Michelle","non-dropping-particle":"","parse-names":false,"suffix":""},{"dropping-particle":"","family":"Team","given":"R M","non-dropping-particle":"","parse-names":false,"suffix":""},{"dropping-particle":"","family":"Holtermann","given":"Helge","non-dropping-particle":"","parse-names":false,"suffix":""},{"dropping-particle":"","family":"The","given":"Disclaimer","non-dropping-particle":"","parse-names":false,"suffix":""},{"dropping-particle":"","family":"Agenda","given":"National","non-dropping-particle":"","parse-names":false,"suffix":""},{"dropping-particle":"","family":"Science","given":"Political","non-dropping-particle":"","parse-names":false,"suffix":""},{"dropping-particle":"","family":"Sk","given":"S K","non-dropping-particle":"","parse-names":false,"suffix":""},{"dropping-particle":"","family":"Hinnebusch","given":"Raymond","non-dropping-particle":"","parse-names":false,"suffix":""},{"dropping-particle":"","family":"Hinnebusch A","given":"Raymond","non-dropping-particle":"","parse-names":false,"suffix":""},{"dropping-particle":"","family":"Rabinovich","given":"Itamar","non-dropping-particle":"","parse-names":false,"suffix":""},{"dropping-particle":"","family":"Olmert","given":"Yosef","non-dropping-particle":"","parse-names":false,"suffix":""},{"dropping-particle":"","family":"Uld","given":"D Q G L Q","non-dropping-particle":"","parse-names":false,"suffix":""},{"dropping-particle":"","family":"Ri","given":"W K H Uroh","non-dropping-particle":"","parse-names":false,"suffix":""},{"dropping-particle":"","family":"Lq","given":"Vodp","non-dropping-particle":"","parse-names":false,"suffix":""},{"dropping-particle":"","family":"Frxqwu","given":"W K H","non-dropping-particle":"","parse-names":false,"suffix":""},{"dropping-particle":"","family":"Zklfk","given":"Errn","non-dropping-particle":"","parse-names":false,"suffix":""},{"dropping-particle":"V","family":"Edvhg","given":"L","non-dropping-particle":"","parse-names":false,"suffix":""},{"dropping-particle":"","family":"Wkh","given":"R Q","non-dropping-particle":"","parse-names":false,"suffix":""},{"dropping-particle":"","family":"Becker","given":"Fernando Gertum","non-dropping-particle":"","parse-names":false,"suffix":""},{"dropping-particle":"","family":"Aboueldahab","given":"N","non-dropping-particle":"","parse-names":false,"suffix":""},{"dropping-particle":"","family":"Khalaf","given":"Rana","non-dropping-particle":"","parse-names":false,"suffix":""},{"dropping-particle":"","family":"Elvira","given":"Laura Ruiz","non-dropping-particle":"De","parse-names":false,"suffix":""},{"dropping-particle":"","family":"Zintl","given":"Tina","non-dropping-particle":"","parse-names":false,"suffix":""},{"dropping-particle":"","family":"Hinnebusch","given":"Raymond","non-dropping-particle":"","parse-names":false,"suffix":""},{"dropping-particle":"","family":"Karimi","given":"Mahdi","non-dropping-particle":"","parse-names":false,"suffix":""},{"dropping-particle":"","family":"Mousavi Shafaee","given":"Seyed Masoud","non-dropping-particle":"","parse-names":false,"suffix":""},{"dropping-particle":"","family":"O 'driscoll","given":"Dylan","non-dropping-particle":"","parse-names":false,"suffix":""},{"dropping-particle":"","family":"Watts","given":"Stephen","non-dropping-particle":"","parse-names":false,"suffix":""},{"dropping-particle":"","family":"Kavanagh","given":"Jennifer","non-dropping-particle":"","parse-names":false,"suffix":""},{"dropping-particle":"","family":"Frederick","given":"Bryan","non-dropping-particle":"","parse-names":false,"suffix":""},{"dropping-particle":"","family":"Norlen","given":"Tova","non-dropping-particle":"","parse-names":false,"suffix":""},{"dropping-particle":"","family":"O'Mahony","given":"Angela","non-dropping-particle":"","parse-names":false,"suffix":""},{"dropping-particle":"","family":"Voorhies","given":"Phoenix","non-dropping-particle":"","parse-names":false,"suffix":""},{"dropping-particle":"","family":"Szayna","given":"Thomas","non-dropping-particle":"","parse-names":false,"suffix":""},{"dropping-particle":"","family":"Spalding","given":"Nancy","non-dropping-particle":"","parse-names":false,"suffix":""},{"dropping-particle":"","family":"Jackson","given":"Matthew O.","non-dropping-particle":"","parse-names":false,"suffix":""},{"dropping-particle":"","family":"Morelli","given":"Massimo","non-dropping-particle":"","parse-names":false,"suffix":""},{"dropping-particle":"","family":"Satpathy","given":"Biswajit","non-dropping-particle":"","parse-names":false,"suffix":""},{"dropping-particle":"","family":"Muniapan","given":"Balakrishnan","non-dropping-particle":"","parse-names":false,"suffix":""},{"dropping-particle":"","family":"Dass","given":"Mohan","non-dropping-particle":"","parse-names":false,"suffix":""},{"dropping-particle":"","family":"Katsamunska","given":"Polya","non-dropping-particle":"","parse-names":false,"suffix":""},{"dropping-particle":"","family":"Pamuk","given":"Yasemin","non-dropping-particle":"","parse-names":false,"suffix":""},{"dropping-particle":"","family":"Stahn","given":"Andreas","non-dropping-particle":"","parse-names":false,"suffix":""},{"dropping-particle":"","family":"Commission","given":"European","non-dropping-particle":"","parse-names":false,"suffix":""},{"dropping-particle":"","family":"Piccone","given":"T E D","non-dropping-particle":"","parse-names":false,"suffix":""},{"dropping-particle":"","family":"Annan","given":"Mr. Kofi","non-dropping-particle":"","parse-names":false,"suffix":""},{"dropping-particle":"","family":"Djankov","given":"Simeon","non-dropping-particle":"","parse-names":false,"suffix":""},{"dropping-particle":"","family":"Reynal-Querol","given":"M","non-dropping-particle":"","parse-names":false,"suffix":""},{"dropping-particle":"","family":"Couttenier","given":"Mathieu","non-dropping-particle":"","parse-names":false,"suffix":""},{"dropping-particle":"","family":"Soubeyran","given":"Raphaël","non-dropping-particle":"","parse-names":false,"suffix":""},{"dropping-particle":"","family":"Vym","given":"Petr","non-dropping-particle":"","parse-names":false,"suffix":""},{"dropping-particle":"","family":"Prague","given":"Economics","non-dropping-particle":"","parse-names":false,"suffix":""},{"dropping-particle":"","family":"World Bank","given":"","non-dropping-particle":"","parse-names":false,"suffix":""},{"dropping-particle":"","family":"Bodea","given":"Cristina","non-dropping-particle":"","parse-names":false,"suffix":""},{"dropping-particle":"","family":"Sambanis","given":"Nicholas","non-dropping-particle":"","parse-names":false,"suffix":""},{"dropping-particle":"","family":"Florea","given":"Adrian","non-dropping-particle":"","parse-names":false,"suffix":""},{"dropping-particle":"","family":"Florea","given":"Adrian","non-dropping-particle":"","parse-names":false,"suffix":""},{"dropping-particle":"","family":"Karimi","given":"Mahdi","non-dropping-particle":"","parse-names":false,"suffix":""},{"dropping-particle":"","family":"Mousavi Shafaee","given":"Seyed Masoud","non-dropping-particle":"","parse-names":false,"suffix":""},{"dropping-particle":"","family":"Spalding","given":"Nancy","non-dropping-particle":"","parse-names":false,"suffix":""},{"dropping-particle":"","family":"Sambanis","given":"Nicholas","non-dropping-particle":"","parse-names":false,"suffix":""},{"dropping-particle":"","family":"فاطم</w:instrText>
      </w:r>
      <w:r w:rsidR="0051396A">
        <w:rPr>
          <w:rFonts w:hint="cs"/>
        </w:rPr>
        <w:instrText>ی</w:instrText>
      </w:r>
      <w:r w:rsidR="0051396A">
        <w:instrText>","given":"حسن","non-dropping-particle":"","parse-names":false,"suffix":""}],"container-title":"Uniwersytet śląski","editor":[{"dropping-particle":"","family":"G. Balint","given":"","non-dropping-particle":"","parse-names":false,"suffix":""},{"dropping-particle":"","family":"Antala","given":"B.","non-dropping-particle":"","parse-names":false,"suffix":""},{"dropping-particle":"","family":"Carty","given":"C.","non-dropping-particle":"","parse-names":false,"suffix":""},{"dropping-particle":"","family":"Mabieme","given":"J-M. A.","non-dropping-particle":"","parse-names":false,"suffix":""},{"dropping-particle":"","family":"Amar","given":"I. B.","non-dropping-particle":"","parse-names":false,"suffix":""},{"dropping-particle":"","family":"Kaplanova","given":"A.","non-dropping-particle":"","parse-names":false,"suffix":""}],"id":"ITEM-2","issue":"1","issued":{"date-parts":[["2015"]]},"page":"343-354","publisher":"Sağlık Bilimleri Enstitüsü","title":"Farklı Pişirme Yöntemlerinin Patateslerin Glisemik İndeks Değeri Üzerine Etkisi","type":"article-journal","volume":"7"},"uris":["http://www.mendeley.com/documents/?uuid=bbebc5a8-e1c9-3dd3-b574-d5e8aa9ac74b"]},{"id":"ITEM-3","itemData":{"DOI":"10.1038/ejcn.2013.25","ISSN":"09543007","PMID":"23422921","abstract":"Oat and barley foods have been shown to reduce human glycaemic response, compared to similar wheat foods or a glucose control. The strength of the evidence supporting the hypothesis that the soluble fibre, mixed linkage β-glucan, reduces glycaemic response was evaluated. A search of the literature was conducted to find clinical trials with acute glycaemic response as an end point using oat or barley products. Of the 76 human studies identified, 34 met the inclusion and exclusion criteria. Dose response and ratio of β-glucan to available carbohydrate as predictors of glycaemic response were assessed. Meals provided 0.3-12.1 g oat or barley β-glucan, and reduced glycaemic response by an average of 48±33 mmol·min/l compared to a suitable control. Regression analysis on 119 treatments indicated that change in glycaemic response (expressed as incremental area under the post-prandial blood-glucose curve) was greater for intact grains than for processed foods. For processed foods, glycaemic response was more strongly related to the β-glucan dose alone (r 2 =0.48, P&lt;0.0001) than to the ratio of β-glucan to the available carbohydrate (r 2 =0.25, P&lt;0.0001). For processed foods containing 4 g of β-glucan, the linear model predicted a decrease in glycaemic response of 27±3 mmol·min/l, and 76% of treatments significantly reduced glycaemic response. Thus, intact grains as well as a variety of processed oat and barley foods containing at least 4 g of β-glucan and 30-80 g available carbohydrate can significantly reduce post-prandial blood glucose. © 2013 Macmillan Publishers Limited All rights reserved.","author":[{"dropping-particle":"","family":"Tosh","given":"S. M.","non-dropping-particle":"","parse-names":false,"suffix":""}],"container-title":"European Journal of Clinical Nutrition","id":"ITEM-3","issue":"4","issued":{"date-parts":[["2013","4"]]},"page":"310-317","publisher":"Eur J Clin Nutr","title":"Review of human studies investigating the post-prandial blood-glucose lowering ability of oat and barley food products","type":"article","volume":"67"},"uris":["http://www.mendeley.com/documents/?uuid=613943a7-e527-3194-884c-e114887a727c"]}],"mendeley":{"formattedCitation":"[4–6]","plainTextFormattedCitation":"[4–6]","previouslyFormattedCitation":"[4–6]"},"properties":{"noteIndex":0},"schema":"https://github.com/citation-style-language/schema/raw/master/csl-citation.json"}</w:instrText>
      </w:r>
      <w:r w:rsidRPr="005D7873">
        <w:fldChar w:fldCharType="separate"/>
      </w:r>
      <w:r w:rsidR="00A907DF" w:rsidRPr="00A907DF">
        <w:rPr>
          <w:noProof/>
        </w:rPr>
        <w:t>[4–6]</w:t>
      </w:r>
      <w:r w:rsidRPr="005D7873">
        <w:fldChar w:fldCharType="end"/>
      </w:r>
      <w:r w:rsidRPr="005D7873">
        <w:t xml:space="preserve">. The nutritional contents of the bread types are shown in Table 1. The ingredients used in bread making (flour, salt, oil, water, and yeast) were measured using precision scales. All types of bread were fermented for approximately 1 h. In the next step, all doughs were divided into equal parts containing 30 g </w:t>
      </w:r>
      <w:r w:rsidRPr="005D7873">
        <w:lastRenderedPageBreak/>
        <w:t>of available carbohydrates and baked for approximately 45 min preheated at 150</w:t>
      </w:r>
      <w:r w:rsidRPr="005D7873">
        <w:sym w:font="Symbol" w:char="F0B0"/>
      </w:r>
      <w:r w:rsidRPr="005D7873">
        <w:t>C. All breads were taken out from the oven and consumed 1 day after being covered with stretch film.</w:t>
      </w:r>
    </w:p>
    <w:p w14:paraId="10D8F40A" w14:textId="77777777" w:rsidR="00A3541A" w:rsidRPr="005D7873" w:rsidRDefault="00A3541A" w:rsidP="00A3541A">
      <w:pPr>
        <w:pStyle w:val="Balk3"/>
      </w:pPr>
      <w:r w:rsidRPr="005D7873">
        <w:t xml:space="preserve">Evaluation of </w:t>
      </w:r>
      <w:r>
        <w:t>s</w:t>
      </w:r>
      <w:r w:rsidRPr="005D7873">
        <w:t>urveys</w:t>
      </w:r>
    </w:p>
    <w:p w14:paraId="6E16D60F" w14:textId="3B77B901" w:rsidR="00A3541A" w:rsidRPr="005D7873" w:rsidRDefault="00A3541A" w:rsidP="00A3541A">
      <w:r w:rsidRPr="005D7873">
        <w:t xml:space="preserve">Individuals participating in the study filled out forms including the International Physical Activity Questionnaire (IPAQ), sensory test scale, food consumption frequency (used to calculate Diet Quality Index (DQI)), and sociodemographic characteristics (age, gender, etc.). </w:t>
      </w:r>
      <w:r w:rsidR="0051396A">
        <w:t xml:space="preserve">These surveys were analyzed by cebebis program </w:t>
      </w:r>
      <w:r w:rsidR="0051396A">
        <w:fldChar w:fldCharType="begin" w:fldLock="1"/>
      </w:r>
      <w:r w:rsidR="0051396A">
        <w:instrText>ADDIN CSL_CITATION {"citationItems":[{"id":"ITEM-1","itemData":{"DOI":"10.1111/JEP.14146","ISSN":"1365-2753","abstract":"Rationale: The change of IgG of COVID-19 vaccine was thought to be an effect of diet quality or daily habits. Aims and Objectives: This study aimed to correlate diet quality and healthy living factors with serum IgG response in the blood. Methods: Participants were selected from volunteers who had their first vaccination and did not have COVID-19 disease (Male = 21 Female = 40). Serum IgG levels were measured on average (avg) 28 days after the COVID-19 vaccine. Information was obtained directly from the participants by questionnaire method (Food consumption record, frequency of food consumption, Diet Quality Index [(DQI], etc.). Results: A significant difference was observed in the IgG levels of the second measurement of age (young/middle) and gender (male/female) (p &lt; 0.05). A significant difference was found in the first measurement of serum IgG levels and IgG avgs of those with medium diet quality and those who did not drink alcohol (p &lt; 0.05). When the IgG2/1 ratio was examined between alcohol users and nonalcohol, a significant increase was observed about two times in non-alcohol users (p = 0.039). There is a positive significant moderate strength relationship between the second measurements of IgG and anthropometric measurements and the first, second, and avg measurements of IgG with DQI. It was found that there was a negative significant medium-strength relationship between individuals' amount of alcohol consumption and IgG avg (r = −0.535, p = 0.009). Conclusions: Medium diet quality has been seen to affect antibody levels positively. At the same time, it is thought that alcohol use negatively affects serum IgG antibody response in the long term. Other than that, there was shown to be a correlation between IgG levels and DQI.","author":[{"dropping-particle":"","family":"Cesur","given":"Fatih","non-dropping-particle":"","parse-names":false,"suffix":""}],"container-title":"Journal of Evaluation in Clinical Practice","id":"ITEM-1","issued":{"date-parts":[["2024","9","23"]]},"publisher":"John Wiley &amp; Sons, Ltd","title":"Examination of diet quality and alcohol on serum IgG levels after first and second COVID-19 vaccines","type":"article-journal"},"uris":["http://www.mendeley.com/documents/?uuid=3d30b7a0-1c27-30f9-9eba-7521b7abaae4"]}],"mendeley":{"formattedCitation":"[7]","plainTextFormattedCitation":"[7]"},"properties":{"noteIndex":0},"schema":"https://github.com/citation-style-language/schema/raw/master/csl-citation.json"}</w:instrText>
      </w:r>
      <w:r w:rsidR="0051396A">
        <w:fldChar w:fldCharType="separate"/>
      </w:r>
      <w:r w:rsidR="0051396A" w:rsidRPr="0051396A">
        <w:rPr>
          <w:noProof/>
        </w:rPr>
        <w:t>[7]</w:t>
      </w:r>
      <w:r w:rsidR="0051396A">
        <w:fldChar w:fldCharType="end"/>
      </w:r>
      <w:r w:rsidR="0051396A">
        <w:t>.</w:t>
      </w:r>
    </w:p>
    <w:p w14:paraId="7D1EE0A7" w14:textId="77777777" w:rsidR="00A3541A" w:rsidRPr="005D7873" w:rsidRDefault="00A3541A" w:rsidP="00A3541A">
      <w:pPr>
        <w:pStyle w:val="Balk3"/>
        <w:rPr>
          <w:rFonts w:eastAsia="Calibri"/>
        </w:rPr>
      </w:pPr>
      <w:r w:rsidRPr="005D7873">
        <w:t xml:space="preserve">Ethical </w:t>
      </w:r>
      <w:r>
        <w:t>p</w:t>
      </w:r>
      <w:r w:rsidRPr="005D7873">
        <w:t>rinciples</w:t>
      </w:r>
    </w:p>
    <w:p w14:paraId="249D5364" w14:textId="77777777" w:rsidR="00A3541A" w:rsidRPr="005D7873" w:rsidRDefault="00A3541A" w:rsidP="00A3541A">
      <w:r w:rsidRPr="002300D1">
        <w:t>The authors declare that all experiments on human subjects were conducted in accordance with the Declaration of Helsinki,</w:t>
      </w:r>
      <w:r>
        <w:t xml:space="preserve"> </w:t>
      </w:r>
      <w:r w:rsidRPr="002300D1">
        <w:t>and that all procedures were carried out with the adequate understanding and written consent of the subjects.</w:t>
      </w:r>
      <w:r>
        <w:t xml:space="preserve"> </w:t>
      </w:r>
      <w:r w:rsidRPr="005D7873">
        <w:t xml:space="preserve">This study was approved by the </w:t>
      </w:r>
      <w:r>
        <w:t>“</w:t>
      </w:r>
      <w:r w:rsidRPr="00E636A0">
        <w:t>This area has been blinded</w:t>
      </w:r>
      <w:r>
        <w:t xml:space="preserve">” </w:t>
      </w:r>
      <w:r w:rsidRPr="00E636A0">
        <w:t>numbered</w:t>
      </w:r>
      <w:r w:rsidRPr="005D7873">
        <w:t xml:space="preserve"> Ethical Committee of</w:t>
      </w:r>
      <w:r>
        <w:t xml:space="preserve"> “</w:t>
      </w:r>
      <w:r w:rsidRPr="00E636A0">
        <w:t>This area has been blinded</w:t>
      </w:r>
      <w:r>
        <w:t>”</w:t>
      </w:r>
      <w:r w:rsidRPr="005D7873">
        <w:t>.</w:t>
      </w:r>
    </w:p>
    <w:p w14:paraId="4294EC62" w14:textId="77777777" w:rsidR="00A3541A" w:rsidRPr="005D7873" w:rsidRDefault="00A3541A" w:rsidP="00A3541A">
      <w:pPr>
        <w:pStyle w:val="Balk3"/>
      </w:pPr>
      <w:r w:rsidRPr="005D7873">
        <w:t xml:space="preserve">Statistical </w:t>
      </w:r>
      <w:r>
        <w:t>e</w:t>
      </w:r>
      <w:r w:rsidRPr="005D7873">
        <w:t>valuation</w:t>
      </w:r>
    </w:p>
    <w:p w14:paraId="663D4943" w14:textId="1160B2C0" w:rsidR="00A3541A" w:rsidRPr="005D7873" w:rsidRDefault="00A3541A" w:rsidP="00A3541A">
      <w:r w:rsidRPr="005D7873">
        <w:t xml:space="preserve">Statistical analyses were performed using the SPSS version 15. The Kolmogorov–Smirnov test was used to determine the parametric or nonparametric distribution of data. One-way analysis of variance was used in three or more comparisons of independent data showing the parametric cross-section, and Bonferroni, a Post hoc test, was used when a significant difference was found in the data. </w:t>
      </w:r>
      <w:r w:rsidR="001C15B3">
        <w:t>T</w:t>
      </w:r>
      <w:r w:rsidRPr="005D7873">
        <w:t>he Mann–Whitney U-test was used for</w:t>
      </w:r>
      <w:r w:rsidR="001C15B3">
        <w:t xml:space="preserve"> </w:t>
      </w:r>
      <w:r w:rsidR="001C15B3" w:rsidRPr="005D7873">
        <w:t>pairwise comparison of</w:t>
      </w:r>
      <w:r w:rsidRPr="005D7873">
        <w:t xml:space="preserve"> independent groups. Any p-value of &lt;0.05 was considered significant.</w:t>
      </w:r>
      <w:r w:rsidRPr="005D7873">
        <w:br w:type="page"/>
      </w:r>
    </w:p>
    <w:p w14:paraId="39E97BF1" w14:textId="7C56FC6F" w:rsidR="00D23610" w:rsidRDefault="00A907DF" w:rsidP="00A907DF">
      <w:pPr>
        <w:pStyle w:val="Balk3"/>
      </w:pPr>
      <w:r>
        <w:lastRenderedPageBreak/>
        <w:t>Reference</w:t>
      </w:r>
    </w:p>
    <w:p w14:paraId="07B46CC7" w14:textId="44D841E6" w:rsidR="0051396A" w:rsidRPr="0051396A" w:rsidRDefault="00A907DF" w:rsidP="0051396A">
      <w:pPr>
        <w:widowControl w:val="0"/>
        <w:autoSpaceDE w:val="0"/>
        <w:autoSpaceDN w:val="0"/>
        <w:adjustRightInd w:val="0"/>
        <w:ind w:left="640" w:hanging="640"/>
        <w:rPr>
          <w:rFonts w:cs="Times New Roman"/>
          <w:noProof/>
          <w:szCs w:val="24"/>
        </w:rPr>
      </w:pPr>
      <w:r>
        <w:fldChar w:fldCharType="begin" w:fldLock="1"/>
      </w:r>
      <w:r>
        <w:instrText xml:space="preserve">ADDIN Mendeley Bibliography CSL_BIBLIOGRAPHY </w:instrText>
      </w:r>
      <w:r>
        <w:fldChar w:fldCharType="separate"/>
      </w:r>
      <w:r w:rsidR="0051396A" w:rsidRPr="0051396A">
        <w:rPr>
          <w:rFonts w:cs="Times New Roman"/>
          <w:noProof/>
          <w:szCs w:val="24"/>
        </w:rPr>
        <w:t xml:space="preserve">1. </w:t>
      </w:r>
      <w:r w:rsidR="0051396A" w:rsidRPr="0051396A">
        <w:rPr>
          <w:rFonts w:cs="Times New Roman"/>
          <w:noProof/>
          <w:szCs w:val="24"/>
        </w:rPr>
        <w:tab/>
        <w:t>Wolever TMS, Jenkins DJA, Jenkins AL, Josse RG (1991) The glycemic index: Methodology and clinical implications. Am. J. Clin. Nutr. 54:846–854</w:t>
      </w:r>
    </w:p>
    <w:p w14:paraId="2FBDB721" w14:textId="77777777" w:rsidR="0051396A" w:rsidRPr="0051396A" w:rsidRDefault="0051396A" w:rsidP="0051396A">
      <w:pPr>
        <w:widowControl w:val="0"/>
        <w:autoSpaceDE w:val="0"/>
        <w:autoSpaceDN w:val="0"/>
        <w:adjustRightInd w:val="0"/>
        <w:ind w:left="640" w:hanging="640"/>
        <w:rPr>
          <w:rFonts w:cs="Times New Roman"/>
          <w:noProof/>
          <w:szCs w:val="24"/>
        </w:rPr>
      </w:pPr>
      <w:r w:rsidRPr="0051396A">
        <w:rPr>
          <w:rFonts w:cs="Times New Roman"/>
          <w:noProof/>
          <w:szCs w:val="24"/>
        </w:rPr>
        <w:t xml:space="preserve">2. </w:t>
      </w:r>
      <w:r w:rsidRPr="0051396A">
        <w:rPr>
          <w:rFonts w:cs="Times New Roman"/>
          <w:noProof/>
          <w:szCs w:val="24"/>
        </w:rPr>
        <w:tab/>
        <w:t>Cesur F, Seçkiner S, Kucukerdonmez O, et al (2023) Can Enzyme-Resistant Starch Snack Prevent Blood Glucose Fluctuations? A Pilot Trial in Patients with Insulin-Treated Type 2 Diabetes. Starch/Staerke 75:. https://doi.org/10.1002/star.202200279</w:t>
      </w:r>
    </w:p>
    <w:p w14:paraId="1C27469B" w14:textId="77777777" w:rsidR="0051396A" w:rsidRPr="0051396A" w:rsidRDefault="0051396A" w:rsidP="0051396A">
      <w:pPr>
        <w:widowControl w:val="0"/>
        <w:autoSpaceDE w:val="0"/>
        <w:autoSpaceDN w:val="0"/>
        <w:adjustRightInd w:val="0"/>
        <w:ind w:left="640" w:hanging="640"/>
        <w:rPr>
          <w:rFonts w:cs="Times New Roman"/>
          <w:noProof/>
          <w:szCs w:val="24"/>
        </w:rPr>
      </w:pPr>
      <w:r w:rsidRPr="0051396A">
        <w:rPr>
          <w:rFonts w:cs="Times New Roman"/>
          <w:noProof/>
          <w:szCs w:val="24"/>
        </w:rPr>
        <w:t xml:space="preserve">3. </w:t>
      </w:r>
      <w:r w:rsidRPr="0051396A">
        <w:rPr>
          <w:rFonts w:cs="Times New Roman"/>
          <w:noProof/>
          <w:szCs w:val="24"/>
        </w:rPr>
        <w:tab/>
        <w:t>World Health Organization (2004) Body mass index. Kans. Nurse 79:9</w:t>
      </w:r>
    </w:p>
    <w:p w14:paraId="29CC6514" w14:textId="77777777" w:rsidR="0051396A" w:rsidRPr="0051396A" w:rsidRDefault="0051396A" w:rsidP="0051396A">
      <w:pPr>
        <w:widowControl w:val="0"/>
        <w:autoSpaceDE w:val="0"/>
        <w:autoSpaceDN w:val="0"/>
        <w:adjustRightInd w:val="0"/>
        <w:ind w:left="640" w:hanging="640"/>
        <w:rPr>
          <w:rFonts w:cs="Times New Roman"/>
          <w:noProof/>
          <w:szCs w:val="24"/>
        </w:rPr>
      </w:pPr>
      <w:r w:rsidRPr="0051396A">
        <w:rPr>
          <w:rFonts w:cs="Times New Roman"/>
          <w:noProof/>
          <w:szCs w:val="24"/>
        </w:rPr>
        <w:t xml:space="preserve">4. </w:t>
      </w:r>
      <w:r w:rsidRPr="0051396A">
        <w:rPr>
          <w:rFonts w:cs="Times New Roman"/>
          <w:noProof/>
          <w:szCs w:val="24"/>
        </w:rPr>
        <w:tab/>
        <w:t>Östman E, Rossi E, Larsson H, et al (2006) Glucose and insulin responses in healthy men to barley bread with different levels of (1→3;1→4)-β-glucans; predictions using fluidity measurements of in vitro enzyme digests. J Cereal Sci 43:230–235. https://doi.org/10.1016/j.jcs.2005.11.001</w:t>
      </w:r>
    </w:p>
    <w:p w14:paraId="214E6FA8" w14:textId="77777777" w:rsidR="0051396A" w:rsidRPr="0051396A" w:rsidRDefault="0051396A" w:rsidP="0051396A">
      <w:pPr>
        <w:widowControl w:val="0"/>
        <w:autoSpaceDE w:val="0"/>
        <w:autoSpaceDN w:val="0"/>
        <w:adjustRightInd w:val="0"/>
        <w:ind w:left="640" w:hanging="640"/>
        <w:rPr>
          <w:rFonts w:cs="Times New Roman"/>
          <w:noProof/>
          <w:szCs w:val="24"/>
        </w:rPr>
      </w:pPr>
      <w:r w:rsidRPr="0051396A">
        <w:rPr>
          <w:rFonts w:cs="Times New Roman"/>
          <w:noProof/>
          <w:szCs w:val="24"/>
        </w:rPr>
        <w:t xml:space="preserve">5. </w:t>
      </w:r>
      <w:r w:rsidRPr="0051396A">
        <w:rPr>
          <w:rFonts w:cs="Times New Roman"/>
          <w:noProof/>
          <w:szCs w:val="24"/>
        </w:rPr>
        <w:tab/>
        <w:t>Maciej Serda, Becker FG, Cleary M, et al (2015) Farklı Pişirme Yöntemlerinin Patateslerin Glisemik İndeks Değeri Üzerine Etkisi. Uniw śląski 7:343–354. https://doi.org/10.2/JQUERY.MIN.JS</w:t>
      </w:r>
    </w:p>
    <w:p w14:paraId="591E4D22" w14:textId="77777777" w:rsidR="0051396A" w:rsidRPr="0051396A" w:rsidRDefault="0051396A" w:rsidP="0051396A">
      <w:pPr>
        <w:widowControl w:val="0"/>
        <w:autoSpaceDE w:val="0"/>
        <w:autoSpaceDN w:val="0"/>
        <w:adjustRightInd w:val="0"/>
        <w:ind w:left="640" w:hanging="640"/>
        <w:rPr>
          <w:rFonts w:cs="Times New Roman"/>
          <w:noProof/>
          <w:szCs w:val="24"/>
        </w:rPr>
      </w:pPr>
      <w:r w:rsidRPr="0051396A">
        <w:rPr>
          <w:rFonts w:cs="Times New Roman"/>
          <w:noProof/>
          <w:szCs w:val="24"/>
        </w:rPr>
        <w:t xml:space="preserve">6. </w:t>
      </w:r>
      <w:r w:rsidRPr="0051396A">
        <w:rPr>
          <w:rFonts w:cs="Times New Roman"/>
          <w:noProof/>
          <w:szCs w:val="24"/>
        </w:rPr>
        <w:tab/>
        <w:t>Tosh SM (2013) Review of human studies investigating the post-prandial blood-glucose lowering ability of oat and barley food products. Eur. J. Clin. Nutr. 67:310–317</w:t>
      </w:r>
    </w:p>
    <w:p w14:paraId="7A81E7AA" w14:textId="77777777" w:rsidR="0051396A" w:rsidRPr="0051396A" w:rsidRDefault="0051396A" w:rsidP="0051396A">
      <w:pPr>
        <w:widowControl w:val="0"/>
        <w:autoSpaceDE w:val="0"/>
        <w:autoSpaceDN w:val="0"/>
        <w:adjustRightInd w:val="0"/>
        <w:ind w:left="640" w:hanging="640"/>
        <w:rPr>
          <w:rFonts w:cs="Times New Roman"/>
          <w:noProof/>
        </w:rPr>
      </w:pPr>
      <w:r w:rsidRPr="0051396A">
        <w:rPr>
          <w:rFonts w:cs="Times New Roman"/>
          <w:noProof/>
          <w:szCs w:val="24"/>
        </w:rPr>
        <w:t xml:space="preserve">7. </w:t>
      </w:r>
      <w:r w:rsidRPr="0051396A">
        <w:rPr>
          <w:rFonts w:cs="Times New Roman"/>
          <w:noProof/>
          <w:szCs w:val="24"/>
        </w:rPr>
        <w:tab/>
        <w:t>Cesur F (2024) Examination of diet quality and alcohol on serum IgG levels after first and second COVID-19 vaccines. J Eval Clin Pract. https://doi.org/10.1111/JEP.14146</w:t>
      </w:r>
    </w:p>
    <w:p w14:paraId="04E743A0" w14:textId="69024CC5" w:rsidR="00A907DF" w:rsidRPr="00A907DF" w:rsidRDefault="00A907DF" w:rsidP="00A907DF">
      <w:r>
        <w:fldChar w:fldCharType="end"/>
      </w:r>
    </w:p>
    <w:sectPr w:rsidR="00A907DF" w:rsidRPr="00A907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45F02"/>
    <w:rsid w:val="0008541A"/>
    <w:rsid w:val="000D7C04"/>
    <w:rsid w:val="001C15B3"/>
    <w:rsid w:val="00334AD0"/>
    <w:rsid w:val="003E63B5"/>
    <w:rsid w:val="00445F02"/>
    <w:rsid w:val="004750C3"/>
    <w:rsid w:val="004C3E2E"/>
    <w:rsid w:val="004E40FB"/>
    <w:rsid w:val="004F5A2C"/>
    <w:rsid w:val="0051396A"/>
    <w:rsid w:val="0057327D"/>
    <w:rsid w:val="007B4779"/>
    <w:rsid w:val="007F2371"/>
    <w:rsid w:val="009D094E"/>
    <w:rsid w:val="00A3541A"/>
    <w:rsid w:val="00A907DF"/>
    <w:rsid w:val="00AA70A9"/>
    <w:rsid w:val="00BB381B"/>
    <w:rsid w:val="00CA17C3"/>
    <w:rsid w:val="00CA4053"/>
    <w:rsid w:val="00D23610"/>
    <w:rsid w:val="00D7619D"/>
    <w:rsid w:val="00E05B5B"/>
    <w:rsid w:val="00E569AB"/>
    <w:rsid w:val="00E84599"/>
    <w:rsid w:val="00F50DA6"/>
    <w:rsid w:val="00F93500"/>
    <w:rsid w:val="00FC77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08768"/>
  <w15:chartTrackingRefBased/>
  <w15:docId w15:val="{AFC0ECE0-CCCD-4773-B40C-B095FBFC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41A"/>
    <w:pPr>
      <w:spacing w:line="480" w:lineRule="auto"/>
      <w:jc w:val="both"/>
    </w:pPr>
    <w:rPr>
      <w:rFonts w:ascii="Times New Roman" w:hAnsi="Times New Roman"/>
      <w:kern w:val="0"/>
      <w:sz w:val="24"/>
      <w:lang w:val="en-US"/>
    </w:rPr>
  </w:style>
  <w:style w:type="paragraph" w:styleId="Balk1">
    <w:name w:val="heading 1"/>
    <w:basedOn w:val="Normal"/>
    <w:next w:val="Normal"/>
    <w:link w:val="Balk1Char"/>
    <w:uiPriority w:val="9"/>
    <w:qFormat/>
    <w:rsid w:val="00A3541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autoRedefine/>
    <w:uiPriority w:val="9"/>
    <w:unhideWhenUsed/>
    <w:qFormat/>
    <w:rsid w:val="00A3541A"/>
    <w:pPr>
      <w:keepNext/>
      <w:keepLines/>
      <w:spacing w:before="120" w:after="0"/>
      <w:outlineLvl w:val="2"/>
    </w:pPr>
    <w:rPr>
      <w:rFonts w:eastAsiaTheme="majorEastAsia" w:cstheme="majorBidi"/>
      <w:b/>
      <w:color w:val="000000" w:themeColor="text1"/>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A3541A"/>
    <w:rPr>
      <w:rFonts w:ascii="Times New Roman" w:eastAsiaTheme="majorEastAsia" w:hAnsi="Times New Roman" w:cstheme="majorBidi"/>
      <w:b/>
      <w:color w:val="000000" w:themeColor="text1"/>
      <w:kern w:val="0"/>
      <w:sz w:val="24"/>
      <w:szCs w:val="24"/>
      <w:lang w:val="en-US"/>
    </w:rPr>
  </w:style>
  <w:style w:type="character" w:customStyle="1" w:styleId="Balk1Char">
    <w:name w:val="Başlık 1 Char"/>
    <w:basedOn w:val="VarsaylanParagrafYazTipi"/>
    <w:link w:val="Balk1"/>
    <w:uiPriority w:val="9"/>
    <w:rsid w:val="00A3541A"/>
    <w:rPr>
      <w:rFonts w:asciiTheme="majorHAnsi" w:eastAsiaTheme="majorEastAsia" w:hAnsiTheme="majorHAnsi" w:cstheme="majorBidi"/>
      <w:color w:val="2F5496" w:themeColor="accent1" w:themeShade="BF"/>
      <w:kern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81F66-199E-4DED-9D44-D4BE0A539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4807</Words>
  <Characters>27403</Characters>
  <Application>Microsoft Office Word</Application>
  <DocSecurity>0</DocSecurity>
  <Lines>228</Lines>
  <Paragraphs>64</Paragraphs>
  <ScaleCrop>false</ScaleCrop>
  <Company/>
  <LinksUpToDate>false</LinksUpToDate>
  <CharactersWithSpaces>32146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cebebis destek</dc:creator>
  <cp:keywords/>
  <dc:description/>
  <cp:lastModifiedBy>cebebis destek</cp:lastModifiedBy>
  <cp:revision>11</cp:revision>
  <dcterms:created xsi:type="dcterms:W3CDTF">2024-10-27T20:35:00Z</dcterms:created>
  <dcterms:modified xsi:type="dcterms:W3CDTF">2024-10-28T17:27:00Z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http://www.zotero.org/styles/food-bioscience</vt:lpwstr>
  </property>
  <property fmtid="{D5CDD505-2E9C-101B-9397-08002B2CF9AE}" pid="3" name="Mendeley Recent Style Name 0_1">
    <vt:lpwstr>Food Bioscience</vt:lpwstr>
  </property>
  <property fmtid="{D5CDD505-2E9C-101B-9397-08002B2CF9AE}" pid="4" name="Mendeley Recent Style Id 1_1">
    <vt:lpwstr>http://www.zotero.org/styles/harvard1</vt:lpwstr>
  </property>
  <property fmtid="{D5CDD505-2E9C-101B-9397-08002B2CF9AE}" pid="5" name="Mendeley Recent Style Name 1_1">
    <vt:lpwstr>Harvard reference format 1 (deprecated)</vt:lpwstr>
  </property>
  <property fmtid="{D5CDD505-2E9C-101B-9397-08002B2CF9AE}" pid="6" name="Mendeley Recent Style Id 2_1">
    <vt:lpwstr>http://www.zotero.org/styles/infection</vt:lpwstr>
  </property>
  <property fmtid="{D5CDD505-2E9C-101B-9397-08002B2CF9AE}" pid="7" name="Mendeley Recent Style Name 2_1">
    <vt:lpwstr>Infection</vt:lpwstr>
  </property>
  <property fmtid="{D5CDD505-2E9C-101B-9397-08002B2CF9AE}" pid="8" name="Mendeley Recent Style Id 3_1">
    <vt:lpwstr>http://www.zotero.org/styles/journal-of-cereal-science</vt:lpwstr>
  </property>
  <property fmtid="{D5CDD505-2E9C-101B-9397-08002B2CF9AE}" pid="9" name="Mendeley Recent Style Name 3_1">
    <vt:lpwstr>Journal of Cereal Science</vt:lpwstr>
  </property>
  <property fmtid="{D5CDD505-2E9C-101B-9397-08002B2CF9AE}" pid="10" name="Mendeley Recent Style Id 4_1">
    <vt:lpwstr>http://www.zotero.org/styles/journal-of-nutrition</vt:lpwstr>
  </property>
  <property fmtid="{D5CDD505-2E9C-101B-9397-08002B2CF9AE}" pid="11" name="Mendeley Recent Style Name 4_1">
    <vt:lpwstr>Journal of Nutrition</vt:lpwstr>
  </property>
  <property fmtid="{D5CDD505-2E9C-101B-9397-08002B2CF9AE}" pid="12" name="Mendeley Recent Style Id 5_1">
    <vt:lpwstr>http://www.zotero.org/styles/molecular-nutrition-and-food-research</vt:lpwstr>
  </property>
  <property fmtid="{D5CDD505-2E9C-101B-9397-08002B2CF9AE}" pid="13" name="Mendeley Recent Style Name 5_1">
    <vt:lpwstr>Molecular Nutrition &amp; Food Research</vt:lpwstr>
  </property>
  <property fmtid="{D5CDD505-2E9C-101B-9397-08002B2CF9AE}" pid="14" name="Mendeley Recent Style Id 6_1">
    <vt:lpwstr>http://www.zotero.org/styles/nutrition-metabolism-and-cardiovascular-diseases</vt:lpwstr>
  </property>
  <property fmtid="{D5CDD505-2E9C-101B-9397-08002B2CF9AE}" pid="15" name="Mendeley Recent Style Name 6_1">
    <vt:lpwstr>Nutrition, Metabolism and Cardiovascular Diseases</vt:lpwstr>
  </property>
  <property fmtid="{D5CDD505-2E9C-101B-9397-08002B2CF9AE}" pid="16" name="Mendeley Recent Style Id 7_1">
    <vt:lpwstr>http://www.zotero.org/styles/plant-foods-for-human-nutrition</vt:lpwstr>
  </property>
  <property fmtid="{D5CDD505-2E9C-101B-9397-08002B2CF9AE}" pid="17" name="Mendeley Recent Style Name 7_1">
    <vt:lpwstr>Plant Foods for Human Nutrition</vt:lpwstr>
  </property>
  <property fmtid="{D5CDD505-2E9C-101B-9397-08002B2CF9AE}" pid="18" name="Mendeley Recent Style Id 8_1">
    <vt:lpwstr>http://www.zotero.org/styles/sage-vancouver</vt:lpwstr>
  </property>
  <property fmtid="{D5CDD505-2E9C-101B-9397-08002B2CF9AE}" pid="19" name="Mendeley Recent Style Name 8_1">
    <vt:lpwstr>SAGE - Vancouver</vt:lpwstr>
  </property>
  <property fmtid="{D5CDD505-2E9C-101B-9397-08002B2CF9AE}" pid="20" name="Mendeley Recent Style Id 9_1">
    <vt:lpwstr>http://www.zotero.org/styles/vancouver-brackets</vt:lpwstr>
  </property>
  <property fmtid="{D5CDD505-2E9C-101B-9397-08002B2CF9AE}" pid="21" name="Mendeley Recent Style Name 9_1">
    <vt:lpwstr>Vancouver (brackets)</vt:lpwstr>
  </property>
  <property fmtid="{D5CDD505-2E9C-101B-9397-08002B2CF9AE}" pid="22" name="Mendeley Document_1">
    <vt:lpwstr>True</vt:lpwstr>
  </property>
  <property fmtid="{D5CDD505-2E9C-101B-9397-08002B2CF9AE}" pid="23" name="Mendeley Unique User Id_1">
    <vt:lpwstr>fb4006ae-7131-35e8-ab32-05cfdabc6be3</vt:lpwstr>
  </property>
  <property fmtid="{D5CDD505-2E9C-101B-9397-08002B2CF9AE}" pid="24" name="Mendeley Citation Style_1">
    <vt:lpwstr>http://www.zotero.org/styles/plant-foods-for-human-nutrition</vt:lpwstr>
  </property>
</Properties>
</file>