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C745F" w14:textId="536E891F" w:rsidR="00F93500" w:rsidRDefault="00F93500" w:rsidP="00F93500">
      <w:pPr>
        <w:rPr>
          <w:rFonts w:eastAsia="Times New Roman" w:cs="Times New Roman"/>
          <w:b/>
          <w:szCs w:val="24"/>
        </w:rPr>
      </w:pPr>
      <w:r w:rsidRPr="00A40579">
        <w:rPr>
          <w:rFonts w:eastAsia="Times New Roman" w:cs="Times New Roman"/>
          <w:b/>
          <w:szCs w:val="24"/>
        </w:rPr>
        <w:t xml:space="preserve">Can there be differences in blood glucose fluctuations with consumption of </w:t>
      </w:r>
      <w:r w:rsidR="008B7AE0" w:rsidRPr="008B7AE0">
        <w:rPr>
          <w:rFonts w:eastAsia="Times New Roman" w:cs="Times New Roman"/>
          <w:b/>
          <w:color w:val="FF0000"/>
          <w:szCs w:val="24"/>
        </w:rPr>
        <w:t>corn</w:t>
      </w:r>
      <w:r w:rsidRPr="008B7AE0">
        <w:rPr>
          <w:rFonts w:eastAsia="Times New Roman" w:cs="Times New Roman"/>
          <w:b/>
          <w:color w:val="FF0000"/>
          <w:szCs w:val="24"/>
        </w:rPr>
        <w:t>bread</w:t>
      </w:r>
      <w:r w:rsidRPr="00A40579">
        <w:rPr>
          <w:rFonts w:eastAsia="Times New Roman" w:cs="Times New Roman"/>
          <w:b/>
          <w:szCs w:val="24"/>
        </w:rPr>
        <w:t xml:space="preserve"> in obesity and normal-weight individuals: </w:t>
      </w:r>
      <w:r>
        <w:rPr>
          <w:rFonts w:eastAsia="Times New Roman" w:cs="Times New Roman"/>
          <w:b/>
          <w:szCs w:val="24"/>
        </w:rPr>
        <w:t>A</w:t>
      </w:r>
      <w:r w:rsidRPr="00A40579">
        <w:rPr>
          <w:rFonts w:eastAsia="Times New Roman" w:cs="Times New Roman"/>
          <w:b/>
          <w:szCs w:val="24"/>
        </w:rPr>
        <w:t xml:space="preserve"> </w:t>
      </w:r>
      <w:r>
        <w:rPr>
          <w:rFonts w:eastAsia="Times New Roman" w:cs="Times New Roman"/>
          <w:b/>
          <w:szCs w:val="24"/>
        </w:rPr>
        <w:t>R</w:t>
      </w:r>
      <w:r w:rsidRPr="00A40579">
        <w:rPr>
          <w:rFonts w:eastAsia="Times New Roman" w:cs="Times New Roman"/>
          <w:b/>
          <w:szCs w:val="24"/>
        </w:rPr>
        <w:t xml:space="preserve">andomized </w:t>
      </w:r>
      <w:r>
        <w:rPr>
          <w:rFonts w:eastAsia="Times New Roman" w:cs="Times New Roman"/>
          <w:b/>
          <w:szCs w:val="24"/>
        </w:rPr>
        <w:t>C</w:t>
      </w:r>
      <w:r w:rsidRPr="00A40579">
        <w:rPr>
          <w:rFonts w:eastAsia="Times New Roman" w:cs="Times New Roman"/>
          <w:b/>
          <w:szCs w:val="24"/>
        </w:rPr>
        <w:t xml:space="preserve">ontrolled </w:t>
      </w:r>
      <w:r>
        <w:rPr>
          <w:rFonts w:eastAsia="Times New Roman" w:cs="Times New Roman"/>
          <w:b/>
          <w:szCs w:val="24"/>
        </w:rPr>
        <w:t>T</w:t>
      </w:r>
      <w:r w:rsidRPr="00A40579">
        <w:rPr>
          <w:rFonts w:eastAsia="Times New Roman" w:cs="Times New Roman"/>
          <w:b/>
          <w:szCs w:val="24"/>
        </w:rPr>
        <w:t>rial</w:t>
      </w:r>
    </w:p>
    <w:p w14:paraId="48B935DB" w14:textId="77777777" w:rsidR="00F93500" w:rsidRPr="005D7873" w:rsidRDefault="00F93500" w:rsidP="00F93500">
      <w:pPr>
        <w:spacing w:after="0"/>
        <w:rPr>
          <w:rFonts w:eastAsia="Times New Roman" w:cs="Times New Roman"/>
          <w:szCs w:val="24"/>
          <w:vertAlign w:val="superscript"/>
        </w:rPr>
      </w:pPr>
      <w:r w:rsidRPr="005D7873">
        <w:rPr>
          <w:rFonts w:eastAsia="Times New Roman" w:cs="Times New Roman"/>
          <w:szCs w:val="24"/>
        </w:rPr>
        <w:t>Fatih Cesur</w:t>
      </w:r>
      <w:r>
        <w:rPr>
          <w:rFonts w:eastAsia="Times New Roman" w:cs="Times New Roman"/>
          <w:szCs w:val="24"/>
          <w:vertAlign w:val="superscript"/>
        </w:rPr>
        <w:t>1*</w:t>
      </w:r>
      <w:r w:rsidRPr="005D7873">
        <w:rPr>
          <w:rFonts w:eastAsia="Times New Roman" w:cs="Times New Roman"/>
          <w:szCs w:val="24"/>
        </w:rPr>
        <w:t xml:space="preserve">, Hatice </w:t>
      </w:r>
      <w:proofErr w:type="spellStart"/>
      <w:r w:rsidRPr="005D7873">
        <w:rPr>
          <w:rFonts w:eastAsia="Times New Roman" w:cs="Times New Roman"/>
          <w:szCs w:val="24"/>
        </w:rPr>
        <w:t>Nurseda</w:t>
      </w:r>
      <w:proofErr w:type="spellEnd"/>
      <w:r w:rsidRPr="005D7873">
        <w:rPr>
          <w:rFonts w:eastAsia="Times New Roman" w:cs="Times New Roman"/>
          <w:szCs w:val="24"/>
        </w:rPr>
        <w:t xml:space="preserve"> Hatunoglu</w:t>
      </w:r>
      <w:r>
        <w:rPr>
          <w:rFonts w:eastAsia="Times New Roman" w:cs="Times New Roman"/>
          <w:szCs w:val="24"/>
          <w:vertAlign w:val="superscript"/>
        </w:rPr>
        <w:t>2</w:t>
      </w:r>
      <w:r w:rsidRPr="005D7873">
        <w:rPr>
          <w:rFonts w:eastAsia="Times New Roman" w:cs="Times New Roman"/>
          <w:szCs w:val="24"/>
        </w:rPr>
        <w:t xml:space="preserve">, </w:t>
      </w:r>
      <w:proofErr w:type="spellStart"/>
      <w:r w:rsidRPr="005D7873">
        <w:rPr>
          <w:rFonts w:eastAsia="Times New Roman" w:cs="Times New Roman"/>
          <w:szCs w:val="24"/>
        </w:rPr>
        <w:t>Gulsah</w:t>
      </w:r>
      <w:proofErr w:type="spellEnd"/>
      <w:r w:rsidRPr="005D7873">
        <w:rPr>
          <w:rFonts w:eastAsia="Times New Roman" w:cs="Times New Roman"/>
          <w:szCs w:val="24"/>
        </w:rPr>
        <w:t xml:space="preserve"> Saglam</w:t>
      </w:r>
      <w:r>
        <w:rPr>
          <w:rFonts w:eastAsia="Times New Roman" w:cs="Times New Roman"/>
          <w:szCs w:val="24"/>
          <w:vertAlign w:val="superscript"/>
        </w:rPr>
        <w:t>3</w:t>
      </w:r>
    </w:p>
    <w:p w14:paraId="21FCFE1A" w14:textId="77777777" w:rsidR="00F93500" w:rsidRPr="005D7873" w:rsidRDefault="00F93500" w:rsidP="00F93500">
      <w:pPr>
        <w:spacing w:after="0"/>
        <w:rPr>
          <w:rFonts w:eastAsia="Times New Roman" w:cs="Times New Roman"/>
          <w:szCs w:val="24"/>
        </w:rPr>
      </w:pPr>
      <w:r w:rsidRPr="005D7873">
        <w:rPr>
          <w:rFonts w:eastAsia="Times New Roman" w:cs="Times New Roman"/>
          <w:b/>
          <w:szCs w:val="24"/>
        </w:rPr>
        <w:t>Short heading:</w:t>
      </w:r>
      <w:r w:rsidRPr="005D7873">
        <w:rPr>
          <w:rFonts w:eastAsia="Times New Roman" w:cs="Times New Roman"/>
          <w:szCs w:val="24"/>
        </w:rPr>
        <w:t xml:space="preserve"> </w:t>
      </w:r>
      <w:r w:rsidRPr="005D7873">
        <w:rPr>
          <w:rFonts w:eastAsia="Times New Roman" w:cs="Times New Roman"/>
          <w:bCs/>
          <w:szCs w:val="24"/>
        </w:rPr>
        <w:t xml:space="preserve">Effect of bread types on blood glucose </w:t>
      </w:r>
    </w:p>
    <w:p w14:paraId="6094AE08" w14:textId="77777777" w:rsidR="00F93500" w:rsidRPr="005D7873" w:rsidRDefault="00F93500" w:rsidP="00F93500">
      <w:pPr>
        <w:spacing w:after="0"/>
        <w:rPr>
          <w:rFonts w:eastAsia="Times New Roman" w:cs="Times New Roman"/>
          <w:szCs w:val="24"/>
        </w:rPr>
      </w:pPr>
      <w:r w:rsidRPr="005D7873">
        <w:rPr>
          <w:rFonts w:eastAsia="Times New Roman" w:cs="Times New Roman"/>
          <w:b/>
          <w:szCs w:val="24"/>
        </w:rPr>
        <w:t>Corresponding author’s name and contact information:</w:t>
      </w:r>
      <w:r w:rsidRPr="005D7873">
        <w:rPr>
          <w:rFonts w:eastAsia="Times New Roman" w:cs="Times New Roman"/>
          <w:szCs w:val="24"/>
        </w:rPr>
        <w:t xml:space="preserve"> </w:t>
      </w:r>
    </w:p>
    <w:p w14:paraId="42E563F1" w14:textId="4553C72C" w:rsidR="00F93500" w:rsidRPr="005D7873" w:rsidRDefault="00F93500" w:rsidP="00F93500">
      <w:pPr>
        <w:spacing w:after="0"/>
        <w:rPr>
          <w:rFonts w:eastAsia="Times New Roman" w:cs="Times New Roman"/>
          <w:szCs w:val="24"/>
        </w:rPr>
      </w:pPr>
      <w:r>
        <w:rPr>
          <w:rFonts w:eastAsia="Times New Roman" w:cs="Times New Roman"/>
          <w:b/>
          <w:szCs w:val="24"/>
          <w:vertAlign w:val="superscript"/>
        </w:rPr>
        <w:t>1*</w:t>
      </w:r>
      <w:r w:rsidRPr="005D7873">
        <w:rPr>
          <w:rFonts w:eastAsia="Times New Roman" w:cs="Times New Roman"/>
          <w:szCs w:val="24"/>
        </w:rPr>
        <w:t xml:space="preserve">Fatih Cesur; Ph.D., Assistant Professor, fatihcesr@gmail.com, +90 553 751 2737, </w:t>
      </w:r>
      <w:proofErr w:type="spellStart"/>
      <w:r w:rsidRPr="005D7873">
        <w:rPr>
          <w:rFonts w:eastAsia="Times New Roman" w:cs="Times New Roman"/>
          <w:szCs w:val="24"/>
        </w:rPr>
        <w:t>Orcid</w:t>
      </w:r>
      <w:proofErr w:type="spellEnd"/>
      <w:r w:rsidRPr="005D7873">
        <w:rPr>
          <w:rFonts w:eastAsia="Times New Roman" w:cs="Times New Roman"/>
          <w:szCs w:val="24"/>
        </w:rPr>
        <w:t xml:space="preserve">: 0000-0003-2062-098X, </w:t>
      </w:r>
      <w:r w:rsidR="00CC60A1" w:rsidRPr="005D7873">
        <w:rPr>
          <w:rFonts w:eastAsia="Times New Roman" w:cs="Times New Roman"/>
          <w:szCs w:val="24"/>
        </w:rPr>
        <w:t xml:space="preserve">Department of Nutrition, </w:t>
      </w:r>
      <w:r w:rsidR="00CC60A1">
        <w:rPr>
          <w:rFonts w:eastAsia="Times New Roman" w:cs="Times New Roman"/>
          <w:szCs w:val="24"/>
        </w:rPr>
        <w:t>Institute</w:t>
      </w:r>
      <w:r w:rsidR="00CC60A1" w:rsidRPr="005D7873">
        <w:rPr>
          <w:rFonts w:eastAsia="Times New Roman" w:cs="Times New Roman"/>
          <w:szCs w:val="24"/>
        </w:rPr>
        <w:t xml:space="preserve"> of Health Science, </w:t>
      </w:r>
      <w:r w:rsidR="00CC60A1">
        <w:rPr>
          <w:rFonts w:eastAsia="Times New Roman" w:cs="Times New Roman"/>
          <w:szCs w:val="24"/>
        </w:rPr>
        <w:t xml:space="preserve">Ege </w:t>
      </w:r>
      <w:r w:rsidR="00CC60A1" w:rsidRPr="005D7873">
        <w:rPr>
          <w:rFonts w:eastAsia="Times New Roman" w:cs="Times New Roman"/>
          <w:szCs w:val="24"/>
        </w:rPr>
        <w:t xml:space="preserve">University, </w:t>
      </w:r>
      <w:r w:rsidR="00CC60A1">
        <w:rPr>
          <w:rFonts w:eastAsia="Times New Roman" w:cs="Times New Roman"/>
          <w:szCs w:val="24"/>
        </w:rPr>
        <w:t>İzmir</w:t>
      </w:r>
      <w:r w:rsidR="00CC60A1" w:rsidRPr="005D7873">
        <w:rPr>
          <w:rFonts w:eastAsia="Times New Roman" w:cs="Times New Roman"/>
          <w:szCs w:val="24"/>
        </w:rPr>
        <w:t>, Turkey</w:t>
      </w:r>
    </w:p>
    <w:p w14:paraId="7CE9ADB2" w14:textId="77777777" w:rsidR="00F93500" w:rsidRPr="005D7873" w:rsidRDefault="00F93500" w:rsidP="00F93500">
      <w:pPr>
        <w:spacing w:after="0"/>
        <w:rPr>
          <w:rFonts w:eastAsia="Times New Roman" w:cs="Times New Roman"/>
          <w:szCs w:val="24"/>
        </w:rPr>
      </w:pPr>
      <w:r>
        <w:rPr>
          <w:rFonts w:eastAsia="Times New Roman" w:cs="Times New Roman"/>
          <w:b/>
          <w:szCs w:val="24"/>
          <w:vertAlign w:val="superscript"/>
        </w:rPr>
        <w:t>2</w:t>
      </w:r>
      <w:r w:rsidRPr="005D7873">
        <w:rPr>
          <w:rFonts w:eastAsia="Times New Roman" w:cs="Times New Roman"/>
          <w:szCs w:val="24"/>
        </w:rPr>
        <w:t xml:space="preserve">Hatice </w:t>
      </w:r>
      <w:proofErr w:type="spellStart"/>
      <w:r w:rsidRPr="005D7873">
        <w:rPr>
          <w:rFonts w:eastAsia="Times New Roman" w:cs="Times New Roman"/>
          <w:szCs w:val="24"/>
        </w:rPr>
        <w:t>Nurseda</w:t>
      </w:r>
      <w:proofErr w:type="spellEnd"/>
      <w:r w:rsidRPr="005D7873">
        <w:rPr>
          <w:rFonts w:eastAsia="Times New Roman" w:cs="Times New Roman"/>
          <w:szCs w:val="24"/>
        </w:rPr>
        <w:t xml:space="preserve"> </w:t>
      </w:r>
      <w:proofErr w:type="spellStart"/>
      <w:r w:rsidRPr="005D7873">
        <w:rPr>
          <w:rFonts w:eastAsia="Times New Roman" w:cs="Times New Roman"/>
          <w:szCs w:val="24"/>
        </w:rPr>
        <w:t>Hatunoglu</w:t>
      </w:r>
      <w:proofErr w:type="spellEnd"/>
      <w:r w:rsidRPr="005D7873">
        <w:rPr>
          <w:rFonts w:eastAsia="Times New Roman" w:cs="Times New Roman"/>
          <w:szCs w:val="24"/>
        </w:rPr>
        <w:t xml:space="preserve">; Ph.D. Student, Lecturer, nursedahatunoglu1@gmail.com, +90 545 728 24 50, </w:t>
      </w:r>
      <w:proofErr w:type="spellStart"/>
      <w:r w:rsidRPr="005D7873">
        <w:rPr>
          <w:rFonts w:eastAsia="Times New Roman" w:cs="Times New Roman"/>
          <w:szCs w:val="24"/>
        </w:rPr>
        <w:t>Orcid</w:t>
      </w:r>
      <w:proofErr w:type="spellEnd"/>
      <w:r w:rsidRPr="005D7873">
        <w:rPr>
          <w:rFonts w:eastAsia="Times New Roman" w:cs="Times New Roman"/>
          <w:szCs w:val="24"/>
        </w:rPr>
        <w:t xml:space="preserve">: 0000-0003-1506-5766, Department of Nutrition and Dietetics, Faculty of Health Science, </w:t>
      </w:r>
      <w:proofErr w:type="spellStart"/>
      <w:r w:rsidRPr="005D7873">
        <w:rPr>
          <w:rFonts w:eastAsia="Times New Roman" w:cs="Times New Roman"/>
          <w:szCs w:val="24"/>
        </w:rPr>
        <w:t>Uskudar</w:t>
      </w:r>
      <w:proofErr w:type="spellEnd"/>
      <w:r w:rsidRPr="005D7873">
        <w:rPr>
          <w:rFonts w:eastAsia="Times New Roman" w:cs="Times New Roman"/>
          <w:szCs w:val="24"/>
        </w:rPr>
        <w:t xml:space="preserve"> University, İstanbul, Turkey</w:t>
      </w:r>
    </w:p>
    <w:p w14:paraId="0796644C" w14:textId="40DA4DDF" w:rsidR="00F93500" w:rsidRPr="005D7873" w:rsidRDefault="00F93500" w:rsidP="00F93500">
      <w:pPr>
        <w:spacing w:after="0"/>
        <w:rPr>
          <w:rFonts w:eastAsia="Times New Roman" w:cs="Times New Roman"/>
          <w:szCs w:val="24"/>
        </w:rPr>
      </w:pPr>
      <w:r>
        <w:rPr>
          <w:rFonts w:eastAsia="Times New Roman" w:cs="Times New Roman"/>
          <w:b/>
          <w:szCs w:val="24"/>
          <w:vertAlign w:val="superscript"/>
        </w:rPr>
        <w:t>3</w:t>
      </w:r>
      <w:r w:rsidRPr="005D7873">
        <w:rPr>
          <w:rFonts w:eastAsia="Times New Roman" w:cs="Times New Roman"/>
          <w:szCs w:val="24"/>
        </w:rPr>
        <w:t xml:space="preserve">Gulsah Saglam; Master Student, Research Assistant, diyetisyen.gulsahsaglam@gmail.com, +90 532 545 08 65, </w:t>
      </w:r>
      <w:proofErr w:type="spellStart"/>
      <w:r w:rsidRPr="005D7873">
        <w:rPr>
          <w:rFonts w:eastAsia="Times New Roman" w:cs="Times New Roman"/>
          <w:szCs w:val="24"/>
        </w:rPr>
        <w:t>Orcid</w:t>
      </w:r>
      <w:proofErr w:type="spellEnd"/>
      <w:r w:rsidRPr="005D7873">
        <w:rPr>
          <w:rFonts w:eastAsia="Times New Roman" w:cs="Times New Roman"/>
          <w:szCs w:val="24"/>
        </w:rPr>
        <w:t xml:space="preserve">: 0000-0001-7032-2177, Department of Nutrition and Dietetics, Faculty of Health Science, </w:t>
      </w:r>
      <w:r>
        <w:rPr>
          <w:rFonts w:eastAsia="Times New Roman" w:cs="Times New Roman"/>
          <w:szCs w:val="24"/>
        </w:rPr>
        <w:t>İstanbul Bilgi</w:t>
      </w:r>
      <w:r w:rsidRPr="005D7873">
        <w:rPr>
          <w:rFonts w:eastAsia="Times New Roman" w:cs="Times New Roman"/>
          <w:szCs w:val="24"/>
        </w:rPr>
        <w:t xml:space="preserve"> University, </w:t>
      </w:r>
      <w:r w:rsidR="00CC60A1">
        <w:rPr>
          <w:rFonts w:eastAsia="Times New Roman" w:cs="Times New Roman"/>
          <w:szCs w:val="24"/>
        </w:rPr>
        <w:t>İstanbul</w:t>
      </w:r>
      <w:r w:rsidRPr="005D7873">
        <w:rPr>
          <w:rFonts w:eastAsia="Times New Roman" w:cs="Times New Roman"/>
          <w:szCs w:val="24"/>
        </w:rPr>
        <w:t>, Turkey</w:t>
      </w:r>
    </w:p>
    <w:p w14:paraId="274242A1" w14:textId="77777777" w:rsidR="00F93500" w:rsidRDefault="00F93500" w:rsidP="00F93500">
      <w:pPr>
        <w:rPr>
          <w:rFonts w:cs="Times New Roman"/>
          <w:b/>
          <w:color w:val="000000" w:themeColor="text1"/>
        </w:rPr>
      </w:pPr>
      <w:r>
        <w:rPr>
          <w:rFonts w:cs="Times New Roman"/>
          <w:b/>
          <w:color w:val="000000" w:themeColor="text1"/>
        </w:rPr>
        <w:t>A</w:t>
      </w:r>
      <w:r>
        <w:rPr>
          <w:rFonts w:cs="Times New Roman" w:hint="eastAsia"/>
          <w:b/>
          <w:color w:val="000000" w:themeColor="text1"/>
        </w:rPr>
        <w:t>bbreviations</w:t>
      </w:r>
    </w:p>
    <w:p w14:paraId="3402D4DC" w14:textId="77777777" w:rsidR="00F93500" w:rsidRPr="00556FD8" w:rsidRDefault="00F93500" w:rsidP="00F93500">
      <w:pPr>
        <w:spacing w:line="259" w:lineRule="auto"/>
        <w:jc w:val="left"/>
        <w:rPr>
          <w:rFonts w:cs="Times New Roman"/>
          <w:szCs w:val="24"/>
        </w:rPr>
      </w:pPr>
      <w:r w:rsidRPr="00556FD8">
        <w:rPr>
          <w:rFonts w:cs="Times New Roman"/>
          <w:szCs w:val="24"/>
        </w:rPr>
        <w:t>CHO</w:t>
      </w:r>
      <w:r w:rsidRPr="00556FD8">
        <w:rPr>
          <w:rFonts w:cs="Times New Roman"/>
          <w:szCs w:val="24"/>
        </w:rPr>
        <w:tab/>
        <w:t>Carbohydrate</w:t>
      </w:r>
    </w:p>
    <w:p w14:paraId="5DAEACBF" w14:textId="77777777" w:rsidR="00F93500" w:rsidRPr="00556FD8" w:rsidRDefault="00F93500" w:rsidP="00F93500">
      <w:pPr>
        <w:spacing w:line="259" w:lineRule="auto"/>
        <w:jc w:val="left"/>
        <w:rPr>
          <w:rFonts w:cs="Times New Roman"/>
          <w:szCs w:val="24"/>
        </w:rPr>
      </w:pPr>
      <w:r w:rsidRPr="00556FD8">
        <w:rPr>
          <w:rFonts w:cs="Times New Roman"/>
          <w:szCs w:val="24"/>
        </w:rPr>
        <w:t>CB</w:t>
      </w:r>
      <w:r w:rsidRPr="00556FD8">
        <w:rPr>
          <w:rFonts w:cs="Times New Roman"/>
          <w:szCs w:val="24"/>
        </w:rPr>
        <w:tab/>
        <w:t xml:space="preserve">Corn-bread </w:t>
      </w:r>
    </w:p>
    <w:p w14:paraId="60CB38C0" w14:textId="0B36C9FE" w:rsidR="00CA4053" w:rsidRDefault="00CA4053" w:rsidP="00F93500">
      <w:pPr>
        <w:spacing w:line="259" w:lineRule="auto"/>
        <w:jc w:val="left"/>
        <w:rPr>
          <w:rFonts w:cs="Times New Roman"/>
          <w:szCs w:val="24"/>
        </w:rPr>
      </w:pPr>
      <w:r>
        <w:rPr>
          <w:rFonts w:cs="Times New Roman"/>
          <w:szCs w:val="24"/>
        </w:rPr>
        <w:t>R</w:t>
      </w:r>
      <w:r w:rsidR="00F04ED3">
        <w:rPr>
          <w:rFonts w:cs="Times New Roman"/>
          <w:szCs w:val="24"/>
        </w:rPr>
        <w:t>B</w:t>
      </w:r>
      <w:r>
        <w:rPr>
          <w:rFonts w:cs="Times New Roman"/>
          <w:szCs w:val="24"/>
        </w:rPr>
        <w:tab/>
        <w:t>Refence bread (white bread)</w:t>
      </w:r>
    </w:p>
    <w:p w14:paraId="390BFBAE" w14:textId="2CA1EC2D" w:rsidR="00CA4053" w:rsidRDefault="00CA4053" w:rsidP="00F93500">
      <w:pPr>
        <w:spacing w:line="259" w:lineRule="auto"/>
        <w:jc w:val="left"/>
        <w:rPr>
          <w:rFonts w:cs="Times New Roman"/>
          <w:szCs w:val="24"/>
        </w:rPr>
      </w:pPr>
      <w:r>
        <w:rPr>
          <w:rFonts w:cs="Times New Roman"/>
          <w:szCs w:val="24"/>
        </w:rPr>
        <w:t>WWB Whole</w:t>
      </w:r>
      <w:r w:rsidRPr="00CA4053">
        <w:rPr>
          <w:rFonts w:cs="Times New Roman"/>
          <w:szCs w:val="24"/>
        </w:rPr>
        <w:t xml:space="preserve"> wheat bread</w:t>
      </w:r>
    </w:p>
    <w:p w14:paraId="21F9B67F" w14:textId="6362A2F7" w:rsidR="00CA4053" w:rsidRDefault="00CA4053" w:rsidP="00F93500">
      <w:pPr>
        <w:spacing w:line="259" w:lineRule="auto"/>
        <w:jc w:val="left"/>
        <w:rPr>
          <w:rFonts w:cs="Times New Roman"/>
          <w:szCs w:val="24"/>
        </w:rPr>
      </w:pPr>
      <w:r w:rsidRPr="00CA4053">
        <w:rPr>
          <w:rFonts w:cs="Times New Roman"/>
          <w:szCs w:val="24"/>
        </w:rPr>
        <w:t>BWB</w:t>
      </w:r>
      <w:r w:rsidRPr="00CA4053">
        <w:rPr>
          <w:rFonts w:cs="Times New Roman"/>
          <w:szCs w:val="24"/>
        </w:rPr>
        <w:tab/>
        <w:t>Buckwheat bread</w:t>
      </w:r>
    </w:p>
    <w:p w14:paraId="7D84F6F5" w14:textId="77777777" w:rsidR="00F93500" w:rsidRPr="00556FD8" w:rsidRDefault="00F93500" w:rsidP="00F93500">
      <w:pPr>
        <w:spacing w:line="259" w:lineRule="auto"/>
        <w:jc w:val="left"/>
        <w:rPr>
          <w:rFonts w:cs="Times New Roman"/>
          <w:szCs w:val="24"/>
        </w:rPr>
      </w:pPr>
      <w:r w:rsidRPr="00556FD8">
        <w:rPr>
          <w:rFonts w:cs="Times New Roman"/>
          <w:szCs w:val="24"/>
        </w:rPr>
        <w:t>GI</w:t>
      </w:r>
      <w:r w:rsidRPr="00556FD8">
        <w:rPr>
          <w:rFonts w:cs="Times New Roman"/>
          <w:szCs w:val="24"/>
        </w:rPr>
        <w:tab/>
        <w:t>Glycemic Index</w:t>
      </w:r>
    </w:p>
    <w:p w14:paraId="71031A60" w14:textId="77777777" w:rsidR="00F93500" w:rsidRPr="00556FD8" w:rsidRDefault="00F93500" w:rsidP="00F93500">
      <w:pPr>
        <w:spacing w:line="259" w:lineRule="auto"/>
        <w:jc w:val="left"/>
        <w:rPr>
          <w:rFonts w:cs="Times New Roman"/>
          <w:szCs w:val="24"/>
        </w:rPr>
      </w:pPr>
      <w:r w:rsidRPr="00556FD8">
        <w:rPr>
          <w:rFonts w:cs="Times New Roman"/>
          <w:szCs w:val="24"/>
        </w:rPr>
        <w:t>WHO</w:t>
      </w:r>
      <w:r w:rsidRPr="00556FD8">
        <w:rPr>
          <w:rFonts w:cs="Times New Roman"/>
          <w:szCs w:val="24"/>
        </w:rPr>
        <w:tab/>
        <w:t>The World Health Organization</w:t>
      </w:r>
    </w:p>
    <w:p w14:paraId="6C6DDF04" w14:textId="77777777" w:rsidR="00F93500" w:rsidRDefault="00F93500" w:rsidP="00F93500">
      <w:pPr>
        <w:spacing w:line="259" w:lineRule="auto"/>
        <w:jc w:val="left"/>
        <w:rPr>
          <w:rFonts w:cs="Times New Roman"/>
          <w:szCs w:val="24"/>
        </w:rPr>
      </w:pPr>
      <w:r w:rsidRPr="00556FD8">
        <w:rPr>
          <w:rFonts w:cs="Times New Roman"/>
          <w:szCs w:val="24"/>
        </w:rPr>
        <w:t>AUC</w:t>
      </w:r>
      <w:r w:rsidRPr="00556FD8">
        <w:rPr>
          <w:rFonts w:cs="Times New Roman"/>
          <w:szCs w:val="24"/>
        </w:rPr>
        <w:tab/>
        <w:t>Area under the curve</w:t>
      </w:r>
    </w:p>
    <w:p w14:paraId="39F62602" w14:textId="77777777" w:rsidR="00F93500" w:rsidRDefault="00F93500">
      <w:pPr>
        <w:spacing w:line="259" w:lineRule="auto"/>
        <w:jc w:val="left"/>
        <w:rPr>
          <w:rFonts w:eastAsia="Times New Roman" w:cs="Times New Roman"/>
          <w:b/>
          <w:szCs w:val="32"/>
          <w14:ligatures w14:val="none"/>
        </w:rPr>
      </w:pPr>
      <w:r>
        <w:rPr>
          <w:rFonts w:eastAsia="Times New Roman" w:cs="Times New Roman"/>
          <w:b/>
          <w:szCs w:val="32"/>
          <w14:ligatures w14:val="none"/>
        </w:rPr>
        <w:br w:type="page"/>
      </w:r>
    </w:p>
    <w:p w14:paraId="50AC3A49" w14:textId="0937BA63" w:rsidR="00A3541A" w:rsidRPr="00A3541A" w:rsidRDefault="00A3541A" w:rsidP="00A3541A">
      <w:pPr>
        <w:keepNext/>
        <w:keepLines/>
        <w:spacing w:before="240" w:after="0"/>
        <w:outlineLvl w:val="0"/>
        <w:rPr>
          <w:rFonts w:eastAsia="Times New Roman" w:cs="Times New Roman"/>
          <w:b/>
          <w:szCs w:val="32"/>
          <w14:ligatures w14:val="none"/>
        </w:rPr>
      </w:pPr>
      <w:r w:rsidRPr="00A3541A">
        <w:rPr>
          <w:rFonts w:eastAsia="Times New Roman" w:cs="Times New Roman"/>
          <w:b/>
          <w:szCs w:val="32"/>
          <w14:ligatures w14:val="none"/>
        </w:rPr>
        <w:lastRenderedPageBreak/>
        <w:t>Materials and Methods</w:t>
      </w:r>
    </w:p>
    <w:p w14:paraId="5C5AFDDA" w14:textId="453F5153" w:rsidR="00A3541A" w:rsidRPr="005D7873" w:rsidRDefault="00A3541A" w:rsidP="00080E68">
      <w:pPr>
        <w:pStyle w:val="Balk3"/>
      </w:pPr>
      <w:r w:rsidRPr="005D7873">
        <w:t>The study groups</w:t>
      </w:r>
    </w:p>
    <w:p w14:paraId="3C8E5DBF" w14:textId="77777777" w:rsidR="006320B3" w:rsidRDefault="006320B3" w:rsidP="00A3541A">
      <w:pPr>
        <w:rPr>
          <w:color w:val="FF0000"/>
        </w:rPr>
      </w:pPr>
      <w:r w:rsidRPr="006320B3">
        <w:rPr>
          <w:color w:val="FF0000"/>
        </w:rPr>
        <w:t>In this randomized controlled study, participants were volunteers aged between 18 and 35 years. Pregnant women, lactating women, and individuals with physician-diagnosed chronic diseases were excluded from the study. A total of 138 individuals voluntarily agreed to participate, and the study was conducted between December 19, 2022, and January 20, 2023. Participants were assigned to one of four groups (whole wheat bread, buckwheat bread, corn bread, or white bread) using simple random sampling. Each group received the designated bread type containing 30 g of available carbohydrates. To minimize confounding factors, participants were not instructed to follow a specific diet before the intervention.</w:t>
      </w:r>
    </w:p>
    <w:p w14:paraId="32831EEE" w14:textId="41309D19" w:rsidR="00A3541A" w:rsidRPr="00EE480E" w:rsidRDefault="004F5A2C" w:rsidP="00080E68">
      <w:pPr>
        <w:pStyle w:val="Balk3"/>
      </w:pPr>
      <w:r w:rsidRPr="00EE480E">
        <w:t>C</w:t>
      </w:r>
      <w:r w:rsidR="00A3541A" w:rsidRPr="00EE480E">
        <w:t xml:space="preserve">onsumption of different breads by different groups </w:t>
      </w:r>
    </w:p>
    <w:p w14:paraId="22D87A42" w14:textId="038A6888" w:rsidR="000C5582" w:rsidRDefault="00EE480E" w:rsidP="00AF45D3">
      <w:pPr>
        <w:rPr>
          <w:color w:val="FF0000"/>
        </w:rPr>
      </w:pPr>
      <w:r w:rsidRPr="00EE480E">
        <w:rPr>
          <w:color w:val="FF0000"/>
        </w:rPr>
        <w:t>At the beginning of the study, 138 participants were randomly assigned to one of four groups using simple random sampling. Four bags were prepared for the group distribution, and numbers ranging from 1 to 138 were randomly selected and assigned to the bags. The whole wheat bread and buckwheat bread groups consisted of 35 participants each, while the corn bread and white bread groups had 34 participants each. However, during the course of the study, 35 participants withdrew</w:t>
      </w:r>
      <w:r>
        <w:rPr>
          <w:color w:val="FF0000"/>
        </w:rPr>
        <w:t xml:space="preserve"> </w:t>
      </w:r>
      <w:r w:rsidRPr="00EE480E">
        <w:rPr>
          <w:color w:val="FF0000"/>
        </w:rPr>
        <w:t>(a total of 103 participants remained, 13 of whom were male and 90 female), resulting in a change in the group sizes</w:t>
      </w:r>
      <w:r>
        <w:rPr>
          <w:color w:val="FF0000"/>
        </w:rPr>
        <w:t>.</w:t>
      </w:r>
      <w:r w:rsidRPr="00EE480E">
        <w:rPr>
          <w:color w:val="FF0000"/>
        </w:rPr>
        <w:t xml:space="preserve"> </w:t>
      </w:r>
      <w:r w:rsidRPr="00EE480E">
        <w:t>T</w:t>
      </w:r>
      <w:r w:rsidR="00A3541A" w:rsidRPr="00EE480E">
        <w:t>he control group (27 people who consumed RB), the first experimental group (28 people who consumed WWB), the second experimental group (26 people who consumed BWB), and third experimental group (22 people who consumed CB) (Fig. 1).</w:t>
      </w:r>
      <w:r w:rsidR="000C5582" w:rsidRPr="000C5582">
        <w:rPr>
          <w:color w:val="FF0000"/>
        </w:rPr>
        <w:t xml:space="preserve"> The power analysis of this research was conducted. The G-power value was 0.85 and the effect size was 0.72.</w:t>
      </w:r>
    </w:p>
    <w:p w14:paraId="77D52E99" w14:textId="77777777" w:rsidR="00193638" w:rsidRDefault="00193638" w:rsidP="00193638">
      <w:pPr>
        <w:keepNext/>
        <w:spacing w:line="240" w:lineRule="auto"/>
        <w:jc w:val="left"/>
      </w:pPr>
      <w:r w:rsidRPr="005F6985">
        <w:rPr>
          <w:noProof/>
        </w:rPr>
        <w:lastRenderedPageBreak/>
        <w:drawing>
          <wp:inline distT="0" distB="0" distL="0" distR="0" wp14:anchorId="101B5106" wp14:editId="03000F5A">
            <wp:extent cx="5760720" cy="5522595"/>
            <wp:effectExtent l="0" t="0" r="0" b="0"/>
            <wp:docPr id="661498173"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5522595"/>
                    </a:xfrm>
                    <a:prstGeom prst="rect">
                      <a:avLst/>
                    </a:prstGeom>
                    <a:noFill/>
                    <a:ln>
                      <a:noFill/>
                    </a:ln>
                  </pic:spPr>
                </pic:pic>
              </a:graphicData>
            </a:graphic>
          </wp:inline>
        </w:drawing>
      </w:r>
    </w:p>
    <w:p w14:paraId="486991A7" w14:textId="5EE8E268" w:rsidR="00193638" w:rsidRPr="00CD6385" w:rsidRDefault="00193638" w:rsidP="00193638">
      <w:pPr>
        <w:pStyle w:val="ResimYazs"/>
        <w:keepNext/>
        <w:rPr>
          <w:b/>
          <w:bCs/>
          <w:i w:val="0"/>
          <w:iCs w:val="0"/>
          <w:color w:val="auto"/>
          <w:sz w:val="24"/>
          <w:szCs w:val="24"/>
        </w:rPr>
      </w:pPr>
      <w:r w:rsidRPr="00CD6385">
        <w:rPr>
          <w:b/>
          <w:bCs/>
          <w:i w:val="0"/>
          <w:iCs w:val="0"/>
          <w:color w:val="auto"/>
          <w:sz w:val="24"/>
          <w:szCs w:val="24"/>
        </w:rPr>
        <w:t xml:space="preserve">Fig. </w:t>
      </w:r>
      <w:r w:rsidRPr="00CD6385">
        <w:rPr>
          <w:b/>
          <w:bCs/>
          <w:i w:val="0"/>
          <w:iCs w:val="0"/>
          <w:color w:val="auto"/>
          <w:sz w:val="24"/>
          <w:szCs w:val="24"/>
        </w:rPr>
        <w:fldChar w:fldCharType="begin"/>
      </w:r>
      <w:r w:rsidRPr="00CD6385">
        <w:rPr>
          <w:b/>
          <w:bCs/>
          <w:i w:val="0"/>
          <w:iCs w:val="0"/>
          <w:color w:val="auto"/>
          <w:sz w:val="24"/>
          <w:szCs w:val="24"/>
        </w:rPr>
        <w:instrText xml:space="preserve"> SEQ Figure \* ARABIC </w:instrText>
      </w:r>
      <w:r w:rsidRPr="00CD6385">
        <w:rPr>
          <w:b/>
          <w:bCs/>
          <w:i w:val="0"/>
          <w:iCs w:val="0"/>
          <w:color w:val="auto"/>
          <w:sz w:val="24"/>
          <w:szCs w:val="24"/>
        </w:rPr>
        <w:fldChar w:fldCharType="separate"/>
      </w:r>
      <w:r w:rsidR="0016566E">
        <w:rPr>
          <w:b/>
          <w:bCs/>
          <w:i w:val="0"/>
          <w:iCs w:val="0"/>
          <w:noProof/>
          <w:color w:val="auto"/>
          <w:sz w:val="24"/>
          <w:szCs w:val="24"/>
        </w:rPr>
        <w:t>1</w:t>
      </w:r>
      <w:r w:rsidRPr="00CD6385">
        <w:rPr>
          <w:b/>
          <w:bCs/>
          <w:i w:val="0"/>
          <w:iCs w:val="0"/>
          <w:color w:val="auto"/>
          <w:sz w:val="24"/>
          <w:szCs w:val="24"/>
        </w:rPr>
        <w:fldChar w:fldCharType="end"/>
      </w:r>
      <w:r w:rsidRPr="00CD6385">
        <w:rPr>
          <w:b/>
          <w:bCs/>
          <w:i w:val="0"/>
          <w:iCs w:val="0"/>
          <w:color w:val="auto"/>
          <w:sz w:val="24"/>
          <w:szCs w:val="24"/>
        </w:rPr>
        <w:t xml:space="preserve">. </w:t>
      </w:r>
      <w:r w:rsidRPr="00CD6385">
        <w:rPr>
          <w:i w:val="0"/>
          <w:iCs w:val="0"/>
          <w:color w:val="auto"/>
          <w:sz w:val="24"/>
          <w:szCs w:val="24"/>
        </w:rPr>
        <w:t>CONSORT flow chart</w:t>
      </w:r>
    </w:p>
    <w:p w14:paraId="15058711" w14:textId="77777777" w:rsidR="00193638" w:rsidRDefault="00193638" w:rsidP="00193638">
      <w:pPr>
        <w:spacing w:line="240" w:lineRule="auto"/>
        <w:jc w:val="left"/>
        <w:rPr>
          <w:iCs/>
          <w:szCs w:val="24"/>
        </w:rPr>
      </w:pPr>
      <w:r>
        <w:rPr>
          <w:iCs/>
          <w:szCs w:val="24"/>
        </w:rPr>
        <w:br w:type="page"/>
      </w:r>
    </w:p>
    <w:p w14:paraId="110BDC83" w14:textId="4681DE62" w:rsidR="00AF45D3" w:rsidRPr="00EE480E" w:rsidRDefault="00A3541A" w:rsidP="00AF45D3">
      <w:pPr>
        <w:rPr>
          <w:color w:val="FF0000"/>
        </w:rPr>
      </w:pPr>
      <w:r w:rsidRPr="00EE480E">
        <w:lastRenderedPageBreak/>
        <w:t xml:space="preserve"> Four types of bread were consumed in 1 week. These groups consisted of different individuals. The values for each group are shown. </w:t>
      </w:r>
    </w:p>
    <w:p w14:paraId="05E4CF1B" w14:textId="77777777" w:rsidR="00A3541A" w:rsidRPr="005D7873" w:rsidRDefault="00A3541A" w:rsidP="00080E68">
      <w:pPr>
        <w:pStyle w:val="Balk3"/>
      </w:pPr>
      <w:r w:rsidRPr="005D7873">
        <w:t xml:space="preserve">Measurement of capillary blood glucose </w:t>
      </w:r>
    </w:p>
    <w:p w14:paraId="5FF3BB69" w14:textId="68469274" w:rsidR="00AF45D3" w:rsidRPr="00AF45D3" w:rsidRDefault="00AF45D3" w:rsidP="00AF45D3">
      <w:pPr>
        <w:rPr>
          <w:color w:val="FF0000"/>
        </w:rPr>
      </w:pPr>
      <w:r w:rsidRPr="00AF45D3">
        <w:rPr>
          <w:color w:val="FF0000"/>
        </w:rPr>
        <w:t xml:space="preserve">In this study, two Accu-Check Performa </w:t>
      </w:r>
      <w:proofErr w:type="spellStart"/>
      <w:r w:rsidRPr="00AF45D3">
        <w:rPr>
          <w:color w:val="FF0000"/>
        </w:rPr>
        <w:t>Nanoglucometer</w:t>
      </w:r>
      <w:proofErr w:type="spellEnd"/>
      <w:r w:rsidRPr="00AF45D3">
        <w:rPr>
          <w:color w:val="FF0000"/>
        </w:rPr>
        <w:t xml:space="preserve"> devices were used. The devices were equipped with test strips for capillary blood glucose measurement. Capillary blood glucose levels of individuals were measured at 0, 30, 60, 90, and 120 min. The first blood glucose measurement was taken after at least 8 hours of fasting, and any of the bread types were given to the participants for consumption. All measurements were taken between 09.00 and 13.00. During the measurements, the volunteers were instructed to avoid water, coffee, and any food intake and to avoid excessive exercise. The measurements followed a standard protocol (measurement times, preparation time, measurement conditions, glucometer usage, and data recording/reporting). The Accu-Check Performa </w:t>
      </w:r>
      <w:proofErr w:type="spellStart"/>
      <w:r w:rsidRPr="00AF45D3">
        <w:rPr>
          <w:color w:val="FF0000"/>
        </w:rPr>
        <w:t>Nanoglucometer</w:t>
      </w:r>
      <w:proofErr w:type="spellEnd"/>
      <w:r w:rsidRPr="00AF45D3">
        <w:rPr>
          <w:color w:val="FF0000"/>
        </w:rPr>
        <w:t xml:space="preserve"> devices were calibrated prior to the study according to the manufacturer’s instructions, and all readings were recorded and reported immediately after each measurement.</w:t>
      </w:r>
      <w:r>
        <w:rPr>
          <w:color w:val="FF0000"/>
        </w:rPr>
        <w:t xml:space="preserve"> </w:t>
      </w:r>
    </w:p>
    <w:p w14:paraId="6DD50B99" w14:textId="77777777" w:rsidR="00A3541A" w:rsidRPr="005D7873" w:rsidRDefault="00A3541A" w:rsidP="00080E68">
      <w:pPr>
        <w:pStyle w:val="Balk3"/>
      </w:pPr>
      <w:r w:rsidRPr="005D7873">
        <w:t>The area under the curve</w:t>
      </w:r>
      <w:r>
        <w:t xml:space="preserve"> (AUC)</w:t>
      </w:r>
      <w:r w:rsidRPr="005D7873">
        <w:t xml:space="preserve"> calculation </w:t>
      </w:r>
    </w:p>
    <w:p w14:paraId="212AE9A4" w14:textId="7CC8F71C" w:rsidR="00A3541A" w:rsidRPr="005D7873" w:rsidRDefault="00A3541A" w:rsidP="00A3541A">
      <w:r w:rsidRPr="005D7873">
        <w:t>Capillary blood glucose</w:t>
      </w:r>
      <w:r>
        <w:t xml:space="preserve"> (BG)</w:t>
      </w:r>
      <w:r w:rsidRPr="005D7873">
        <w:t xml:space="preserve"> measurements were taken at 0, 30, 60, 90, and 120 min. These values were drawn as a graph of blood glucose levels against time</w:t>
      </w:r>
      <w:r>
        <w:t xml:space="preserve"> </w:t>
      </w:r>
      <w:r w:rsidRPr="005D7873">
        <w:t>was obtained. The "area under the curve</w:t>
      </w:r>
      <w:r>
        <w:t xml:space="preserve"> (</w:t>
      </w:r>
      <w:r w:rsidRPr="005D7873">
        <w:t xml:space="preserve">AUC </w:t>
      </w:r>
      <w:r>
        <w:t>)</w:t>
      </w:r>
      <w:r w:rsidRPr="005D7873">
        <w:t xml:space="preserve">" method was used </w:t>
      </w:r>
      <w:r w:rsidRPr="005D7873">
        <w:fldChar w:fldCharType="begin" w:fldLock="1"/>
      </w:r>
      <w:r w:rsidR="0051396A">
        <w:instrText>ADDIN CSL_CITATION {"citationItems":[{"id":"ITEM-1","itemData":{"DOI":"10.1093/ajcn/54.5.846","ISSN":"00029165","PMID":"1951155","abstract":"There is controversy regarding the clinical utility of classifying foods according to their glycemic responses by using the glycemic index (GI). Part of the controversy is due to methodologic variables that can markedly affect the interpretation of glycemic responses and the GI values obtained. Recent studies support the clinical utility of the GI. Within limits determined by the expected GI difference and by the day-to-day variation of glycemic responses, the GI predicts the ranking of the glycemic potential of different meals in individual subjects. In long-term trials, low-GI diets result in modest improvements in overall blood glucose control in patients with insulin-dependent and non-insulin-dependent diabetes. Of perhaps greater therapeutic importance is the ability of low-GI diets to reduce insulin secretion and lower blood lipid concentrations in patients with hypertriglyceridemia.","author":[{"dropping-particle":"","family":"Wolever","given":"T. M.S.","non-dropping-particle":"","parse-names":false,"suffix":""},{"dropping-particle":"","family":"Jenkins","given":"D. J.A.","non-dropping-particle":"","parse-names":false,"suffix":""},{"dropping-particle":"","family":"Jenkins","given":"A. L.","non-dropping-particle":"","parse-names":false,"suffix":""},{"dropping-particle":"","family":"Josse","given":"R. G.","non-dropping-particle":"","parse-names":false,"suffix":""}],"container-title":"American Journal of Clinical Nutrition","id":"ITEM-1","issue":"5","issued":{"date-parts":[["1991"]]},"page":"846-854","publisher":"Am J Clin Nutr","title":"The glycemic index: Methodology and clinical implications","type":"article","volume":"54"},"uris":["http://www.mendeley.com/documents/?uuid=d5d8b78e-bb6a-33ca-8562-80649e71e74b"]}],"mendeley":{"formattedCitation":"[1]","plainTextFormattedCitation":"[1]","previouslyFormattedCitation":"[1]"},"properties":{"noteIndex":0},"schema":"https://github.com/citation-style-language/schema/raw/master/csl-citation.json"}</w:instrText>
      </w:r>
      <w:r w:rsidRPr="005D7873">
        <w:fldChar w:fldCharType="separate"/>
      </w:r>
      <w:r w:rsidR="00A907DF" w:rsidRPr="00A907DF">
        <w:rPr>
          <w:noProof/>
        </w:rPr>
        <w:t>[1]</w:t>
      </w:r>
      <w:r w:rsidRPr="005D7873">
        <w:fldChar w:fldCharType="end"/>
      </w:r>
      <w:r w:rsidRPr="005D7873">
        <w:t xml:space="preserve">. </w:t>
      </w:r>
    </w:p>
    <w:p w14:paraId="0651F234" w14:textId="4DE786DE" w:rsidR="00A3541A" w:rsidRDefault="00A3541A" w:rsidP="00A3541A">
      <w:r w:rsidRPr="005D7873">
        <w:t xml:space="preserve">AUC = [(BG </w:t>
      </w:r>
      <w:r>
        <w:t>0</w:t>
      </w:r>
      <w:r w:rsidRPr="005D7873">
        <w:t xml:space="preserve">h min + BG </w:t>
      </w:r>
      <w:r>
        <w:t>30</w:t>
      </w:r>
      <w:r w:rsidRPr="005D7873">
        <w:t>th min) / 2] * (</w:t>
      </w:r>
      <w:r>
        <w:t>3</w:t>
      </w:r>
      <w:r w:rsidRPr="005D7873">
        <w:t>0th min –0th min)</w:t>
      </w:r>
      <w:r>
        <w:t>+</w:t>
      </w:r>
      <w:r w:rsidRPr="00124507">
        <w:t xml:space="preserve"> </w:t>
      </w:r>
      <w:r w:rsidRPr="005D7873">
        <w:t>[(BG 30th min + BG 60th min) / 2] * (60th min – 30th min)</w:t>
      </w:r>
      <w:r>
        <w:t>+</w:t>
      </w:r>
      <w:r w:rsidRPr="00124507">
        <w:t xml:space="preserve"> </w:t>
      </w:r>
      <w:r w:rsidRPr="005D7873">
        <w:t xml:space="preserve">[(BG </w:t>
      </w:r>
      <w:r>
        <w:t>6</w:t>
      </w:r>
      <w:r w:rsidRPr="005D7873">
        <w:t xml:space="preserve">0th min + BG </w:t>
      </w:r>
      <w:r>
        <w:t>9</w:t>
      </w:r>
      <w:r w:rsidRPr="005D7873">
        <w:t>0th min) / 2] * (</w:t>
      </w:r>
      <w:r>
        <w:t>9</w:t>
      </w:r>
      <w:r w:rsidRPr="005D7873">
        <w:t xml:space="preserve">0th min – </w:t>
      </w:r>
      <w:r>
        <w:t>6</w:t>
      </w:r>
      <w:r w:rsidRPr="005D7873">
        <w:t xml:space="preserve">0th min) </w:t>
      </w:r>
      <w:r>
        <w:t>+</w:t>
      </w:r>
      <w:r w:rsidRPr="005D7873">
        <w:t xml:space="preserve">[(BG </w:t>
      </w:r>
      <w:r>
        <w:t>12</w:t>
      </w:r>
      <w:r w:rsidRPr="005D7873">
        <w:t xml:space="preserve">0th min + BG </w:t>
      </w:r>
      <w:r>
        <w:t>9</w:t>
      </w:r>
      <w:r w:rsidRPr="005D7873">
        <w:t>0th min) / 2] * (</w:t>
      </w:r>
      <w:r>
        <w:t>9</w:t>
      </w:r>
      <w:r w:rsidRPr="005D7873">
        <w:t xml:space="preserve">0th min – </w:t>
      </w:r>
      <w:r>
        <w:t>12</w:t>
      </w:r>
      <w:r w:rsidRPr="005D7873">
        <w:t>0th min)</w:t>
      </w:r>
      <w:r>
        <w:t>]</w:t>
      </w:r>
      <w:r w:rsidR="002B5869">
        <w:t xml:space="preserve"> </w:t>
      </w:r>
      <w:r w:rsidR="002B5869">
        <w:fldChar w:fldCharType="begin" w:fldLock="1"/>
      </w:r>
      <w:r w:rsidR="002B5869">
        <w:instrText>ADDIN CSL_CITATION {"citationItems":[{"id":"ITEM-1","itemData":{"DOI":"10.1080/09637486.2024.2435841","ISSN":"0963-7486","author":[{"dropping-particle":"","family":"Cesur","given":"Fatih","non-dropping-particle":"","parse-names":false,"suffix":""},{"dropping-particle":"","family":"Uygur","given":"Berat","non-dropping-particle":"","parse-names":false,"suffix":""}],"container-title":"International Journal of Food Sciences and Nutrition","id":"ITEM-1","issued":{"date-parts":[["2024","12","3"]]},"page":"1-9","title":"Can hazelnut flour added to gluten-free corn flour in different amounts cause differences in blood glucose fluctuations?","type":"article-journal"},"uris":["http://www.mendeley.com/documents/?uuid=20b39283-4af3-3512-a39c-1cc4bae39abf"]}],"mendeley":{"formattedCitation":"[2]","plainTextFormattedCitation":"[2]"},"properties":{"noteIndex":0},"schema":"https://github.com/citation-style-language/schema/raw/master/csl-citation.json"}</w:instrText>
      </w:r>
      <w:r w:rsidR="002B5869">
        <w:fldChar w:fldCharType="separate"/>
      </w:r>
      <w:r w:rsidR="002B5869" w:rsidRPr="002B5869">
        <w:rPr>
          <w:noProof/>
        </w:rPr>
        <w:t>[2]</w:t>
      </w:r>
      <w:r w:rsidR="002B5869">
        <w:fldChar w:fldCharType="end"/>
      </w:r>
      <w:r>
        <w:t>.</w:t>
      </w:r>
    </w:p>
    <w:p w14:paraId="469FEC17" w14:textId="568A592B" w:rsidR="008D62FE" w:rsidRPr="008D62FE" w:rsidRDefault="008D62FE" w:rsidP="00080E68">
      <w:pPr>
        <w:pStyle w:val="Balk3"/>
      </w:pPr>
      <w:r w:rsidRPr="008D62FE">
        <w:t>Glycemic Index</w:t>
      </w:r>
      <w:r w:rsidR="0016566E">
        <w:t xml:space="preserve"> (GI)</w:t>
      </w:r>
      <w:r w:rsidRPr="008D62FE">
        <w:t xml:space="preserve"> Measurement </w:t>
      </w:r>
    </w:p>
    <w:p w14:paraId="7C83E133" w14:textId="762E4AF8" w:rsidR="008D62FE" w:rsidRDefault="008D62FE" w:rsidP="008D62FE">
      <w:pPr>
        <w:rPr>
          <w:color w:val="FF0000"/>
        </w:rPr>
      </w:pPr>
      <w:r w:rsidRPr="008D62FE">
        <w:rPr>
          <w:color w:val="FF0000"/>
        </w:rPr>
        <w:t xml:space="preserve">It is obtained by multiplying the ratio of the total AUC value of </w:t>
      </w:r>
      <w:r w:rsidR="00410A9B" w:rsidRPr="00AF45D3">
        <w:rPr>
          <w:color w:val="FF0000"/>
        </w:rPr>
        <w:t>WWB, BWB, and CB</w:t>
      </w:r>
      <w:r w:rsidR="00410A9B" w:rsidRPr="008D62FE">
        <w:rPr>
          <w:color w:val="FF0000"/>
        </w:rPr>
        <w:t xml:space="preserve"> </w:t>
      </w:r>
      <w:r w:rsidRPr="008D62FE">
        <w:rPr>
          <w:color w:val="FF0000"/>
        </w:rPr>
        <w:t>breads to the total AUC value of white (reference) bread by 100.</w:t>
      </w:r>
      <w:r>
        <w:rPr>
          <w:color w:val="FF0000"/>
        </w:rPr>
        <w:t xml:space="preserve"> </w:t>
      </w:r>
      <w:r w:rsidR="0016566E">
        <w:rPr>
          <w:color w:val="FF0000"/>
        </w:rPr>
        <w:t xml:space="preserve"> </w:t>
      </w:r>
      <w:r w:rsidR="0016566E" w:rsidRPr="0016566E">
        <w:rPr>
          <w:color w:val="FF0000"/>
        </w:rPr>
        <w:t xml:space="preserve">Before the start of the study, 23 </w:t>
      </w:r>
      <w:r w:rsidR="0016566E" w:rsidRPr="0016566E">
        <w:rPr>
          <w:color w:val="FF0000"/>
        </w:rPr>
        <w:lastRenderedPageBreak/>
        <w:t>individuals (Age (22.83</w:t>
      </w:r>
      <w:r w:rsidR="004D5D71" w:rsidRPr="004D5D71">
        <w:rPr>
          <w:color w:val="FF0000"/>
        </w:rPr>
        <w:t>±</w:t>
      </w:r>
      <w:r w:rsidR="0016566E" w:rsidRPr="0016566E">
        <w:rPr>
          <w:color w:val="FF0000"/>
        </w:rPr>
        <w:t>3.01) and BMI (23.84</w:t>
      </w:r>
      <w:r w:rsidR="004D5D71" w:rsidRPr="004D5D71">
        <w:rPr>
          <w:color w:val="FF0000"/>
        </w:rPr>
        <w:t>±</w:t>
      </w:r>
      <w:r w:rsidR="0016566E" w:rsidRPr="0016566E">
        <w:rPr>
          <w:color w:val="FF0000"/>
        </w:rPr>
        <w:t>4.74)) consumed four breads at one-week intervals. Blood glucose was measured at 0, 30, 60, 90, and 120 minutes, AUC values of each bread were calculated, and GI values were found (Fig. 2).</w:t>
      </w:r>
    </w:p>
    <w:p w14:paraId="5D9D959B" w14:textId="77777777" w:rsidR="0016566E" w:rsidRDefault="0016566E" w:rsidP="0016566E">
      <w:pPr>
        <w:keepNext/>
      </w:pPr>
      <w:r>
        <w:rPr>
          <w:noProof/>
          <w:color w:val="FF0000"/>
        </w:rPr>
        <w:drawing>
          <wp:inline distT="0" distB="0" distL="0" distR="0" wp14:anchorId="2EE4FF32" wp14:editId="792E1802">
            <wp:extent cx="5653087" cy="3656999"/>
            <wp:effectExtent l="0" t="0" r="5080" b="635"/>
            <wp:docPr id="16097673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61410" cy="3662383"/>
                    </a:xfrm>
                    <a:prstGeom prst="rect">
                      <a:avLst/>
                    </a:prstGeom>
                    <a:noFill/>
                  </pic:spPr>
                </pic:pic>
              </a:graphicData>
            </a:graphic>
          </wp:inline>
        </w:drawing>
      </w:r>
    </w:p>
    <w:p w14:paraId="64CC2142" w14:textId="210DC40E" w:rsidR="0016566E" w:rsidRPr="00753EEA" w:rsidRDefault="0016566E" w:rsidP="0016566E">
      <w:pPr>
        <w:pStyle w:val="ResimYazs"/>
        <w:rPr>
          <w:b/>
          <w:bCs/>
          <w:i w:val="0"/>
          <w:iCs w:val="0"/>
          <w:color w:val="FF0000"/>
          <w:sz w:val="24"/>
          <w:szCs w:val="24"/>
        </w:rPr>
      </w:pPr>
      <w:r w:rsidRPr="00753EEA">
        <w:rPr>
          <w:b/>
          <w:bCs/>
          <w:i w:val="0"/>
          <w:iCs w:val="0"/>
          <w:color w:val="FF0000"/>
          <w:sz w:val="24"/>
          <w:szCs w:val="24"/>
        </w:rPr>
        <w:t xml:space="preserve">Fig. </w:t>
      </w:r>
      <w:r w:rsidRPr="00753EEA">
        <w:rPr>
          <w:b/>
          <w:bCs/>
          <w:i w:val="0"/>
          <w:iCs w:val="0"/>
          <w:color w:val="FF0000"/>
          <w:sz w:val="24"/>
          <w:szCs w:val="24"/>
        </w:rPr>
        <w:fldChar w:fldCharType="begin"/>
      </w:r>
      <w:r w:rsidRPr="00753EEA">
        <w:rPr>
          <w:b/>
          <w:bCs/>
          <w:i w:val="0"/>
          <w:iCs w:val="0"/>
          <w:color w:val="FF0000"/>
          <w:sz w:val="24"/>
          <w:szCs w:val="24"/>
        </w:rPr>
        <w:instrText xml:space="preserve"> SEQ Figure \* ARABIC </w:instrText>
      </w:r>
      <w:r w:rsidRPr="00753EEA">
        <w:rPr>
          <w:b/>
          <w:bCs/>
          <w:i w:val="0"/>
          <w:iCs w:val="0"/>
          <w:color w:val="FF0000"/>
          <w:sz w:val="24"/>
          <w:szCs w:val="24"/>
        </w:rPr>
        <w:fldChar w:fldCharType="separate"/>
      </w:r>
      <w:r w:rsidRPr="00753EEA">
        <w:rPr>
          <w:b/>
          <w:bCs/>
          <w:i w:val="0"/>
          <w:iCs w:val="0"/>
          <w:color w:val="FF0000"/>
          <w:sz w:val="24"/>
          <w:szCs w:val="24"/>
        </w:rPr>
        <w:t>2</w:t>
      </w:r>
      <w:r w:rsidRPr="00753EEA">
        <w:rPr>
          <w:b/>
          <w:bCs/>
          <w:i w:val="0"/>
          <w:iCs w:val="0"/>
          <w:color w:val="FF0000"/>
          <w:sz w:val="24"/>
          <w:szCs w:val="24"/>
        </w:rPr>
        <w:fldChar w:fldCharType="end"/>
      </w:r>
      <w:r w:rsidRPr="00753EEA">
        <w:rPr>
          <w:b/>
          <w:bCs/>
          <w:i w:val="0"/>
          <w:iCs w:val="0"/>
          <w:color w:val="FF0000"/>
          <w:sz w:val="24"/>
          <w:szCs w:val="24"/>
        </w:rPr>
        <w:t xml:space="preserve">. </w:t>
      </w:r>
      <w:r w:rsidR="00753EEA" w:rsidRPr="00753EEA">
        <w:rPr>
          <w:b/>
          <w:bCs/>
          <w:i w:val="0"/>
          <w:iCs w:val="0"/>
          <w:color w:val="FF0000"/>
          <w:sz w:val="24"/>
          <w:szCs w:val="24"/>
        </w:rPr>
        <w:t xml:space="preserve"> GI values of each bread.</w:t>
      </w:r>
    </w:p>
    <w:p w14:paraId="10C55C28" w14:textId="77777777" w:rsidR="00A3541A" w:rsidRPr="005D7873" w:rsidRDefault="00A3541A" w:rsidP="00080E68">
      <w:pPr>
        <w:pStyle w:val="Balk3"/>
      </w:pPr>
      <w:r w:rsidRPr="005D7873">
        <w:t xml:space="preserve">Anthropometric </w:t>
      </w:r>
      <w:r>
        <w:t>m</w:t>
      </w:r>
      <w:r w:rsidRPr="005D7873">
        <w:t>easurements</w:t>
      </w:r>
    </w:p>
    <w:p w14:paraId="62998341" w14:textId="72B309E3" w:rsidR="000D398A" w:rsidRPr="006C2CF2" w:rsidRDefault="00A3541A" w:rsidP="000D398A">
      <w:r w:rsidRPr="005D7873">
        <w:t xml:space="preserve">Before starting the capillary blood glucose measurement, the bioimpedance method (TANITA MC780 MA) was used to analyze the body composition of participants (body weight, waist circumference, waist/hip ratio, fat percentage, muscle percentage, internal adiposity rate, and basal metabolic rate). Heights were measured using a stadiometer (TANITA). </w:t>
      </w:r>
      <w:r w:rsidR="000D398A" w:rsidRPr="000D398A">
        <w:rPr>
          <w:color w:val="FF0000"/>
        </w:rPr>
        <w:t>Using the bioimpedance method, the body fat and muscle compositions of the volunteers (male and female) were analyzed. Body fat percentage was classified as normal or obese based on the ideal fat percentage ranges. The ideal fat percentage for women aged 20-29 years is between 18% and 26%, while for men it is between 10% and 20%</w:t>
      </w:r>
      <w:r w:rsidR="000D398A">
        <w:rPr>
          <w:color w:val="FF0000"/>
        </w:rPr>
        <w:t xml:space="preserve"> </w:t>
      </w:r>
      <w:r w:rsidRPr="005D7873">
        <w:fldChar w:fldCharType="begin" w:fldLock="1"/>
      </w:r>
      <w:r w:rsidR="0051396A">
        <w:instrText>ADDIN CSL_CITATION {"citationItems":[{"id":"ITEM-1","itemData":{"DOI":"10.1007/978-3-642-36172-2_200883","ISSN":"00228710","PMID":"2004067790","author":[{"dropping-particle":"","family":"World Health Organization","given":"","non-dropping-particle":"","parse-names":false,"suffix":""}],"container-title":"The Kansas nurse","id":"ITEM-1","issue":"3","issued":{"date-parts":[["2004","1","17"]]},"page":"9","publisher":"World Health Organization","title":"Body mass index","type":"article","volume":"79"},"uris":["http://www.mendeley.com/documents/?uuid=1abf0f54-4017-3efb-863f-21b63e191776"]}],"mendeley":{"formattedCitation":"[3]","plainTextFormattedCitation":"[3]","previouslyFormattedCitation":"[3]"},"properties":{"noteIndex":0},"schema":"https://github.com/citation-style-language/schema/raw/master/csl-citation.json"}</w:instrText>
      </w:r>
      <w:r w:rsidRPr="005D7873">
        <w:fldChar w:fldCharType="separate"/>
      </w:r>
      <w:r w:rsidR="00A907DF" w:rsidRPr="00A907DF">
        <w:rPr>
          <w:noProof/>
        </w:rPr>
        <w:t>[3]</w:t>
      </w:r>
      <w:r w:rsidRPr="005D7873">
        <w:fldChar w:fldCharType="end"/>
      </w:r>
      <w:r w:rsidRPr="005D7873">
        <w:t xml:space="preserve">. </w:t>
      </w:r>
      <w:r w:rsidR="000D398A">
        <w:rPr>
          <w:color w:val="FF0000"/>
        </w:rPr>
        <w:t>I</w:t>
      </w:r>
      <w:r w:rsidR="000D398A" w:rsidRPr="000D398A">
        <w:rPr>
          <w:color w:val="FF0000"/>
        </w:rPr>
        <w:t xml:space="preserve">ndividuals exceeding the ideal fat percentage based on their age range were classified as 'individuals with obesity.' Visceral </w:t>
      </w:r>
      <w:r w:rsidR="000D398A" w:rsidRPr="000D398A">
        <w:rPr>
          <w:color w:val="FF0000"/>
        </w:rPr>
        <w:lastRenderedPageBreak/>
        <w:t>fat was also considered as a criterion for obesity classification, and individuals with high visceral fat were considered to be at higher risk for obesity.</w:t>
      </w:r>
    </w:p>
    <w:p w14:paraId="3C2D7880" w14:textId="0E9DC779" w:rsidR="00A3541A" w:rsidRPr="005D7873" w:rsidRDefault="00A3541A" w:rsidP="00080E68">
      <w:pPr>
        <w:pStyle w:val="Balk3"/>
      </w:pPr>
      <w:r w:rsidRPr="005D7873">
        <w:t xml:space="preserve">Bread </w:t>
      </w:r>
      <w:r w:rsidR="004C26A5" w:rsidRPr="004C26A5">
        <w:t>preparation</w:t>
      </w:r>
    </w:p>
    <w:p w14:paraId="5C2658B8" w14:textId="77777777" w:rsidR="00193638" w:rsidRDefault="00AF45D3" w:rsidP="00AF45D3">
      <w:pPr>
        <w:rPr>
          <w:color w:val="FF0000"/>
        </w:rPr>
      </w:pPr>
      <w:r w:rsidRPr="00AF45D3">
        <w:rPr>
          <w:color w:val="FF0000"/>
        </w:rPr>
        <w:t xml:space="preserve">Bread preparation: All types of bread consumed in the study (RB, WWB, BWB, and CB) were prepared in the </w:t>
      </w:r>
      <w:proofErr w:type="spellStart"/>
      <w:r w:rsidRPr="00AF45D3">
        <w:rPr>
          <w:color w:val="FF0000"/>
        </w:rPr>
        <w:t>Avrasya</w:t>
      </w:r>
      <w:proofErr w:type="spellEnd"/>
      <w:r w:rsidRPr="00AF45D3">
        <w:rPr>
          <w:color w:val="FF0000"/>
        </w:rPr>
        <w:t xml:space="preserve"> University Gastronomy Kitchen. Each bread was made using precise recipes and baking conditions to ensure consistency across the samples </w:t>
      </w:r>
      <w:r w:rsidR="00A3541A" w:rsidRPr="00AF45D3">
        <w:rPr>
          <w:color w:val="FF0000"/>
        </w:rPr>
        <w:fldChar w:fldCharType="begin" w:fldLock="1"/>
      </w:r>
      <w:r w:rsidR="0051396A" w:rsidRPr="00AF45D3">
        <w:rPr>
          <w:color w:val="FF0000"/>
        </w:rPr>
        <w:instrText>ADDIN CSL_CITATION {"citationItems":[{"id":"ITEM-1","itemData":{"DOI":"10.1016/j.jcs.2005.11.001","ISSN":"07335210","abstract":"Bread products with three different levels (35, 50 and 75%) of the (1→3;1→4)-β-glucan rich barley genotype Prowashonupana (PW), 50% common barley (CB) or 100% white wheat, were given as a breakfast meal to 10 men and their postprandial blood glucose and insulin responses were measured. In addition, the viscosity of (1→3;1→4)-β-glucans isolated from the pw flours was measured, and the fluidity characteristics of the (1→3;1→4)-β-glucans in the bread products estimated in in vitro enzymatic digests prepared under conditions simulating those prevailing in the gastrointestinal tract. Bread containing 50 and 75% PW flour lowered the glycaemic index (GI) (40 and 48%, respectively) and insulinaemic index (II) (37 and 34%) compared with a white wheat reference bread (GI=100; II=100). A high correlation (r=0.9782; P=0.0007) was found between the fluidity index (FI) of the enzymatic digests and GI of all bread products (GI=50.8+0.441FI). The overall conclusions were that incorporation of (1→3;1→4)-β-glucan rich barley in bread may lower its glycaemic and insulinaemic properties and that the metabolic response could be predicted by measuring the in vitro fluidity of bread digests. © 2005 Elsevier Ltd. All rights reserved.","author":[{"dropping-particle":"","family":"Östman","given":"Elin","non-dropping-particle":"","parse-names":false,"suffix":""},{"dropping-particle":"","family":"Rossi","given":"Emanuele","non-dropping-particle":"","parse-names":false,"suffix":""},{"dropping-particle":"","family":"Larsson","given":"Helena","non-dropping-particle":"","parse-names":false,"suffix":""},{"dropping-particle":"","family":"Brighenti","given":"Furio","non-dropping-particle":"","parse-names":false,"suffix":""},{"dropping-particle":"","family":"Björck","given":"Inger","non-dropping-particle":"","parse-names":false,"suffix":""}],"container-title":"Journal of Cereal Science","id":"ITEM-1","issue":"2","issued":{"date-parts":[["2006","3","1"]]},"page":"230-235","publisher":"Academic Press","title":"Glucose and insulin responses in healthy men to barley bread with different levels of (1→3;1→4)-β-glucans; predictions using fluidity measurements of in vitro enzyme digests","type":"article-journal","volume":"43"},"uris":["http://www.mendeley.com/documents/?uuid=6b852cdf-3c59-3532-97ec-95897b2266eb"]},{"id":"ITEM-2","itemData":{"DOI":"10.2/JQUERY.MIN.JS","ISBN":"9772081415","ISSN":"1868-7075","PMID":"25246403","abstract":"Bu çalışmanın amacı farklı pişirme yöntemleri uygulanan patateslerin glisemik indeks değerinin saptanmasıdır. Çalışmaya, yaşları 19-35 yıl arasında değişen (24±3.81), beden kütle indeksleri normal (18.0-24.99 kg/m2) olan (21.58±2.14), hiçbir metabolik ve endokrin hastalığı bulunmayan 12 (4 erkek, 8 kadın) yetişkin sağlıklı gönüllü birey katılmıştır. Bireyler 10-12 saatlik açlığı takiben, tam randomizasyon yöntemi kullanılarak referans besin olarak glukoz ve beyaz ekmek, test besini olarak 25 g sindirilebilir karbonhidrat içeren haşlama, haşlama-soğutma, kızartma ve fırınlama işlemleri uygulanmış (Kabuğu soyularak kaynayan suya atılan 2.5x2.5 cm’lik 35 dk haşlanmış sade tuzsuz patates küpleri, Kabuğu soyularak kaynayan suya atılan 2.5x2.5 cm’lik 50 dk haşlanmış sade tuzsuz patates küpleri, kabuğu soyularak kaynayan suya atılan 2.5x2.5 cm’lik 35 dk haşlanmış sade tuzsuz 24 saat buzdolabında bekletilmiş patates küpleri, kabuğu soyularak kaynayan suya atılan 2.5x2.5 cm’lik 50 dk haşlanmış sade tuzsuz 24 saat buzdolabında bekletilmiş patates küpleri, kabuğu soyularak patates doğrama makinasında doğranan ve uzunluğu 5 cm olan 180 dereceye ısıtılmış ayçiçek yağında 8 dk kızartılmış tuzsuz çubuk patates, kabuğu soyulmadan 180 derece ısıtılmış ayçiçek yağında 8 dk kızartılmış tuzsuz elma dilimli patates, kabuğu soyularak patates doğrama makinasında doğranan ve uzunluğu 5 cm olan 200 dereceye önceden ısıtılmış fırında 30 dakika pişirilmiş tuzsuz çubuk patates, kabuğu soyulmadan 200 dereceye önceden ısıtılmış fırında 30 dakika pişirilmiş tuzsuz elma dilimli patates) patatesleri tüketmişlerdir. 50’ ve 35’ haşlanmış 24 saat +4°C’de bekletilmiş soğuk patatesler hariç diğer tüm patatesler bireyler tüketmeden hemen önce taze olarak hazırlanmıştır. Bireylerden 0., 15., 30., 45., 60., 90., ve 120. dakikalarda duplike olarak kapiller kan glukoz ölçümü yapılmıştır. Farklı pişirme yöntemleri uygulanmış patateslerin hem beyaz ekmeğe göre hem de glukoza göre glisemik indeks değerleri hesaplanmıştır. Patateslerin beyaz ekmeğe göre büyükten küçüğe glisemik indeks değerleri sırasıyla fırınlanmış parmak (çubuk) patates için 147.9, 35’ haşlanmış sıcak patates için 133.1, 50’ haşlanmış sıcak patates için 131.4, fırınlanmış elma dilimli patates için 115.1, 50’ haşlanmış 24 saat +4°C’de bekletilmiş soğuk patates için 101.9, ayçiçek yağında kızartılmış elma dilimli patates için 101.5, ayçiçek yağında kızartılmış parmak (çubuk) patates için 97.2, 35’ haşlanmış 24 saat +4°C’de bekletilm…","author":[{"dropping-particle":"","family":"Maciej Serda","given":"","non-dropping-particle":"","parse-names":false,"suffix":""},{"dropping-particle":"","family":"Becker","given":"Fernando Gertum","non-dropping-particle":"","parse-names":false,"suffix":""},{"dropping-particle":"","family":"Cleary","given":"Michelle","non-dropping-particle":"","parse-names":false,"suffix":""},{"dropping-particle":"","family":"Team","given":"R M","non-dropping-particle":"","parse-names":false,"suffix":""},{"dropping-particle":"","family":"Holtermann","given":"Helge","non-dropping-particle":"","parse-names":false,"suffix":""},{"dropping-particle":"","family":"The","given":"Disclaimer","non-dropping-particle":"","parse-names":false,"suffix":""},{"dropping-particle":"","family":"Agenda","given":"National","non-dropping-particle":"","parse-names":false,"suffix":""},{"dropping-particle":"","family":"Science","given":"Political","non-dropping-particle":"","parse-names":false,"suffix":""},{"dropping-particle":"","family":"Sk","given":"S K","non-dropping-particle":"","parse-names":false,"suffix":""},{"dropping-particle":"","family":"Hinnebusch","given":"Raymond","non-dropping-particle":"","parse-names":false,"suffix":""},{"dropping-particle":"","family":"Hinnebusch A","given":"Raymond","non-dropping-particle":"","parse-names":false,"suffix":""},{"dropping-particle":"","family":"Rabinovich","given":"Itamar","non-dropping-particle":"","parse-names":false,"suffix":""},{"dropping-particle":"","family":"Olmert","given":"Yosef","non-dropping-particle":"","parse-names":false,"suffix":""},{"dropping-particle":"","family":"Uld","given":"D Q G L Q","non-dropping-particle":"","parse-names":false,"suffix":""},{"dropping-particle":"","family":"Ri","given":"W K H Uroh","non-dropping-particle":"","parse-names":false,"suffix":""},{"dropping-particle":"","family":"Lq","given":"Vodp","non-dropping-particle":"","parse-names":false,"suffix":""},{"dropping-particle":"","family":"Frxqwu","given":"W K H","non-dropping-particle":"","parse-names":false,"suffix":""},{"dropping-particle":"","family":"Zklfk","given":"Errn","non-dropping-particle":"","parse-names":false,"suffix":""},{"dropping-particle":"V","family":"Edvhg","given":"L","non-dropping-particle":"","parse-names":false,"suffix":""},{"dropping-particle":"","family":"Wkh","given":"R Q","non-dropping-particle":"","parse-names":false,"suffix":""},{"dropping-particle":"","family":"Becker","given":"Fernando Gertum","non-dropping-particle":"","parse-names":false,"suffix":""},{"dropping-particle":"","family":"Aboueldahab","given":"N","non-dropping-particle":"","parse-names":false,"suffix":""},{"dropping-particle":"","family":"Khalaf","given":"Rana","non-dropping-particle":"","parse-names":false,"suffix":""},{"dropping-particle":"","family":"Elvira","given":"Laura Ruiz","non-dropping-particle":"De","parse-names":false,"suffix":""},{"dropping-particle":"","family":"Zintl","given":"Tina","non-dropping-particle":"","parse-names":false,"suffix":""},{"dropping-particle":"","family":"Hinnebusch","given":"Raymond","non-dropping-particle":"","parse-names":false,"suffix":""},{"dropping-particle":"","family":"Karimi","given":"Mahdi","non-dropping-particle":"","parse-names":false,"suffix":""},{"dropping-particle":"","family":"Mousavi Shafaee","given":"Seyed Masoud","non-dropping-particle":"","parse-names":false,"suffix":""},{"dropping-particle":"","family":"O 'driscoll","given":"Dylan","non-dropping-particle":"","parse-names":false,"suffix":""},{"dropping-particle":"","family":"Watts","given":"Stephen","non-dropping-particle":"","parse-names":false,"suffix":""},{"dropping-particle":"","family":"Kavanagh","given":"Jennifer","non-dropping-particle":"","parse-names":false,"suffix":""},{"dropping-particle":"","family":"Frederick","given":"Bryan","non-dropping-particle":"","parse-names":false,"suffix":""},{"dropping-particle":"","family":"Norlen","given":"Tova","non-dropping-particle":"","parse-names":false,"suffix":""},{"dropping-particle":"","family":"O'Mahony","given":"Angela","non-dropping-particle":"","parse-names":false,"suffix":""},{"dropping-particle":"","family":"Voorhies","given":"Phoenix","non-dropping-particle":"","parse-names":false,"suffix":""},{"dropping-particle":"","family":"Szayna","given":"Thomas","non-dropping-particle":"","parse-names":false,"suffix":""},{"dropping-particle":"","family":"Spalding","given":"Nancy","non-dropping-particle":"","parse-names":false,"suffix":""},{"dropping-particle":"","family":"Jackson","given":"Matthew O.","non-dropping-particle":"","parse-names":false,"suffix":""},{"dropping-particle":"","family":"Morelli","given":"Massimo","non-dropping-particle":"","parse-names":false,"suffix":""},{"dropping-particle":"","family":"Satpathy","given":"Biswajit","non-dropping-particle":"","parse-names":false,"suffix":""},{"dropping-particle":"","family":"Muniapan","given":"Balakrishnan","non-dropping-particle":"","parse-names":false,"suffix":""},{"dropping-particle":"","family":"Dass","given":"Mohan","non-dropping-particle":"","parse-names":false,"suffix":""},{"dropping-particle":"","family":"Katsamunska","given":"Polya","non-dropping-particle":"","parse-names":false,"suffix":""},{"dropping-particle":"","family":"Pamuk","given":"Yasemin","non-dropping-particle":"","parse-names":false,"suffix":""},{"dropping-particle":"","family":"Stahn","given":"Andreas","non-dropping-particle":"","parse-names":false,"suffix":""},{"dropping-particle":"","family":"Commission","given":"European","non-dropping-particle":"","parse-names":false,"suffix":""},{"dropping-particle":"","family":"Piccone","given":"T E D","non-dropping-particle":"","parse-names":false,"suffix":""},{"dropping-particle":"","family":"Annan","given":"Mr. Kofi","non-dropping-particle":"","parse-names":false,"suffix":""},{"dropping-particle":"","family":"Djankov","given":"Simeon","non-dropping-particle":"","parse-names":false,"suffix":""},{"dropping-particle":"","family":"Reynal-Querol","given":"M","non-dropping-particle":"","parse-names":false,"suffix":""},{"dropping-particle":"","family":"Couttenier","given":"Mathieu","non-dropping-particle":"","parse-names":false,"suffix":""},{"dropping-particle":"","family":"Soubeyran","given":"Raphaël","non-dropping-particle":"","parse-names":false,"suffix":""},{"dropping-particle":"","family":"Vym","given":"Petr","non-dropping-particle":"","parse-names":false,"suffix":""},{"dropping-particle":"","family":"Prague","given":"Economics","non-dropping-particle":"","parse-names":false,"suffix":""},{"dropping-particle":"","family":"World Bank","given":"","non-dropping-particle":"","parse-names":false,"suffix":""},{"dropping-particle":"","family":"Bodea","given":"Cristina","non-dropping-particle":"","parse-names":false,"suffix":""},{"dropping-particle":"","family":"Sambanis","given":"Nicholas","non-dropping-particle":"","parse-names":false,"suffix":""},{"dropping-particle":"","family":"Florea","given":"Adrian","non-dropping-particle":"","parse-names":false,"suffix":""},{"dropping-particle":"","family":"Florea","given":"Adrian","non-dropping-particle":"","parse-names":false,"suffix":""},{"dropping-particle":"","family":"Karimi","given":"Mahdi","non-dropping-particle":"","parse-names":false,"suffix":""},{"dropping-particle":"","family":"Mousavi Shafaee","given":"Seyed Masoud","non-dropping-particle":"","parse-names":false,"suffix":""},{"dropping-particle":"","family":"Spalding","given":"Nancy","non-dropping-particle":"","parse-names":false,"suffix":""},{"dropping-particle":"","family":"Sambanis","given":"Nicholas","non-dropping-particle":"","parse-names":false,"suffix":""},{"dropping-particle":"","family":"فاطم</w:instrText>
      </w:r>
      <w:r w:rsidR="0051396A" w:rsidRPr="00AF45D3">
        <w:rPr>
          <w:rFonts w:hint="cs"/>
          <w:color w:val="FF0000"/>
        </w:rPr>
        <w:instrText>ی</w:instrText>
      </w:r>
      <w:r w:rsidR="0051396A" w:rsidRPr="00AF45D3">
        <w:rPr>
          <w:color w:val="FF0000"/>
        </w:rPr>
        <w:instrText>","given":"حسن","non-dropping-particle":"","parse-names":false,"suffix":""}],"container-title":"Uniwersytet śląski","editor":[{"dropping-particle":"","family":"G. Balint","given":"","non-dropping-particle":"","parse-names":false,"suffix":""},{"dropping-particle":"","family":"Antala","given":"B.","non-dropping-particle":"","parse-names":false,"suffix":""},{"dropping-particle":"","family":"Carty","given":"C.","non-dropping-particle":"","parse-names":false,"suffix":""},{"dropping-particle":"","family":"Mabieme","given":"J-M. A.","non-dropping-particle":"","parse-names":false,"suffix":""},{"dropping-particle":"","family":"Amar","given":"I. B.","non-dropping-particle":"","parse-names":false,"suffix":""},{"dropping-particle":"","family":"Kaplanova","given":"A.","non-dropping-particle":"","parse-names":false,"suffix":""}],"id":"ITEM-2","issue":"1","issued":{"date-parts":[["2015"]]},"page":"343-354","publisher":"Sağlık Bilimleri Enstitüsü","title":"Farklı Pişirme Yöntemlerinin Patateslerin Glisemik İndeks Değeri Üzerine Etkisi","type":"article-journal","volume":"7"},"uris":["http://www.mendeley.com/documents/?uuid=bbebc5a8-e1c9-3dd3-b574-d5e8aa9ac74b"]},{"id":"ITEM-3","itemData":{"DOI":"10.1038/ejcn.2013.25","ISSN":"09543007","PMID":"23422921","abstract":"Oat and barley foods have been shown to reduce human glycaemic response, compared to similar wheat foods or a glucose control. The strength of the evidence supporting the hypothesis that the soluble fibre, mixed linkage β-glucan, reduces glycaemic response was evaluated. A search of the literature was conducted to find clinical trials with acute glycaemic response as an end point using oat or barley products. Of the 76 human studies identified, 34 met the inclusion and exclusion criteria. Dose response and ratio of β-glucan to available carbohydrate as predictors of glycaemic response were assessed. Meals provided 0.3-12.1 g oat or barley β-glucan, and reduced glycaemic response by an average of 48±33 mmol·min/l compared to a suitable control. Regression analysis on 119 treatments indicated that change in glycaemic response (expressed as incremental area under the post-prandial blood-glucose curve) was greater for intact grains than for processed foods. For processed foods, glycaemic response was more strongly related to the β-glucan dose alone (r 2 =0.48, P&lt;0.0001) than to the ratio of β-glucan to the available carbohydrate (r 2 =0.25, P&lt;0.0001). For processed foods containing 4 g of β-glucan, the linear model predicted a decrease in glycaemic response of 27±3 mmol·min/l, and 76% of treatments significantly reduced glycaemic response. Thus, intact grains as well as a variety of processed oat and barley foods containing at least 4 g of β-glucan and 30-80 g available carbohydrate can significantly reduce post-prandial blood glucose. © 2013 Macmillan Publishers Limited All rights reserved.","author":[{"dropping-particle":"","family":"Tosh","given":"S. M.","non-dropping-particle":"","parse-names":false,"suffix":""}],"container-title":"European Journal of Clinical Nutrition","id":"ITEM-3","issue":"4","issued":{"date-parts":[["2013","4"]]},"page":"310-317","publisher":"Eur J Clin Nutr","title":"Review of human studies investigating the post-prandial blood-glucose lowering ability of oat and barley food products","type":"article","volume":"67"},"uris":["http://www.mendeley.com/documents/?uuid=613943a7-e527-3194-884c-e114887a727c"]}],"mendeley":{"formattedCitation":"[4–6]","plainTextFormattedCitation":"[4–6]","previouslyFormattedCitation":"[4–6]"},"properties":{"noteIndex":0},"schema":"https://github.com/citation-style-language/schema/raw/master/csl-citation.json"}</w:instrText>
      </w:r>
      <w:r w:rsidR="00A3541A" w:rsidRPr="00AF45D3">
        <w:rPr>
          <w:color w:val="FF0000"/>
        </w:rPr>
        <w:fldChar w:fldCharType="separate"/>
      </w:r>
      <w:r w:rsidR="00A907DF" w:rsidRPr="00AF45D3">
        <w:rPr>
          <w:noProof/>
          <w:color w:val="FF0000"/>
        </w:rPr>
        <w:t>[4–6]</w:t>
      </w:r>
      <w:r w:rsidR="00A3541A" w:rsidRPr="00AF45D3">
        <w:rPr>
          <w:color w:val="FF0000"/>
        </w:rPr>
        <w:fldChar w:fldCharType="end"/>
      </w:r>
      <w:r w:rsidR="00A3541A" w:rsidRPr="00AF45D3">
        <w:rPr>
          <w:color w:val="FF0000"/>
        </w:rPr>
        <w:t xml:space="preserve">. </w:t>
      </w:r>
      <w:r w:rsidRPr="00AF45D3">
        <w:rPr>
          <w:color w:val="FF0000"/>
        </w:rPr>
        <w:t xml:space="preserve">The nutritional contents of the bread types are shown in Table 1. </w:t>
      </w:r>
    </w:p>
    <w:p w14:paraId="3C0D1B3B" w14:textId="77777777" w:rsidR="00193638" w:rsidRPr="00CD6385" w:rsidRDefault="00193638" w:rsidP="00193638">
      <w:pPr>
        <w:pStyle w:val="ResimYazs"/>
        <w:keepNext/>
        <w:rPr>
          <w:b/>
          <w:bCs/>
          <w:i w:val="0"/>
          <w:iCs w:val="0"/>
          <w:color w:val="auto"/>
          <w:sz w:val="24"/>
          <w:szCs w:val="24"/>
        </w:rPr>
      </w:pPr>
      <w:r w:rsidRPr="00CD6385">
        <w:rPr>
          <w:b/>
          <w:bCs/>
          <w:i w:val="0"/>
          <w:iCs w:val="0"/>
          <w:color w:val="auto"/>
          <w:sz w:val="24"/>
          <w:szCs w:val="24"/>
        </w:rPr>
        <w:t xml:space="preserve">Table </w:t>
      </w:r>
      <w:r w:rsidRPr="00CD6385">
        <w:rPr>
          <w:b/>
          <w:bCs/>
          <w:i w:val="0"/>
          <w:iCs w:val="0"/>
          <w:color w:val="auto"/>
          <w:sz w:val="24"/>
          <w:szCs w:val="24"/>
        </w:rPr>
        <w:fldChar w:fldCharType="begin"/>
      </w:r>
      <w:r w:rsidRPr="00CD6385">
        <w:rPr>
          <w:b/>
          <w:bCs/>
          <w:i w:val="0"/>
          <w:iCs w:val="0"/>
          <w:color w:val="auto"/>
          <w:sz w:val="24"/>
          <w:szCs w:val="24"/>
        </w:rPr>
        <w:instrText xml:space="preserve"> SEQ Table \* ARABIC </w:instrText>
      </w:r>
      <w:r w:rsidRPr="00CD6385">
        <w:rPr>
          <w:b/>
          <w:bCs/>
          <w:i w:val="0"/>
          <w:iCs w:val="0"/>
          <w:color w:val="auto"/>
          <w:sz w:val="24"/>
          <w:szCs w:val="24"/>
        </w:rPr>
        <w:fldChar w:fldCharType="separate"/>
      </w:r>
      <w:r w:rsidRPr="00CD6385">
        <w:rPr>
          <w:b/>
          <w:bCs/>
          <w:i w:val="0"/>
          <w:iCs w:val="0"/>
          <w:noProof/>
          <w:color w:val="auto"/>
          <w:sz w:val="24"/>
          <w:szCs w:val="24"/>
        </w:rPr>
        <w:t>1</w:t>
      </w:r>
      <w:r w:rsidRPr="00CD6385">
        <w:rPr>
          <w:b/>
          <w:bCs/>
          <w:i w:val="0"/>
          <w:iCs w:val="0"/>
          <w:color w:val="auto"/>
          <w:sz w:val="24"/>
          <w:szCs w:val="24"/>
        </w:rPr>
        <w:fldChar w:fldCharType="end"/>
      </w:r>
      <w:r>
        <w:rPr>
          <w:b/>
          <w:bCs/>
          <w:i w:val="0"/>
          <w:iCs w:val="0"/>
          <w:color w:val="auto"/>
          <w:sz w:val="24"/>
          <w:szCs w:val="24"/>
        </w:rPr>
        <w:t xml:space="preserve"> </w:t>
      </w:r>
      <w:r w:rsidRPr="00CD6385">
        <w:rPr>
          <w:bCs/>
          <w:i w:val="0"/>
          <w:iCs w:val="0"/>
          <w:color w:val="auto"/>
          <w:sz w:val="24"/>
          <w:szCs w:val="24"/>
        </w:rPr>
        <w:t>Nutrient content of one test sample containing 30 g available carbohydrates</w:t>
      </w:r>
    </w:p>
    <w:tbl>
      <w:tblPr>
        <w:tblStyle w:val="DzTablo2"/>
        <w:tblW w:w="0" w:type="auto"/>
        <w:tblLook w:val="04A0" w:firstRow="1" w:lastRow="0" w:firstColumn="1" w:lastColumn="0" w:noHBand="0" w:noVBand="1"/>
      </w:tblPr>
      <w:tblGrid>
        <w:gridCol w:w="957"/>
        <w:gridCol w:w="926"/>
        <w:gridCol w:w="842"/>
        <w:gridCol w:w="1233"/>
        <w:gridCol w:w="1185"/>
        <w:gridCol w:w="808"/>
        <w:gridCol w:w="796"/>
        <w:gridCol w:w="789"/>
        <w:gridCol w:w="768"/>
        <w:gridCol w:w="768"/>
      </w:tblGrid>
      <w:tr w:rsidR="00193638" w:rsidRPr="005D7873" w14:paraId="0E98C7BC" w14:textId="77777777" w:rsidTr="00D873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1" w:type="dxa"/>
            <w:tcBorders>
              <w:top w:val="single" w:sz="4" w:space="0" w:color="000000" w:themeColor="text1"/>
              <w:bottom w:val="single" w:sz="4" w:space="0" w:color="000000" w:themeColor="text1"/>
            </w:tcBorders>
          </w:tcPr>
          <w:p w14:paraId="5DDA8285" w14:textId="77777777" w:rsidR="00193638" w:rsidRPr="005D7873" w:rsidRDefault="00193638" w:rsidP="00D87399">
            <w:pPr>
              <w:jc w:val="left"/>
              <w:rPr>
                <w:sz w:val="16"/>
                <w:szCs w:val="16"/>
              </w:rPr>
            </w:pPr>
            <w:r w:rsidRPr="005D7873">
              <w:rPr>
                <w:sz w:val="16"/>
                <w:szCs w:val="16"/>
              </w:rPr>
              <w:t>Type of Bread</w:t>
            </w:r>
          </w:p>
        </w:tc>
        <w:tc>
          <w:tcPr>
            <w:tcW w:w="1047" w:type="dxa"/>
            <w:tcBorders>
              <w:top w:val="single" w:sz="4" w:space="0" w:color="000000" w:themeColor="text1"/>
              <w:bottom w:val="single" w:sz="4" w:space="0" w:color="000000" w:themeColor="text1"/>
            </w:tcBorders>
          </w:tcPr>
          <w:p w14:paraId="22CE0B39" w14:textId="77777777" w:rsidR="00193638" w:rsidRPr="005D7873" w:rsidRDefault="00193638" w:rsidP="00D87399">
            <w:pPr>
              <w:jc w:val="left"/>
              <w:cnfStyle w:val="100000000000" w:firstRow="1" w:lastRow="0" w:firstColumn="0" w:lastColumn="0" w:oddVBand="0" w:evenVBand="0" w:oddHBand="0" w:evenHBand="0" w:firstRowFirstColumn="0" w:firstRowLastColumn="0" w:lastRowFirstColumn="0" w:lastRowLastColumn="0"/>
              <w:rPr>
                <w:sz w:val="16"/>
                <w:szCs w:val="16"/>
              </w:rPr>
            </w:pPr>
            <w:r w:rsidRPr="005D7873">
              <w:rPr>
                <w:sz w:val="16"/>
                <w:szCs w:val="16"/>
              </w:rPr>
              <w:t>Amount of Bread (g</w:t>
            </w:r>
            <w:r>
              <w:rPr>
                <w:sz w:val="16"/>
                <w:szCs w:val="16"/>
              </w:rPr>
              <w:t>/</w:t>
            </w:r>
            <w:r w:rsidRPr="004A4673">
              <w:rPr>
                <w:color w:val="FF0000"/>
                <w:sz w:val="16"/>
                <w:szCs w:val="16"/>
              </w:rPr>
              <w:t>per serving</w:t>
            </w:r>
            <w:r w:rsidRPr="005D7873">
              <w:rPr>
                <w:sz w:val="16"/>
                <w:szCs w:val="16"/>
              </w:rPr>
              <w:t>)</w:t>
            </w:r>
          </w:p>
        </w:tc>
        <w:tc>
          <w:tcPr>
            <w:tcW w:w="851" w:type="dxa"/>
            <w:tcBorders>
              <w:top w:val="single" w:sz="4" w:space="0" w:color="000000" w:themeColor="text1"/>
              <w:bottom w:val="single" w:sz="4" w:space="0" w:color="000000" w:themeColor="text1"/>
            </w:tcBorders>
          </w:tcPr>
          <w:p w14:paraId="55915A8E" w14:textId="77777777" w:rsidR="00193638" w:rsidRPr="005D7873" w:rsidRDefault="00193638" w:rsidP="00D87399">
            <w:pPr>
              <w:jc w:val="left"/>
              <w:cnfStyle w:val="100000000000" w:firstRow="1" w:lastRow="0" w:firstColumn="0" w:lastColumn="0" w:oddVBand="0" w:evenVBand="0" w:oddHBand="0" w:evenHBand="0" w:firstRowFirstColumn="0" w:firstRowLastColumn="0" w:lastRowFirstColumn="0" w:lastRowLastColumn="0"/>
              <w:rPr>
                <w:sz w:val="16"/>
                <w:szCs w:val="16"/>
              </w:rPr>
            </w:pPr>
            <w:r w:rsidRPr="005D7873">
              <w:rPr>
                <w:sz w:val="16"/>
                <w:szCs w:val="16"/>
              </w:rPr>
              <w:t>Energy (kcal</w:t>
            </w:r>
            <w:r>
              <w:rPr>
                <w:sz w:val="16"/>
                <w:szCs w:val="16"/>
              </w:rPr>
              <w:t>/</w:t>
            </w:r>
            <w:r w:rsidRPr="004A4673">
              <w:rPr>
                <w:color w:val="FF0000"/>
                <w:sz w:val="16"/>
                <w:szCs w:val="16"/>
              </w:rPr>
              <w:t>per serving</w:t>
            </w:r>
            <w:r w:rsidRPr="005D7873">
              <w:rPr>
                <w:sz w:val="16"/>
                <w:szCs w:val="16"/>
              </w:rPr>
              <w:t>)</w:t>
            </w:r>
          </w:p>
        </w:tc>
        <w:tc>
          <w:tcPr>
            <w:tcW w:w="1273" w:type="dxa"/>
            <w:tcBorders>
              <w:top w:val="single" w:sz="4" w:space="0" w:color="000000" w:themeColor="text1"/>
              <w:bottom w:val="single" w:sz="4" w:space="0" w:color="000000" w:themeColor="text1"/>
            </w:tcBorders>
          </w:tcPr>
          <w:p w14:paraId="444BD30D" w14:textId="77777777" w:rsidR="00193638" w:rsidRPr="005D7873" w:rsidRDefault="00193638" w:rsidP="00D87399">
            <w:pPr>
              <w:jc w:val="left"/>
              <w:cnfStyle w:val="100000000000" w:firstRow="1" w:lastRow="0" w:firstColumn="0" w:lastColumn="0" w:oddVBand="0" w:evenVBand="0" w:oddHBand="0" w:evenHBand="0" w:firstRowFirstColumn="0" w:firstRowLastColumn="0" w:lastRowFirstColumn="0" w:lastRowLastColumn="0"/>
              <w:rPr>
                <w:sz w:val="16"/>
                <w:szCs w:val="16"/>
              </w:rPr>
            </w:pPr>
            <w:r w:rsidRPr="005D7873">
              <w:rPr>
                <w:sz w:val="16"/>
                <w:szCs w:val="16"/>
              </w:rPr>
              <w:t>Available</w:t>
            </w:r>
            <w:r w:rsidRPr="005D7873">
              <w:t xml:space="preserve"> </w:t>
            </w:r>
            <w:r w:rsidRPr="005D7873">
              <w:rPr>
                <w:sz w:val="16"/>
                <w:szCs w:val="16"/>
              </w:rPr>
              <w:t>Carbohydrate (g</w:t>
            </w:r>
            <w:r>
              <w:rPr>
                <w:sz w:val="16"/>
                <w:szCs w:val="16"/>
              </w:rPr>
              <w:t>/</w:t>
            </w:r>
            <w:r w:rsidRPr="004A4673">
              <w:rPr>
                <w:color w:val="FF0000"/>
                <w:sz w:val="16"/>
                <w:szCs w:val="16"/>
              </w:rPr>
              <w:t>per serving</w:t>
            </w:r>
            <w:r w:rsidRPr="005D7873">
              <w:rPr>
                <w:sz w:val="16"/>
                <w:szCs w:val="16"/>
              </w:rPr>
              <w:t>)</w:t>
            </w:r>
          </w:p>
        </w:tc>
        <w:tc>
          <w:tcPr>
            <w:tcW w:w="1185" w:type="dxa"/>
            <w:tcBorders>
              <w:top w:val="single" w:sz="4" w:space="0" w:color="000000" w:themeColor="text1"/>
              <w:bottom w:val="single" w:sz="4" w:space="0" w:color="000000" w:themeColor="text1"/>
            </w:tcBorders>
          </w:tcPr>
          <w:p w14:paraId="2BEC6EEB" w14:textId="77777777" w:rsidR="00193638" w:rsidRPr="005D7873" w:rsidRDefault="00193638" w:rsidP="00D87399">
            <w:pPr>
              <w:jc w:val="left"/>
              <w:cnfStyle w:val="100000000000" w:firstRow="1" w:lastRow="0" w:firstColumn="0" w:lastColumn="0" w:oddVBand="0" w:evenVBand="0" w:oddHBand="0" w:evenHBand="0" w:firstRowFirstColumn="0" w:firstRowLastColumn="0" w:lastRowFirstColumn="0" w:lastRowLastColumn="0"/>
              <w:rPr>
                <w:sz w:val="16"/>
                <w:szCs w:val="16"/>
              </w:rPr>
            </w:pPr>
            <w:r w:rsidRPr="005D7873">
              <w:rPr>
                <w:sz w:val="16"/>
                <w:szCs w:val="16"/>
              </w:rPr>
              <w:t>Available Carbohydrate (%</w:t>
            </w:r>
            <w:r>
              <w:rPr>
                <w:sz w:val="16"/>
                <w:szCs w:val="16"/>
              </w:rPr>
              <w:t>/</w:t>
            </w:r>
            <w:r w:rsidRPr="004A4673">
              <w:rPr>
                <w:color w:val="FF0000"/>
                <w:sz w:val="16"/>
                <w:szCs w:val="16"/>
              </w:rPr>
              <w:t>per serving</w:t>
            </w:r>
            <w:r w:rsidRPr="005D7873">
              <w:rPr>
                <w:sz w:val="16"/>
                <w:szCs w:val="16"/>
              </w:rPr>
              <w:t>)</w:t>
            </w:r>
          </w:p>
        </w:tc>
        <w:tc>
          <w:tcPr>
            <w:tcW w:w="841" w:type="dxa"/>
            <w:tcBorders>
              <w:top w:val="single" w:sz="4" w:space="0" w:color="000000" w:themeColor="text1"/>
              <w:bottom w:val="single" w:sz="4" w:space="0" w:color="000000" w:themeColor="text1"/>
            </w:tcBorders>
          </w:tcPr>
          <w:p w14:paraId="2867F501" w14:textId="77777777" w:rsidR="00193638" w:rsidRPr="005D7873" w:rsidRDefault="00193638" w:rsidP="00D87399">
            <w:pPr>
              <w:jc w:val="left"/>
              <w:cnfStyle w:val="100000000000" w:firstRow="1" w:lastRow="0" w:firstColumn="0" w:lastColumn="0" w:oddVBand="0" w:evenVBand="0" w:oddHBand="0" w:evenHBand="0" w:firstRowFirstColumn="0" w:firstRowLastColumn="0" w:lastRowFirstColumn="0" w:lastRowLastColumn="0"/>
              <w:rPr>
                <w:sz w:val="16"/>
                <w:szCs w:val="16"/>
              </w:rPr>
            </w:pPr>
            <w:r w:rsidRPr="005D7873">
              <w:rPr>
                <w:sz w:val="16"/>
                <w:szCs w:val="16"/>
              </w:rPr>
              <w:t>Dietary fiber (g</w:t>
            </w:r>
            <w:r>
              <w:rPr>
                <w:sz w:val="16"/>
                <w:szCs w:val="16"/>
              </w:rPr>
              <w:t>/</w:t>
            </w:r>
            <w:r w:rsidRPr="004A4673">
              <w:rPr>
                <w:color w:val="FF0000"/>
                <w:sz w:val="16"/>
                <w:szCs w:val="16"/>
              </w:rPr>
              <w:t>per serving</w:t>
            </w:r>
            <w:r w:rsidRPr="005D7873">
              <w:rPr>
                <w:sz w:val="16"/>
                <w:szCs w:val="16"/>
              </w:rPr>
              <w:t>)</w:t>
            </w:r>
          </w:p>
        </w:tc>
        <w:tc>
          <w:tcPr>
            <w:tcW w:w="819" w:type="dxa"/>
            <w:tcBorders>
              <w:top w:val="single" w:sz="4" w:space="0" w:color="000000" w:themeColor="text1"/>
              <w:bottom w:val="single" w:sz="4" w:space="0" w:color="000000" w:themeColor="text1"/>
            </w:tcBorders>
          </w:tcPr>
          <w:p w14:paraId="372EF3B7" w14:textId="77777777" w:rsidR="00193638" w:rsidRPr="005D7873" w:rsidRDefault="00193638" w:rsidP="00D87399">
            <w:pPr>
              <w:jc w:val="left"/>
              <w:cnfStyle w:val="100000000000" w:firstRow="1" w:lastRow="0" w:firstColumn="0" w:lastColumn="0" w:oddVBand="0" w:evenVBand="0" w:oddHBand="0" w:evenHBand="0" w:firstRowFirstColumn="0" w:firstRowLastColumn="0" w:lastRowFirstColumn="0" w:lastRowLastColumn="0"/>
              <w:rPr>
                <w:sz w:val="16"/>
                <w:szCs w:val="16"/>
              </w:rPr>
            </w:pPr>
            <w:r w:rsidRPr="005D7873">
              <w:rPr>
                <w:sz w:val="16"/>
                <w:szCs w:val="16"/>
              </w:rPr>
              <w:t>Protein (g</w:t>
            </w:r>
            <w:r>
              <w:rPr>
                <w:sz w:val="16"/>
                <w:szCs w:val="16"/>
              </w:rPr>
              <w:t>/</w:t>
            </w:r>
            <w:r w:rsidRPr="004A4673">
              <w:rPr>
                <w:color w:val="FF0000"/>
                <w:sz w:val="16"/>
                <w:szCs w:val="16"/>
              </w:rPr>
              <w:t>per serving</w:t>
            </w:r>
            <w:r w:rsidRPr="005D7873">
              <w:rPr>
                <w:sz w:val="16"/>
                <w:szCs w:val="16"/>
              </w:rPr>
              <w:t>)</w:t>
            </w:r>
          </w:p>
        </w:tc>
        <w:tc>
          <w:tcPr>
            <w:tcW w:w="806" w:type="dxa"/>
            <w:tcBorders>
              <w:top w:val="single" w:sz="4" w:space="0" w:color="000000" w:themeColor="text1"/>
              <w:bottom w:val="single" w:sz="4" w:space="0" w:color="000000" w:themeColor="text1"/>
            </w:tcBorders>
          </w:tcPr>
          <w:p w14:paraId="1F4890D8" w14:textId="77777777" w:rsidR="00193638" w:rsidRPr="005D7873" w:rsidRDefault="00193638" w:rsidP="00D87399">
            <w:pPr>
              <w:jc w:val="left"/>
              <w:cnfStyle w:val="100000000000" w:firstRow="1" w:lastRow="0" w:firstColumn="0" w:lastColumn="0" w:oddVBand="0" w:evenVBand="0" w:oddHBand="0" w:evenHBand="0" w:firstRowFirstColumn="0" w:firstRowLastColumn="0" w:lastRowFirstColumn="0" w:lastRowLastColumn="0"/>
              <w:rPr>
                <w:sz w:val="16"/>
                <w:szCs w:val="16"/>
              </w:rPr>
            </w:pPr>
            <w:r w:rsidRPr="005D7873">
              <w:rPr>
                <w:sz w:val="16"/>
                <w:szCs w:val="16"/>
              </w:rPr>
              <w:t>Protein (%</w:t>
            </w:r>
            <w:r>
              <w:rPr>
                <w:sz w:val="16"/>
                <w:szCs w:val="16"/>
              </w:rPr>
              <w:t>/</w:t>
            </w:r>
            <w:r w:rsidRPr="004A4673">
              <w:rPr>
                <w:color w:val="FF0000"/>
                <w:sz w:val="16"/>
                <w:szCs w:val="16"/>
              </w:rPr>
              <w:t>per serving</w:t>
            </w:r>
            <w:r w:rsidRPr="005D7873">
              <w:rPr>
                <w:sz w:val="16"/>
                <w:szCs w:val="16"/>
              </w:rPr>
              <w:t>)</w:t>
            </w:r>
          </w:p>
        </w:tc>
        <w:tc>
          <w:tcPr>
            <w:tcW w:w="503" w:type="dxa"/>
            <w:tcBorders>
              <w:top w:val="single" w:sz="4" w:space="0" w:color="000000" w:themeColor="text1"/>
              <w:bottom w:val="single" w:sz="4" w:space="0" w:color="000000" w:themeColor="text1"/>
            </w:tcBorders>
          </w:tcPr>
          <w:p w14:paraId="3DE96E62" w14:textId="77777777" w:rsidR="00193638" w:rsidRPr="005D7873" w:rsidRDefault="00193638" w:rsidP="00D87399">
            <w:pPr>
              <w:jc w:val="left"/>
              <w:cnfStyle w:val="100000000000" w:firstRow="1" w:lastRow="0" w:firstColumn="0" w:lastColumn="0" w:oddVBand="0" w:evenVBand="0" w:oddHBand="0" w:evenHBand="0" w:firstRowFirstColumn="0" w:firstRowLastColumn="0" w:lastRowFirstColumn="0" w:lastRowLastColumn="0"/>
              <w:rPr>
                <w:sz w:val="16"/>
                <w:szCs w:val="16"/>
              </w:rPr>
            </w:pPr>
            <w:r w:rsidRPr="005D7873">
              <w:rPr>
                <w:sz w:val="16"/>
                <w:szCs w:val="16"/>
              </w:rPr>
              <w:t>Fat (g</w:t>
            </w:r>
            <w:r>
              <w:rPr>
                <w:sz w:val="16"/>
                <w:szCs w:val="16"/>
              </w:rPr>
              <w:t>/</w:t>
            </w:r>
            <w:r w:rsidRPr="004A4673">
              <w:rPr>
                <w:color w:val="FF0000"/>
                <w:sz w:val="16"/>
                <w:szCs w:val="16"/>
              </w:rPr>
              <w:t>per serving</w:t>
            </w:r>
            <w:r w:rsidRPr="005D7873">
              <w:rPr>
                <w:sz w:val="16"/>
                <w:szCs w:val="16"/>
              </w:rPr>
              <w:t>)</w:t>
            </w:r>
          </w:p>
        </w:tc>
        <w:tc>
          <w:tcPr>
            <w:tcW w:w="526" w:type="dxa"/>
            <w:tcBorders>
              <w:top w:val="single" w:sz="4" w:space="0" w:color="000000" w:themeColor="text1"/>
              <w:bottom w:val="single" w:sz="4" w:space="0" w:color="000000" w:themeColor="text1"/>
            </w:tcBorders>
          </w:tcPr>
          <w:p w14:paraId="3F3C7D1E" w14:textId="77777777" w:rsidR="00193638" w:rsidRPr="005D7873" w:rsidRDefault="00193638" w:rsidP="00D87399">
            <w:pPr>
              <w:jc w:val="left"/>
              <w:cnfStyle w:val="100000000000" w:firstRow="1" w:lastRow="0" w:firstColumn="0" w:lastColumn="0" w:oddVBand="0" w:evenVBand="0" w:oddHBand="0" w:evenHBand="0" w:firstRowFirstColumn="0" w:firstRowLastColumn="0" w:lastRowFirstColumn="0" w:lastRowLastColumn="0"/>
              <w:rPr>
                <w:sz w:val="16"/>
                <w:szCs w:val="16"/>
              </w:rPr>
            </w:pPr>
            <w:r w:rsidRPr="005D7873">
              <w:rPr>
                <w:sz w:val="16"/>
                <w:szCs w:val="16"/>
              </w:rPr>
              <w:t>Fat (%</w:t>
            </w:r>
            <w:r>
              <w:rPr>
                <w:sz w:val="16"/>
                <w:szCs w:val="16"/>
              </w:rPr>
              <w:t>/</w:t>
            </w:r>
            <w:r w:rsidRPr="004A4673">
              <w:rPr>
                <w:color w:val="FF0000"/>
                <w:sz w:val="16"/>
                <w:szCs w:val="16"/>
              </w:rPr>
              <w:t>per serving</w:t>
            </w:r>
            <w:r w:rsidRPr="005D7873">
              <w:rPr>
                <w:sz w:val="16"/>
                <w:szCs w:val="16"/>
              </w:rPr>
              <w:t>)</w:t>
            </w:r>
          </w:p>
        </w:tc>
      </w:tr>
      <w:tr w:rsidR="00193638" w:rsidRPr="005D7873" w14:paraId="6E7B741F" w14:textId="77777777" w:rsidTr="00D873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1" w:type="dxa"/>
            <w:tcBorders>
              <w:top w:val="single" w:sz="4" w:space="0" w:color="000000" w:themeColor="text1"/>
              <w:bottom w:val="nil"/>
            </w:tcBorders>
          </w:tcPr>
          <w:p w14:paraId="163336FD" w14:textId="77777777" w:rsidR="00193638" w:rsidRPr="005D7873" w:rsidRDefault="00193638" w:rsidP="00D87399">
            <w:pPr>
              <w:rPr>
                <w:b w:val="0"/>
                <w:bCs w:val="0"/>
                <w:sz w:val="16"/>
                <w:szCs w:val="16"/>
              </w:rPr>
            </w:pPr>
            <w:r w:rsidRPr="005D7873">
              <w:rPr>
                <w:b w:val="0"/>
                <w:bCs w:val="0"/>
                <w:sz w:val="16"/>
                <w:szCs w:val="16"/>
              </w:rPr>
              <w:t>RB</w:t>
            </w:r>
          </w:p>
        </w:tc>
        <w:tc>
          <w:tcPr>
            <w:tcW w:w="1047" w:type="dxa"/>
            <w:tcBorders>
              <w:top w:val="single" w:sz="4" w:space="0" w:color="000000" w:themeColor="text1"/>
              <w:bottom w:val="nil"/>
            </w:tcBorders>
          </w:tcPr>
          <w:p w14:paraId="45D14A85" w14:textId="77777777" w:rsidR="00193638" w:rsidRPr="005D7873" w:rsidRDefault="00193638" w:rsidP="00D87399">
            <w:pPr>
              <w:cnfStyle w:val="000000100000" w:firstRow="0" w:lastRow="0" w:firstColumn="0" w:lastColumn="0" w:oddVBand="0" w:evenVBand="0" w:oddHBand="1" w:evenHBand="0" w:firstRowFirstColumn="0" w:firstRowLastColumn="0" w:lastRowFirstColumn="0" w:lastRowLastColumn="0"/>
              <w:rPr>
                <w:sz w:val="16"/>
                <w:szCs w:val="16"/>
              </w:rPr>
            </w:pPr>
            <w:r w:rsidRPr="005D7873">
              <w:rPr>
                <w:sz w:val="16"/>
                <w:szCs w:val="16"/>
              </w:rPr>
              <w:t>71,0</w:t>
            </w:r>
          </w:p>
        </w:tc>
        <w:tc>
          <w:tcPr>
            <w:tcW w:w="851" w:type="dxa"/>
            <w:tcBorders>
              <w:top w:val="single" w:sz="4" w:space="0" w:color="000000" w:themeColor="text1"/>
              <w:bottom w:val="nil"/>
            </w:tcBorders>
          </w:tcPr>
          <w:p w14:paraId="0924BC84" w14:textId="77777777" w:rsidR="00193638" w:rsidRPr="005D7873" w:rsidRDefault="00193638" w:rsidP="00D87399">
            <w:pPr>
              <w:cnfStyle w:val="000000100000" w:firstRow="0" w:lastRow="0" w:firstColumn="0" w:lastColumn="0" w:oddVBand="0" w:evenVBand="0" w:oddHBand="1" w:evenHBand="0" w:firstRowFirstColumn="0" w:firstRowLastColumn="0" w:lastRowFirstColumn="0" w:lastRowLastColumn="0"/>
              <w:rPr>
                <w:sz w:val="16"/>
                <w:szCs w:val="16"/>
              </w:rPr>
            </w:pPr>
            <w:r w:rsidRPr="005D7873">
              <w:rPr>
                <w:sz w:val="16"/>
                <w:szCs w:val="16"/>
              </w:rPr>
              <w:t>168,0</w:t>
            </w:r>
          </w:p>
        </w:tc>
        <w:tc>
          <w:tcPr>
            <w:tcW w:w="1273" w:type="dxa"/>
            <w:tcBorders>
              <w:top w:val="single" w:sz="4" w:space="0" w:color="000000" w:themeColor="text1"/>
              <w:bottom w:val="nil"/>
            </w:tcBorders>
          </w:tcPr>
          <w:p w14:paraId="6160D284" w14:textId="77777777" w:rsidR="00193638" w:rsidRPr="005D7873" w:rsidRDefault="00193638" w:rsidP="00D87399">
            <w:pPr>
              <w:cnfStyle w:val="000000100000" w:firstRow="0" w:lastRow="0" w:firstColumn="0" w:lastColumn="0" w:oddVBand="0" w:evenVBand="0" w:oddHBand="1" w:evenHBand="0" w:firstRowFirstColumn="0" w:firstRowLastColumn="0" w:lastRowFirstColumn="0" w:lastRowLastColumn="0"/>
              <w:rPr>
                <w:sz w:val="16"/>
                <w:szCs w:val="16"/>
              </w:rPr>
            </w:pPr>
            <w:r w:rsidRPr="005D7873">
              <w:rPr>
                <w:sz w:val="16"/>
                <w:szCs w:val="16"/>
              </w:rPr>
              <w:t>30,0</w:t>
            </w:r>
          </w:p>
        </w:tc>
        <w:tc>
          <w:tcPr>
            <w:tcW w:w="1185" w:type="dxa"/>
            <w:tcBorders>
              <w:top w:val="single" w:sz="4" w:space="0" w:color="000000" w:themeColor="text1"/>
              <w:bottom w:val="nil"/>
            </w:tcBorders>
          </w:tcPr>
          <w:p w14:paraId="5A79057E" w14:textId="77777777" w:rsidR="00193638" w:rsidRPr="005D7873" w:rsidRDefault="00193638" w:rsidP="00D87399">
            <w:pPr>
              <w:cnfStyle w:val="000000100000" w:firstRow="0" w:lastRow="0" w:firstColumn="0" w:lastColumn="0" w:oddVBand="0" w:evenVBand="0" w:oddHBand="1" w:evenHBand="0" w:firstRowFirstColumn="0" w:firstRowLastColumn="0" w:lastRowFirstColumn="0" w:lastRowLastColumn="0"/>
              <w:rPr>
                <w:sz w:val="16"/>
                <w:szCs w:val="16"/>
              </w:rPr>
            </w:pPr>
            <w:r w:rsidRPr="005D7873">
              <w:rPr>
                <w:sz w:val="16"/>
                <w:szCs w:val="16"/>
              </w:rPr>
              <w:t>71,4</w:t>
            </w:r>
          </w:p>
        </w:tc>
        <w:tc>
          <w:tcPr>
            <w:tcW w:w="841" w:type="dxa"/>
            <w:tcBorders>
              <w:top w:val="single" w:sz="4" w:space="0" w:color="000000" w:themeColor="text1"/>
              <w:bottom w:val="nil"/>
            </w:tcBorders>
          </w:tcPr>
          <w:p w14:paraId="6FD4900E" w14:textId="77777777" w:rsidR="00193638" w:rsidRPr="005D7873" w:rsidRDefault="00193638" w:rsidP="00D87399">
            <w:pPr>
              <w:cnfStyle w:val="000000100000" w:firstRow="0" w:lastRow="0" w:firstColumn="0" w:lastColumn="0" w:oddVBand="0" w:evenVBand="0" w:oddHBand="1" w:evenHBand="0" w:firstRowFirstColumn="0" w:firstRowLastColumn="0" w:lastRowFirstColumn="0" w:lastRowLastColumn="0"/>
              <w:rPr>
                <w:sz w:val="16"/>
                <w:szCs w:val="16"/>
              </w:rPr>
            </w:pPr>
            <w:r w:rsidRPr="005D7873">
              <w:rPr>
                <w:sz w:val="16"/>
                <w:szCs w:val="16"/>
              </w:rPr>
              <w:t>1,5</w:t>
            </w:r>
          </w:p>
        </w:tc>
        <w:tc>
          <w:tcPr>
            <w:tcW w:w="819" w:type="dxa"/>
            <w:tcBorders>
              <w:top w:val="single" w:sz="4" w:space="0" w:color="000000" w:themeColor="text1"/>
              <w:bottom w:val="nil"/>
            </w:tcBorders>
          </w:tcPr>
          <w:p w14:paraId="48A76EC2" w14:textId="77777777" w:rsidR="00193638" w:rsidRPr="005D7873" w:rsidRDefault="00193638" w:rsidP="00D87399">
            <w:pPr>
              <w:cnfStyle w:val="000000100000" w:firstRow="0" w:lastRow="0" w:firstColumn="0" w:lastColumn="0" w:oddVBand="0" w:evenVBand="0" w:oddHBand="1" w:evenHBand="0" w:firstRowFirstColumn="0" w:firstRowLastColumn="0" w:lastRowFirstColumn="0" w:lastRowLastColumn="0"/>
              <w:rPr>
                <w:sz w:val="16"/>
                <w:szCs w:val="16"/>
              </w:rPr>
            </w:pPr>
            <w:r w:rsidRPr="005D7873">
              <w:rPr>
                <w:sz w:val="16"/>
                <w:szCs w:val="16"/>
              </w:rPr>
              <w:t>3,9</w:t>
            </w:r>
          </w:p>
        </w:tc>
        <w:tc>
          <w:tcPr>
            <w:tcW w:w="806" w:type="dxa"/>
            <w:tcBorders>
              <w:top w:val="single" w:sz="4" w:space="0" w:color="000000" w:themeColor="text1"/>
              <w:bottom w:val="nil"/>
            </w:tcBorders>
          </w:tcPr>
          <w:p w14:paraId="5A50E41D" w14:textId="77777777" w:rsidR="00193638" w:rsidRPr="005D7873" w:rsidRDefault="00193638" w:rsidP="00D87399">
            <w:pPr>
              <w:cnfStyle w:val="000000100000" w:firstRow="0" w:lastRow="0" w:firstColumn="0" w:lastColumn="0" w:oddVBand="0" w:evenVBand="0" w:oddHBand="1" w:evenHBand="0" w:firstRowFirstColumn="0" w:firstRowLastColumn="0" w:lastRowFirstColumn="0" w:lastRowLastColumn="0"/>
              <w:rPr>
                <w:sz w:val="16"/>
                <w:szCs w:val="16"/>
              </w:rPr>
            </w:pPr>
            <w:r w:rsidRPr="005D7873">
              <w:rPr>
                <w:sz w:val="16"/>
                <w:szCs w:val="16"/>
              </w:rPr>
              <w:t>9,3</w:t>
            </w:r>
          </w:p>
        </w:tc>
        <w:tc>
          <w:tcPr>
            <w:tcW w:w="503" w:type="dxa"/>
            <w:tcBorders>
              <w:top w:val="single" w:sz="4" w:space="0" w:color="000000" w:themeColor="text1"/>
              <w:bottom w:val="nil"/>
            </w:tcBorders>
          </w:tcPr>
          <w:p w14:paraId="6C4C0BFE" w14:textId="77777777" w:rsidR="00193638" w:rsidRPr="005D7873" w:rsidRDefault="00193638" w:rsidP="00D87399">
            <w:pPr>
              <w:cnfStyle w:val="000000100000" w:firstRow="0" w:lastRow="0" w:firstColumn="0" w:lastColumn="0" w:oddVBand="0" w:evenVBand="0" w:oddHBand="1" w:evenHBand="0" w:firstRowFirstColumn="0" w:firstRowLastColumn="0" w:lastRowFirstColumn="0" w:lastRowLastColumn="0"/>
              <w:rPr>
                <w:sz w:val="16"/>
                <w:szCs w:val="16"/>
              </w:rPr>
            </w:pPr>
            <w:r w:rsidRPr="005D7873">
              <w:rPr>
                <w:sz w:val="16"/>
                <w:szCs w:val="16"/>
              </w:rPr>
              <w:t>3,6</w:t>
            </w:r>
          </w:p>
        </w:tc>
        <w:tc>
          <w:tcPr>
            <w:tcW w:w="526" w:type="dxa"/>
            <w:tcBorders>
              <w:top w:val="single" w:sz="4" w:space="0" w:color="000000" w:themeColor="text1"/>
              <w:bottom w:val="nil"/>
            </w:tcBorders>
          </w:tcPr>
          <w:p w14:paraId="3C74F8D9" w14:textId="77777777" w:rsidR="00193638" w:rsidRPr="005D7873" w:rsidRDefault="00193638" w:rsidP="00D87399">
            <w:pPr>
              <w:cnfStyle w:val="000000100000" w:firstRow="0" w:lastRow="0" w:firstColumn="0" w:lastColumn="0" w:oddVBand="0" w:evenVBand="0" w:oddHBand="1" w:evenHBand="0" w:firstRowFirstColumn="0" w:firstRowLastColumn="0" w:lastRowFirstColumn="0" w:lastRowLastColumn="0"/>
              <w:rPr>
                <w:sz w:val="16"/>
                <w:szCs w:val="16"/>
              </w:rPr>
            </w:pPr>
            <w:r w:rsidRPr="005D7873">
              <w:rPr>
                <w:sz w:val="16"/>
                <w:szCs w:val="16"/>
              </w:rPr>
              <w:t>19,3</w:t>
            </w:r>
          </w:p>
        </w:tc>
      </w:tr>
      <w:tr w:rsidR="00193638" w:rsidRPr="005D7873" w14:paraId="7AA60830" w14:textId="77777777" w:rsidTr="00D87399">
        <w:tc>
          <w:tcPr>
            <w:cnfStyle w:val="001000000000" w:firstRow="0" w:lastRow="0" w:firstColumn="1" w:lastColumn="0" w:oddVBand="0" w:evenVBand="0" w:oddHBand="0" w:evenHBand="0" w:firstRowFirstColumn="0" w:firstRowLastColumn="0" w:lastRowFirstColumn="0" w:lastRowLastColumn="0"/>
            <w:tcW w:w="1221" w:type="dxa"/>
            <w:tcBorders>
              <w:top w:val="nil"/>
              <w:bottom w:val="nil"/>
            </w:tcBorders>
          </w:tcPr>
          <w:p w14:paraId="1122BA8E" w14:textId="77777777" w:rsidR="00193638" w:rsidRPr="005D7873" w:rsidRDefault="00193638" w:rsidP="00D87399">
            <w:pPr>
              <w:rPr>
                <w:b w:val="0"/>
                <w:bCs w:val="0"/>
                <w:sz w:val="16"/>
                <w:szCs w:val="16"/>
              </w:rPr>
            </w:pPr>
            <w:r w:rsidRPr="005D7873">
              <w:rPr>
                <w:b w:val="0"/>
                <w:bCs w:val="0"/>
                <w:sz w:val="16"/>
                <w:szCs w:val="16"/>
              </w:rPr>
              <w:t>WWB</w:t>
            </w:r>
          </w:p>
        </w:tc>
        <w:tc>
          <w:tcPr>
            <w:tcW w:w="1047" w:type="dxa"/>
            <w:tcBorders>
              <w:top w:val="nil"/>
              <w:bottom w:val="nil"/>
            </w:tcBorders>
          </w:tcPr>
          <w:p w14:paraId="7C5BA5A3" w14:textId="77777777" w:rsidR="00193638" w:rsidRPr="005D7873" w:rsidRDefault="00193638" w:rsidP="00D87399">
            <w:pPr>
              <w:cnfStyle w:val="000000000000" w:firstRow="0" w:lastRow="0" w:firstColumn="0" w:lastColumn="0" w:oddVBand="0" w:evenVBand="0" w:oddHBand="0" w:evenHBand="0" w:firstRowFirstColumn="0" w:firstRowLastColumn="0" w:lastRowFirstColumn="0" w:lastRowLastColumn="0"/>
              <w:rPr>
                <w:sz w:val="16"/>
                <w:szCs w:val="16"/>
              </w:rPr>
            </w:pPr>
            <w:r w:rsidRPr="005D7873">
              <w:rPr>
                <w:sz w:val="16"/>
                <w:szCs w:val="16"/>
              </w:rPr>
              <w:t>83,4</w:t>
            </w:r>
          </w:p>
        </w:tc>
        <w:tc>
          <w:tcPr>
            <w:tcW w:w="851" w:type="dxa"/>
            <w:tcBorders>
              <w:top w:val="nil"/>
              <w:bottom w:val="nil"/>
            </w:tcBorders>
          </w:tcPr>
          <w:p w14:paraId="62EE4610" w14:textId="77777777" w:rsidR="00193638" w:rsidRPr="005D7873" w:rsidRDefault="00193638" w:rsidP="00D87399">
            <w:pPr>
              <w:cnfStyle w:val="000000000000" w:firstRow="0" w:lastRow="0" w:firstColumn="0" w:lastColumn="0" w:oddVBand="0" w:evenVBand="0" w:oddHBand="0" w:evenHBand="0" w:firstRowFirstColumn="0" w:firstRowLastColumn="0" w:lastRowFirstColumn="0" w:lastRowLastColumn="0"/>
              <w:rPr>
                <w:sz w:val="16"/>
                <w:szCs w:val="16"/>
              </w:rPr>
            </w:pPr>
            <w:r w:rsidRPr="005D7873">
              <w:rPr>
                <w:sz w:val="16"/>
                <w:szCs w:val="16"/>
              </w:rPr>
              <w:t>184,2</w:t>
            </w:r>
          </w:p>
        </w:tc>
        <w:tc>
          <w:tcPr>
            <w:tcW w:w="1273" w:type="dxa"/>
            <w:tcBorders>
              <w:top w:val="nil"/>
              <w:bottom w:val="nil"/>
            </w:tcBorders>
          </w:tcPr>
          <w:p w14:paraId="6A02CAB9" w14:textId="77777777" w:rsidR="00193638" w:rsidRPr="005D7873" w:rsidRDefault="00193638" w:rsidP="00D87399">
            <w:pPr>
              <w:cnfStyle w:val="000000000000" w:firstRow="0" w:lastRow="0" w:firstColumn="0" w:lastColumn="0" w:oddVBand="0" w:evenVBand="0" w:oddHBand="0" w:evenHBand="0" w:firstRowFirstColumn="0" w:firstRowLastColumn="0" w:lastRowFirstColumn="0" w:lastRowLastColumn="0"/>
              <w:rPr>
                <w:sz w:val="16"/>
                <w:szCs w:val="16"/>
              </w:rPr>
            </w:pPr>
            <w:r w:rsidRPr="005D7873">
              <w:rPr>
                <w:sz w:val="16"/>
                <w:szCs w:val="16"/>
              </w:rPr>
              <w:t>30,0</w:t>
            </w:r>
          </w:p>
        </w:tc>
        <w:tc>
          <w:tcPr>
            <w:tcW w:w="1185" w:type="dxa"/>
            <w:tcBorders>
              <w:top w:val="nil"/>
              <w:bottom w:val="nil"/>
            </w:tcBorders>
          </w:tcPr>
          <w:p w14:paraId="0827FF2A" w14:textId="77777777" w:rsidR="00193638" w:rsidRPr="005D7873" w:rsidRDefault="00193638" w:rsidP="00D87399">
            <w:pPr>
              <w:cnfStyle w:val="000000000000" w:firstRow="0" w:lastRow="0" w:firstColumn="0" w:lastColumn="0" w:oddVBand="0" w:evenVBand="0" w:oddHBand="0" w:evenHBand="0" w:firstRowFirstColumn="0" w:firstRowLastColumn="0" w:lastRowFirstColumn="0" w:lastRowLastColumn="0"/>
              <w:rPr>
                <w:sz w:val="16"/>
                <w:szCs w:val="16"/>
              </w:rPr>
            </w:pPr>
            <w:r w:rsidRPr="005D7873">
              <w:rPr>
                <w:sz w:val="16"/>
                <w:szCs w:val="16"/>
              </w:rPr>
              <w:t>65,2</w:t>
            </w:r>
          </w:p>
        </w:tc>
        <w:tc>
          <w:tcPr>
            <w:tcW w:w="841" w:type="dxa"/>
            <w:tcBorders>
              <w:top w:val="nil"/>
              <w:bottom w:val="nil"/>
            </w:tcBorders>
          </w:tcPr>
          <w:p w14:paraId="0174AD94" w14:textId="77777777" w:rsidR="00193638" w:rsidRPr="005D7873" w:rsidRDefault="00193638" w:rsidP="00D87399">
            <w:pPr>
              <w:cnfStyle w:val="000000000000" w:firstRow="0" w:lastRow="0" w:firstColumn="0" w:lastColumn="0" w:oddVBand="0" w:evenVBand="0" w:oddHBand="0" w:evenHBand="0" w:firstRowFirstColumn="0" w:firstRowLastColumn="0" w:lastRowFirstColumn="0" w:lastRowLastColumn="0"/>
              <w:rPr>
                <w:sz w:val="16"/>
                <w:szCs w:val="16"/>
              </w:rPr>
            </w:pPr>
            <w:r w:rsidRPr="005D7873">
              <w:rPr>
                <w:sz w:val="16"/>
                <w:szCs w:val="16"/>
              </w:rPr>
              <w:t>8,9</w:t>
            </w:r>
          </w:p>
        </w:tc>
        <w:tc>
          <w:tcPr>
            <w:tcW w:w="819" w:type="dxa"/>
            <w:tcBorders>
              <w:top w:val="nil"/>
              <w:bottom w:val="nil"/>
            </w:tcBorders>
          </w:tcPr>
          <w:p w14:paraId="7433A688" w14:textId="77777777" w:rsidR="00193638" w:rsidRPr="005D7873" w:rsidRDefault="00193638" w:rsidP="00D87399">
            <w:pPr>
              <w:cnfStyle w:val="000000000000" w:firstRow="0" w:lastRow="0" w:firstColumn="0" w:lastColumn="0" w:oddVBand="0" w:evenVBand="0" w:oddHBand="0" w:evenHBand="0" w:firstRowFirstColumn="0" w:firstRowLastColumn="0" w:lastRowFirstColumn="0" w:lastRowLastColumn="0"/>
              <w:rPr>
                <w:sz w:val="16"/>
                <w:szCs w:val="16"/>
              </w:rPr>
            </w:pPr>
            <w:r w:rsidRPr="005D7873">
              <w:rPr>
                <w:sz w:val="16"/>
                <w:szCs w:val="16"/>
              </w:rPr>
              <w:t xml:space="preserve">6,6 </w:t>
            </w:r>
          </w:p>
        </w:tc>
        <w:tc>
          <w:tcPr>
            <w:tcW w:w="806" w:type="dxa"/>
            <w:tcBorders>
              <w:top w:val="nil"/>
              <w:bottom w:val="nil"/>
            </w:tcBorders>
          </w:tcPr>
          <w:p w14:paraId="7C88B035" w14:textId="77777777" w:rsidR="00193638" w:rsidRPr="005D7873" w:rsidRDefault="00193638" w:rsidP="00D87399">
            <w:pPr>
              <w:cnfStyle w:val="000000000000" w:firstRow="0" w:lastRow="0" w:firstColumn="0" w:lastColumn="0" w:oddVBand="0" w:evenVBand="0" w:oddHBand="0" w:evenHBand="0" w:firstRowFirstColumn="0" w:firstRowLastColumn="0" w:lastRowFirstColumn="0" w:lastRowLastColumn="0"/>
              <w:rPr>
                <w:sz w:val="16"/>
                <w:szCs w:val="16"/>
              </w:rPr>
            </w:pPr>
            <w:r w:rsidRPr="005D7873">
              <w:rPr>
                <w:sz w:val="16"/>
                <w:szCs w:val="16"/>
              </w:rPr>
              <w:t>14,3</w:t>
            </w:r>
          </w:p>
        </w:tc>
        <w:tc>
          <w:tcPr>
            <w:tcW w:w="503" w:type="dxa"/>
            <w:tcBorders>
              <w:top w:val="nil"/>
              <w:bottom w:val="nil"/>
            </w:tcBorders>
          </w:tcPr>
          <w:p w14:paraId="22DCCFED" w14:textId="77777777" w:rsidR="00193638" w:rsidRPr="005D7873" w:rsidRDefault="00193638" w:rsidP="00D87399">
            <w:pPr>
              <w:cnfStyle w:val="000000000000" w:firstRow="0" w:lastRow="0" w:firstColumn="0" w:lastColumn="0" w:oddVBand="0" w:evenVBand="0" w:oddHBand="0" w:evenHBand="0" w:firstRowFirstColumn="0" w:firstRowLastColumn="0" w:lastRowFirstColumn="0" w:lastRowLastColumn="0"/>
              <w:rPr>
                <w:sz w:val="16"/>
                <w:szCs w:val="16"/>
              </w:rPr>
            </w:pPr>
            <w:r w:rsidRPr="005D7873">
              <w:rPr>
                <w:sz w:val="16"/>
                <w:szCs w:val="16"/>
              </w:rPr>
              <w:t>4,2</w:t>
            </w:r>
          </w:p>
        </w:tc>
        <w:tc>
          <w:tcPr>
            <w:tcW w:w="526" w:type="dxa"/>
            <w:tcBorders>
              <w:top w:val="nil"/>
              <w:bottom w:val="nil"/>
            </w:tcBorders>
          </w:tcPr>
          <w:p w14:paraId="0C217584" w14:textId="77777777" w:rsidR="00193638" w:rsidRPr="005D7873" w:rsidRDefault="00193638" w:rsidP="00D87399">
            <w:pPr>
              <w:cnfStyle w:val="000000000000" w:firstRow="0" w:lastRow="0" w:firstColumn="0" w:lastColumn="0" w:oddVBand="0" w:evenVBand="0" w:oddHBand="0" w:evenHBand="0" w:firstRowFirstColumn="0" w:firstRowLastColumn="0" w:lastRowFirstColumn="0" w:lastRowLastColumn="0"/>
              <w:rPr>
                <w:sz w:val="16"/>
                <w:szCs w:val="16"/>
              </w:rPr>
            </w:pPr>
            <w:r w:rsidRPr="005D7873">
              <w:rPr>
                <w:sz w:val="16"/>
                <w:szCs w:val="16"/>
              </w:rPr>
              <w:t>20,5</w:t>
            </w:r>
          </w:p>
        </w:tc>
      </w:tr>
      <w:tr w:rsidR="00193638" w:rsidRPr="005D7873" w14:paraId="1BA7848A" w14:textId="77777777" w:rsidTr="00D873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1" w:type="dxa"/>
            <w:tcBorders>
              <w:top w:val="nil"/>
              <w:bottom w:val="nil"/>
            </w:tcBorders>
          </w:tcPr>
          <w:p w14:paraId="4E952554" w14:textId="77777777" w:rsidR="00193638" w:rsidRPr="005D7873" w:rsidRDefault="00193638" w:rsidP="00D87399">
            <w:pPr>
              <w:rPr>
                <w:b w:val="0"/>
                <w:bCs w:val="0"/>
                <w:sz w:val="16"/>
                <w:szCs w:val="16"/>
              </w:rPr>
            </w:pPr>
            <w:r w:rsidRPr="005D7873">
              <w:rPr>
                <w:b w:val="0"/>
                <w:bCs w:val="0"/>
                <w:sz w:val="16"/>
                <w:szCs w:val="16"/>
              </w:rPr>
              <w:t>BWB</w:t>
            </w:r>
          </w:p>
        </w:tc>
        <w:tc>
          <w:tcPr>
            <w:tcW w:w="1047" w:type="dxa"/>
            <w:tcBorders>
              <w:top w:val="nil"/>
              <w:bottom w:val="nil"/>
            </w:tcBorders>
          </w:tcPr>
          <w:p w14:paraId="4AC5E626" w14:textId="77777777" w:rsidR="00193638" w:rsidRPr="005D7873" w:rsidRDefault="00193638" w:rsidP="00D87399">
            <w:pPr>
              <w:cnfStyle w:val="000000100000" w:firstRow="0" w:lastRow="0" w:firstColumn="0" w:lastColumn="0" w:oddVBand="0" w:evenVBand="0" w:oddHBand="1" w:evenHBand="0" w:firstRowFirstColumn="0" w:firstRowLastColumn="0" w:lastRowFirstColumn="0" w:lastRowLastColumn="0"/>
              <w:rPr>
                <w:sz w:val="16"/>
                <w:szCs w:val="16"/>
              </w:rPr>
            </w:pPr>
            <w:r w:rsidRPr="005D7873">
              <w:rPr>
                <w:sz w:val="16"/>
                <w:szCs w:val="16"/>
              </w:rPr>
              <w:t>83,6</w:t>
            </w:r>
          </w:p>
        </w:tc>
        <w:tc>
          <w:tcPr>
            <w:tcW w:w="851" w:type="dxa"/>
            <w:tcBorders>
              <w:top w:val="nil"/>
              <w:bottom w:val="nil"/>
            </w:tcBorders>
          </w:tcPr>
          <w:p w14:paraId="251B2975" w14:textId="77777777" w:rsidR="00193638" w:rsidRPr="005D7873" w:rsidRDefault="00193638" w:rsidP="00D87399">
            <w:pPr>
              <w:cnfStyle w:val="000000100000" w:firstRow="0" w:lastRow="0" w:firstColumn="0" w:lastColumn="0" w:oddVBand="0" w:evenVBand="0" w:oddHBand="1" w:evenHBand="0" w:firstRowFirstColumn="0" w:firstRowLastColumn="0" w:lastRowFirstColumn="0" w:lastRowLastColumn="0"/>
              <w:rPr>
                <w:sz w:val="16"/>
                <w:szCs w:val="16"/>
              </w:rPr>
            </w:pPr>
            <w:r w:rsidRPr="005D7873">
              <w:rPr>
                <w:sz w:val="16"/>
                <w:szCs w:val="16"/>
              </w:rPr>
              <w:t>181,7</w:t>
            </w:r>
          </w:p>
        </w:tc>
        <w:tc>
          <w:tcPr>
            <w:tcW w:w="1273" w:type="dxa"/>
            <w:tcBorders>
              <w:top w:val="nil"/>
              <w:bottom w:val="nil"/>
            </w:tcBorders>
          </w:tcPr>
          <w:p w14:paraId="1E122554" w14:textId="77777777" w:rsidR="00193638" w:rsidRPr="005D7873" w:rsidRDefault="00193638" w:rsidP="00D87399">
            <w:pPr>
              <w:cnfStyle w:val="000000100000" w:firstRow="0" w:lastRow="0" w:firstColumn="0" w:lastColumn="0" w:oddVBand="0" w:evenVBand="0" w:oddHBand="1" w:evenHBand="0" w:firstRowFirstColumn="0" w:firstRowLastColumn="0" w:lastRowFirstColumn="0" w:lastRowLastColumn="0"/>
              <w:rPr>
                <w:sz w:val="16"/>
                <w:szCs w:val="16"/>
              </w:rPr>
            </w:pPr>
            <w:r w:rsidRPr="005D7873">
              <w:rPr>
                <w:sz w:val="16"/>
                <w:szCs w:val="16"/>
              </w:rPr>
              <w:t>30,0</w:t>
            </w:r>
          </w:p>
        </w:tc>
        <w:tc>
          <w:tcPr>
            <w:tcW w:w="1185" w:type="dxa"/>
            <w:tcBorders>
              <w:top w:val="nil"/>
              <w:bottom w:val="nil"/>
            </w:tcBorders>
          </w:tcPr>
          <w:p w14:paraId="392EC75B" w14:textId="77777777" w:rsidR="00193638" w:rsidRPr="005D7873" w:rsidRDefault="00193638" w:rsidP="00D87399">
            <w:pPr>
              <w:cnfStyle w:val="000000100000" w:firstRow="0" w:lastRow="0" w:firstColumn="0" w:lastColumn="0" w:oddVBand="0" w:evenVBand="0" w:oddHBand="1" w:evenHBand="0" w:firstRowFirstColumn="0" w:firstRowLastColumn="0" w:lastRowFirstColumn="0" w:lastRowLastColumn="0"/>
              <w:rPr>
                <w:sz w:val="16"/>
                <w:szCs w:val="16"/>
              </w:rPr>
            </w:pPr>
            <w:r w:rsidRPr="005D7873">
              <w:rPr>
                <w:sz w:val="16"/>
                <w:szCs w:val="16"/>
              </w:rPr>
              <w:t>66,1</w:t>
            </w:r>
          </w:p>
        </w:tc>
        <w:tc>
          <w:tcPr>
            <w:tcW w:w="841" w:type="dxa"/>
            <w:tcBorders>
              <w:top w:val="nil"/>
              <w:bottom w:val="nil"/>
            </w:tcBorders>
          </w:tcPr>
          <w:p w14:paraId="52A2BE9B" w14:textId="77777777" w:rsidR="00193638" w:rsidRPr="005D7873" w:rsidRDefault="00193638" w:rsidP="00D87399">
            <w:pPr>
              <w:cnfStyle w:val="000000100000" w:firstRow="0" w:lastRow="0" w:firstColumn="0" w:lastColumn="0" w:oddVBand="0" w:evenVBand="0" w:oddHBand="1" w:evenHBand="0" w:firstRowFirstColumn="0" w:firstRowLastColumn="0" w:lastRowFirstColumn="0" w:lastRowLastColumn="0"/>
              <w:rPr>
                <w:sz w:val="16"/>
                <w:szCs w:val="16"/>
              </w:rPr>
            </w:pPr>
            <w:r w:rsidRPr="005D7873">
              <w:rPr>
                <w:sz w:val="16"/>
                <w:szCs w:val="16"/>
              </w:rPr>
              <w:t>8,9</w:t>
            </w:r>
          </w:p>
        </w:tc>
        <w:tc>
          <w:tcPr>
            <w:tcW w:w="819" w:type="dxa"/>
            <w:tcBorders>
              <w:top w:val="nil"/>
              <w:bottom w:val="nil"/>
            </w:tcBorders>
          </w:tcPr>
          <w:p w14:paraId="48772443" w14:textId="77777777" w:rsidR="00193638" w:rsidRPr="005D7873" w:rsidRDefault="00193638" w:rsidP="00D87399">
            <w:pPr>
              <w:cnfStyle w:val="000000100000" w:firstRow="0" w:lastRow="0" w:firstColumn="0" w:lastColumn="0" w:oddVBand="0" w:evenVBand="0" w:oddHBand="1" w:evenHBand="0" w:firstRowFirstColumn="0" w:firstRowLastColumn="0" w:lastRowFirstColumn="0" w:lastRowLastColumn="0"/>
              <w:rPr>
                <w:sz w:val="16"/>
                <w:szCs w:val="16"/>
              </w:rPr>
            </w:pPr>
            <w:r w:rsidRPr="005D7873">
              <w:rPr>
                <w:sz w:val="16"/>
                <w:szCs w:val="16"/>
              </w:rPr>
              <w:t>6,2</w:t>
            </w:r>
          </w:p>
        </w:tc>
        <w:tc>
          <w:tcPr>
            <w:tcW w:w="806" w:type="dxa"/>
            <w:tcBorders>
              <w:top w:val="nil"/>
              <w:bottom w:val="nil"/>
            </w:tcBorders>
          </w:tcPr>
          <w:p w14:paraId="1DB70405" w14:textId="77777777" w:rsidR="00193638" w:rsidRPr="005D7873" w:rsidRDefault="00193638" w:rsidP="00D87399">
            <w:pPr>
              <w:cnfStyle w:val="000000100000" w:firstRow="0" w:lastRow="0" w:firstColumn="0" w:lastColumn="0" w:oddVBand="0" w:evenVBand="0" w:oddHBand="1" w:evenHBand="0" w:firstRowFirstColumn="0" w:firstRowLastColumn="0" w:lastRowFirstColumn="0" w:lastRowLastColumn="0"/>
              <w:rPr>
                <w:sz w:val="16"/>
                <w:szCs w:val="16"/>
              </w:rPr>
            </w:pPr>
            <w:r w:rsidRPr="005D7873">
              <w:rPr>
                <w:sz w:val="16"/>
                <w:szCs w:val="16"/>
              </w:rPr>
              <w:t>13,6</w:t>
            </w:r>
          </w:p>
        </w:tc>
        <w:tc>
          <w:tcPr>
            <w:tcW w:w="503" w:type="dxa"/>
            <w:tcBorders>
              <w:top w:val="nil"/>
              <w:bottom w:val="nil"/>
            </w:tcBorders>
          </w:tcPr>
          <w:p w14:paraId="1121F9F4" w14:textId="77777777" w:rsidR="00193638" w:rsidRPr="005D7873" w:rsidRDefault="00193638" w:rsidP="00D87399">
            <w:pPr>
              <w:cnfStyle w:val="000000100000" w:firstRow="0" w:lastRow="0" w:firstColumn="0" w:lastColumn="0" w:oddVBand="0" w:evenVBand="0" w:oddHBand="1" w:evenHBand="0" w:firstRowFirstColumn="0" w:firstRowLastColumn="0" w:lastRowFirstColumn="0" w:lastRowLastColumn="0"/>
              <w:rPr>
                <w:sz w:val="16"/>
                <w:szCs w:val="16"/>
              </w:rPr>
            </w:pPr>
            <w:r w:rsidRPr="005D7873">
              <w:rPr>
                <w:sz w:val="16"/>
                <w:szCs w:val="16"/>
              </w:rPr>
              <w:t>4,1</w:t>
            </w:r>
          </w:p>
        </w:tc>
        <w:tc>
          <w:tcPr>
            <w:tcW w:w="526" w:type="dxa"/>
            <w:tcBorders>
              <w:top w:val="nil"/>
              <w:bottom w:val="nil"/>
            </w:tcBorders>
          </w:tcPr>
          <w:p w14:paraId="5F7EB9B7" w14:textId="77777777" w:rsidR="00193638" w:rsidRPr="005D7873" w:rsidRDefault="00193638" w:rsidP="00D87399">
            <w:pPr>
              <w:cnfStyle w:val="000000100000" w:firstRow="0" w:lastRow="0" w:firstColumn="0" w:lastColumn="0" w:oddVBand="0" w:evenVBand="0" w:oddHBand="1" w:evenHBand="0" w:firstRowFirstColumn="0" w:firstRowLastColumn="0" w:lastRowFirstColumn="0" w:lastRowLastColumn="0"/>
              <w:rPr>
                <w:sz w:val="16"/>
                <w:szCs w:val="16"/>
              </w:rPr>
            </w:pPr>
            <w:r w:rsidRPr="005D7873">
              <w:rPr>
                <w:sz w:val="16"/>
                <w:szCs w:val="16"/>
              </w:rPr>
              <w:t>20,3</w:t>
            </w:r>
          </w:p>
        </w:tc>
      </w:tr>
      <w:tr w:rsidR="00193638" w:rsidRPr="005D7873" w14:paraId="01E6BE6F" w14:textId="77777777" w:rsidTr="00D87399">
        <w:tc>
          <w:tcPr>
            <w:cnfStyle w:val="001000000000" w:firstRow="0" w:lastRow="0" w:firstColumn="1" w:lastColumn="0" w:oddVBand="0" w:evenVBand="0" w:oddHBand="0" w:evenHBand="0" w:firstRowFirstColumn="0" w:firstRowLastColumn="0" w:lastRowFirstColumn="0" w:lastRowLastColumn="0"/>
            <w:tcW w:w="1221" w:type="dxa"/>
            <w:tcBorders>
              <w:top w:val="nil"/>
              <w:bottom w:val="single" w:sz="4" w:space="0" w:color="000000" w:themeColor="text1"/>
            </w:tcBorders>
          </w:tcPr>
          <w:p w14:paraId="04945A8F" w14:textId="77777777" w:rsidR="00193638" w:rsidRPr="005D7873" w:rsidRDefault="00193638" w:rsidP="00D87399">
            <w:pPr>
              <w:rPr>
                <w:b w:val="0"/>
                <w:bCs w:val="0"/>
                <w:sz w:val="16"/>
                <w:szCs w:val="16"/>
              </w:rPr>
            </w:pPr>
            <w:r w:rsidRPr="005D7873">
              <w:rPr>
                <w:b w:val="0"/>
                <w:bCs w:val="0"/>
                <w:sz w:val="16"/>
                <w:szCs w:val="16"/>
              </w:rPr>
              <w:t>CB</w:t>
            </w:r>
          </w:p>
        </w:tc>
        <w:tc>
          <w:tcPr>
            <w:tcW w:w="1047" w:type="dxa"/>
            <w:tcBorders>
              <w:top w:val="nil"/>
              <w:bottom w:val="single" w:sz="4" w:space="0" w:color="000000" w:themeColor="text1"/>
            </w:tcBorders>
          </w:tcPr>
          <w:p w14:paraId="4A62CACF" w14:textId="77777777" w:rsidR="00193638" w:rsidRPr="005D7873" w:rsidRDefault="00193638" w:rsidP="00D87399">
            <w:pPr>
              <w:cnfStyle w:val="000000000000" w:firstRow="0" w:lastRow="0" w:firstColumn="0" w:lastColumn="0" w:oddVBand="0" w:evenVBand="0" w:oddHBand="0" w:evenHBand="0" w:firstRowFirstColumn="0" w:firstRowLastColumn="0" w:lastRowFirstColumn="0" w:lastRowLastColumn="0"/>
              <w:rPr>
                <w:sz w:val="16"/>
                <w:szCs w:val="16"/>
              </w:rPr>
            </w:pPr>
            <w:r w:rsidRPr="005D7873">
              <w:rPr>
                <w:sz w:val="16"/>
                <w:szCs w:val="16"/>
              </w:rPr>
              <w:t>69,0</w:t>
            </w:r>
          </w:p>
        </w:tc>
        <w:tc>
          <w:tcPr>
            <w:tcW w:w="851" w:type="dxa"/>
            <w:tcBorders>
              <w:top w:val="nil"/>
              <w:bottom w:val="single" w:sz="4" w:space="0" w:color="000000" w:themeColor="text1"/>
            </w:tcBorders>
          </w:tcPr>
          <w:p w14:paraId="4B0B3D24" w14:textId="77777777" w:rsidR="00193638" w:rsidRPr="005D7873" w:rsidRDefault="00193638" w:rsidP="00D87399">
            <w:pPr>
              <w:cnfStyle w:val="000000000000" w:firstRow="0" w:lastRow="0" w:firstColumn="0" w:lastColumn="0" w:oddVBand="0" w:evenVBand="0" w:oddHBand="0" w:evenHBand="0" w:firstRowFirstColumn="0" w:firstRowLastColumn="0" w:lastRowFirstColumn="0" w:lastRowLastColumn="0"/>
              <w:rPr>
                <w:sz w:val="16"/>
                <w:szCs w:val="16"/>
              </w:rPr>
            </w:pPr>
            <w:r w:rsidRPr="005D7873">
              <w:rPr>
                <w:sz w:val="16"/>
                <w:szCs w:val="16"/>
              </w:rPr>
              <w:t>167,9</w:t>
            </w:r>
          </w:p>
        </w:tc>
        <w:tc>
          <w:tcPr>
            <w:tcW w:w="1273" w:type="dxa"/>
            <w:tcBorders>
              <w:top w:val="nil"/>
              <w:bottom w:val="single" w:sz="4" w:space="0" w:color="000000" w:themeColor="text1"/>
            </w:tcBorders>
          </w:tcPr>
          <w:p w14:paraId="09357509" w14:textId="77777777" w:rsidR="00193638" w:rsidRPr="005D7873" w:rsidRDefault="00193638" w:rsidP="00D87399">
            <w:pPr>
              <w:cnfStyle w:val="000000000000" w:firstRow="0" w:lastRow="0" w:firstColumn="0" w:lastColumn="0" w:oddVBand="0" w:evenVBand="0" w:oddHBand="0" w:evenHBand="0" w:firstRowFirstColumn="0" w:firstRowLastColumn="0" w:lastRowFirstColumn="0" w:lastRowLastColumn="0"/>
              <w:rPr>
                <w:sz w:val="16"/>
                <w:szCs w:val="16"/>
              </w:rPr>
            </w:pPr>
            <w:r w:rsidRPr="005D7873">
              <w:rPr>
                <w:sz w:val="16"/>
                <w:szCs w:val="16"/>
              </w:rPr>
              <w:t>30,0</w:t>
            </w:r>
          </w:p>
        </w:tc>
        <w:tc>
          <w:tcPr>
            <w:tcW w:w="1185" w:type="dxa"/>
            <w:tcBorders>
              <w:top w:val="nil"/>
              <w:bottom w:val="single" w:sz="4" w:space="0" w:color="000000" w:themeColor="text1"/>
            </w:tcBorders>
          </w:tcPr>
          <w:p w14:paraId="62D77D69" w14:textId="77777777" w:rsidR="00193638" w:rsidRPr="005D7873" w:rsidRDefault="00193638" w:rsidP="00D87399">
            <w:pPr>
              <w:cnfStyle w:val="000000000000" w:firstRow="0" w:lastRow="0" w:firstColumn="0" w:lastColumn="0" w:oddVBand="0" w:evenVBand="0" w:oddHBand="0" w:evenHBand="0" w:firstRowFirstColumn="0" w:firstRowLastColumn="0" w:lastRowFirstColumn="0" w:lastRowLastColumn="0"/>
              <w:rPr>
                <w:sz w:val="16"/>
                <w:szCs w:val="16"/>
              </w:rPr>
            </w:pPr>
            <w:r w:rsidRPr="005D7873">
              <w:rPr>
                <w:sz w:val="16"/>
                <w:szCs w:val="16"/>
              </w:rPr>
              <w:t>71,5</w:t>
            </w:r>
          </w:p>
        </w:tc>
        <w:tc>
          <w:tcPr>
            <w:tcW w:w="841" w:type="dxa"/>
            <w:tcBorders>
              <w:top w:val="nil"/>
              <w:bottom w:val="single" w:sz="4" w:space="0" w:color="000000" w:themeColor="text1"/>
            </w:tcBorders>
          </w:tcPr>
          <w:p w14:paraId="7FF3063F" w14:textId="77777777" w:rsidR="00193638" w:rsidRPr="005D7873" w:rsidRDefault="00193638" w:rsidP="00D87399">
            <w:pPr>
              <w:cnfStyle w:val="000000000000" w:firstRow="0" w:lastRow="0" w:firstColumn="0" w:lastColumn="0" w:oddVBand="0" w:evenVBand="0" w:oddHBand="0" w:evenHBand="0" w:firstRowFirstColumn="0" w:firstRowLastColumn="0" w:lastRowFirstColumn="0" w:lastRowLastColumn="0"/>
              <w:rPr>
                <w:sz w:val="16"/>
                <w:szCs w:val="16"/>
              </w:rPr>
            </w:pPr>
            <w:r w:rsidRPr="005D7873">
              <w:rPr>
                <w:sz w:val="16"/>
                <w:szCs w:val="16"/>
              </w:rPr>
              <w:t>2,9</w:t>
            </w:r>
          </w:p>
        </w:tc>
        <w:tc>
          <w:tcPr>
            <w:tcW w:w="819" w:type="dxa"/>
            <w:tcBorders>
              <w:top w:val="nil"/>
              <w:bottom w:val="single" w:sz="4" w:space="0" w:color="000000" w:themeColor="text1"/>
            </w:tcBorders>
          </w:tcPr>
          <w:p w14:paraId="2943AEAD" w14:textId="77777777" w:rsidR="00193638" w:rsidRPr="005D7873" w:rsidRDefault="00193638" w:rsidP="00D87399">
            <w:pPr>
              <w:cnfStyle w:val="000000000000" w:firstRow="0" w:lastRow="0" w:firstColumn="0" w:lastColumn="0" w:oddVBand="0" w:evenVBand="0" w:oddHBand="0" w:evenHBand="0" w:firstRowFirstColumn="0" w:firstRowLastColumn="0" w:lastRowFirstColumn="0" w:lastRowLastColumn="0"/>
              <w:rPr>
                <w:sz w:val="16"/>
                <w:szCs w:val="16"/>
              </w:rPr>
            </w:pPr>
            <w:r w:rsidRPr="005D7873">
              <w:rPr>
                <w:sz w:val="16"/>
                <w:szCs w:val="16"/>
              </w:rPr>
              <w:t>3,2</w:t>
            </w:r>
          </w:p>
        </w:tc>
        <w:tc>
          <w:tcPr>
            <w:tcW w:w="806" w:type="dxa"/>
            <w:tcBorders>
              <w:top w:val="nil"/>
              <w:bottom w:val="single" w:sz="4" w:space="0" w:color="000000" w:themeColor="text1"/>
            </w:tcBorders>
          </w:tcPr>
          <w:p w14:paraId="2490EC34" w14:textId="77777777" w:rsidR="00193638" w:rsidRPr="005D7873" w:rsidRDefault="00193638" w:rsidP="00D87399">
            <w:pPr>
              <w:cnfStyle w:val="000000000000" w:firstRow="0" w:lastRow="0" w:firstColumn="0" w:lastColumn="0" w:oddVBand="0" w:evenVBand="0" w:oddHBand="0" w:evenHBand="0" w:firstRowFirstColumn="0" w:firstRowLastColumn="0" w:lastRowFirstColumn="0" w:lastRowLastColumn="0"/>
              <w:rPr>
                <w:sz w:val="16"/>
                <w:szCs w:val="16"/>
              </w:rPr>
            </w:pPr>
            <w:r w:rsidRPr="005D7873">
              <w:rPr>
                <w:sz w:val="16"/>
                <w:szCs w:val="16"/>
              </w:rPr>
              <w:t>7,6</w:t>
            </w:r>
          </w:p>
        </w:tc>
        <w:tc>
          <w:tcPr>
            <w:tcW w:w="503" w:type="dxa"/>
            <w:tcBorders>
              <w:top w:val="nil"/>
              <w:bottom w:val="single" w:sz="4" w:space="0" w:color="000000" w:themeColor="text1"/>
            </w:tcBorders>
          </w:tcPr>
          <w:p w14:paraId="66C25A0F" w14:textId="77777777" w:rsidR="00193638" w:rsidRPr="005D7873" w:rsidRDefault="00193638" w:rsidP="00D87399">
            <w:pPr>
              <w:cnfStyle w:val="000000000000" w:firstRow="0" w:lastRow="0" w:firstColumn="0" w:lastColumn="0" w:oddVBand="0" w:evenVBand="0" w:oddHBand="0" w:evenHBand="0" w:firstRowFirstColumn="0" w:firstRowLastColumn="0" w:lastRowFirstColumn="0" w:lastRowLastColumn="0"/>
              <w:rPr>
                <w:sz w:val="16"/>
                <w:szCs w:val="16"/>
              </w:rPr>
            </w:pPr>
            <w:r w:rsidRPr="005D7873">
              <w:rPr>
                <w:sz w:val="16"/>
                <w:szCs w:val="16"/>
              </w:rPr>
              <w:t>3,9</w:t>
            </w:r>
          </w:p>
        </w:tc>
        <w:tc>
          <w:tcPr>
            <w:tcW w:w="526" w:type="dxa"/>
            <w:tcBorders>
              <w:top w:val="nil"/>
              <w:bottom w:val="single" w:sz="4" w:space="0" w:color="000000" w:themeColor="text1"/>
            </w:tcBorders>
          </w:tcPr>
          <w:p w14:paraId="4905E31D" w14:textId="77777777" w:rsidR="00193638" w:rsidRPr="005D7873" w:rsidRDefault="00193638" w:rsidP="00D87399">
            <w:pPr>
              <w:cnfStyle w:val="000000000000" w:firstRow="0" w:lastRow="0" w:firstColumn="0" w:lastColumn="0" w:oddVBand="0" w:evenVBand="0" w:oddHBand="0" w:evenHBand="0" w:firstRowFirstColumn="0" w:firstRowLastColumn="0" w:lastRowFirstColumn="0" w:lastRowLastColumn="0"/>
              <w:rPr>
                <w:sz w:val="16"/>
                <w:szCs w:val="16"/>
              </w:rPr>
            </w:pPr>
            <w:r w:rsidRPr="005D7873">
              <w:rPr>
                <w:sz w:val="16"/>
                <w:szCs w:val="16"/>
              </w:rPr>
              <w:t>20,9</w:t>
            </w:r>
          </w:p>
        </w:tc>
      </w:tr>
      <w:tr w:rsidR="00193638" w:rsidRPr="005D7873" w14:paraId="68E5A486" w14:textId="77777777" w:rsidTr="00D873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10"/>
            <w:tcBorders>
              <w:top w:val="single" w:sz="4" w:space="0" w:color="000000" w:themeColor="text1"/>
              <w:bottom w:val="single" w:sz="4" w:space="0" w:color="000000"/>
            </w:tcBorders>
          </w:tcPr>
          <w:p w14:paraId="0C245536" w14:textId="77777777" w:rsidR="00193638" w:rsidRPr="005D7873" w:rsidRDefault="00193638" w:rsidP="00D87399">
            <w:pPr>
              <w:rPr>
                <w:b w:val="0"/>
                <w:sz w:val="16"/>
                <w:szCs w:val="16"/>
              </w:rPr>
            </w:pPr>
            <w:r w:rsidRPr="005D7873">
              <w:rPr>
                <w:b w:val="0"/>
                <w:sz w:val="16"/>
                <w:szCs w:val="16"/>
              </w:rPr>
              <w:t>Reference bread: RB, whole wheat bread: WWB, buckwheat bread: BWB, cornbread: CB</w:t>
            </w:r>
          </w:p>
        </w:tc>
      </w:tr>
    </w:tbl>
    <w:p w14:paraId="672A5139" w14:textId="77777777" w:rsidR="000C6BA3" w:rsidRDefault="000C6BA3" w:rsidP="00AF45D3">
      <w:pPr>
        <w:rPr>
          <w:color w:val="FF0000"/>
        </w:rPr>
      </w:pPr>
    </w:p>
    <w:p w14:paraId="1A9BBFF8" w14:textId="15F806D2" w:rsidR="00AF45D3" w:rsidRDefault="00AF45D3" w:rsidP="00AF45D3">
      <w:pPr>
        <w:rPr>
          <w:color w:val="FF0000"/>
        </w:rPr>
      </w:pPr>
      <w:r w:rsidRPr="00AF45D3">
        <w:rPr>
          <w:color w:val="FF0000"/>
        </w:rPr>
        <w:t xml:space="preserve">The ingredients used included flour (specific types for each bread), salt, oil, water, and yeast, with their quantities measured using precision scales. </w:t>
      </w:r>
      <w:r w:rsidR="006320B3" w:rsidRPr="006320B3">
        <w:rPr>
          <w:color w:val="FF0000"/>
        </w:rPr>
        <w:t>For whole wheat bread, the ingredients used included 100 g of flour, 2 g of salt, 8.5 g of oil, 60 ml of water, and 1 teaspoon of yeast; for buckwheat bread, 100 g of flour, 2 g of salt, 8.5 g of oil, 60 ml of water, and 1 teaspoon of yeast; for cornbread, 125 g of flour, 2.5 g of salt, 8.5 g of oil, 75 ml of water, and 1 teaspoon of yeast; and for white bread, 126 g of flour, 2.5 g of salt, 9.5 g of oil, 75.5 ml of water, and 1 teaspoon of yeast</w:t>
      </w:r>
      <w:r w:rsidR="006320B3">
        <w:rPr>
          <w:color w:val="FF0000"/>
        </w:rPr>
        <w:t xml:space="preserve">. </w:t>
      </w:r>
      <w:r w:rsidRPr="00AF45D3">
        <w:rPr>
          <w:color w:val="FF0000"/>
        </w:rPr>
        <w:t xml:space="preserve">To standardize the carbohydrate content, each type of flour was carefully selected to ensure it provided 30 grams of available carbohydrates per serving. The dough was fermented for approximately 1 hour, and then divided into equal portions, each containing 30 grams of available carbohydrates. The portions were baked in a preheated oven at 150°C for </w:t>
      </w:r>
      <w:r w:rsidRPr="00AF45D3">
        <w:rPr>
          <w:color w:val="FF0000"/>
        </w:rPr>
        <w:lastRenderedPageBreak/>
        <w:t>about 45 minutes, with the baking conditions controlled to maintain consistency. After baking, the breads were allowed to cool and were covered with stretch film. They were consumed the following day to ensure standardization in both preparation and carbohydrate content.</w:t>
      </w:r>
      <w:r w:rsidRPr="006C2CF2">
        <w:rPr>
          <w:color w:val="FF0000"/>
        </w:rPr>
        <w:t xml:space="preserve"> </w:t>
      </w:r>
      <w:r w:rsidR="006C2CF2" w:rsidRPr="006C2CF2">
        <w:rPr>
          <w:color w:val="FF0000"/>
        </w:rPr>
        <w:t>The breads were produced under controlled conditions</w:t>
      </w:r>
      <w:r w:rsidR="00A02BBE">
        <w:rPr>
          <w:color w:val="FF0000"/>
        </w:rPr>
        <w:t xml:space="preserve">. </w:t>
      </w:r>
    </w:p>
    <w:p w14:paraId="10D8F40A" w14:textId="77777777" w:rsidR="00A3541A" w:rsidRPr="005D7873" w:rsidRDefault="00A3541A" w:rsidP="00080E68">
      <w:pPr>
        <w:pStyle w:val="Balk3"/>
      </w:pPr>
      <w:r w:rsidRPr="005D7873">
        <w:t xml:space="preserve">Evaluation of </w:t>
      </w:r>
      <w:r>
        <w:t>s</w:t>
      </w:r>
      <w:r w:rsidRPr="005D7873">
        <w:t>urveys</w:t>
      </w:r>
    </w:p>
    <w:p w14:paraId="6E16D60F" w14:textId="7B6ED88D" w:rsidR="00A3541A" w:rsidRPr="005D7873" w:rsidRDefault="00A3541A" w:rsidP="00A3541A">
      <w:r w:rsidRPr="005D7873">
        <w:t xml:space="preserve">Individuals participating in the study filled out forms including the International Physical Activity Questionnaire (IPAQ), sensory test scale, food consumption frequency (used to calculate Diet Quality Index (DQI)), and sociodemographic characteristics (age, gender, etc.). </w:t>
      </w:r>
      <w:r w:rsidR="0051396A">
        <w:t xml:space="preserve">These surveys were analyzed by cebebis program </w:t>
      </w:r>
      <w:r w:rsidR="0051396A">
        <w:fldChar w:fldCharType="begin" w:fldLock="1"/>
      </w:r>
      <w:r w:rsidR="002B5869">
        <w:instrText>ADDIN CSL_CITATION {"citationItems":[{"id":"ITEM-1","itemData":{"DOI":"10.1111/JEP.14146","ISSN":"1365-2753","abstract":"Rationale: The change of IgG of COVID-19 vaccine was thought to be an effect of diet quality or daily habits. Aims and Objectives: This study aimed to correlate diet quality and healthy living factors with serum IgG response in the blood. Methods: Participants were selected from volunteers who had their first vaccination and did not have COVID-19 disease (Male = 21 Female = 40). Serum IgG levels were measured on average (avg) 28 days after the COVID-19 vaccine. Information was obtained directly from the participants by questionnaire method (Food consumption record, frequency of food consumption, Diet Quality Index [(DQI], etc.). Results: A significant difference was observed in the IgG levels of the second measurement of age (young/middle) and gender (male/female) (p &lt; 0.05). A significant difference was found in the first measurement of serum IgG levels and IgG avgs of those with medium diet quality and those who did not drink alcohol (p &lt; 0.05). When the IgG2/1 ratio was examined between alcohol users and nonalcohol, a significant increase was observed about two times in non-alcohol users (p = 0.039). There is a positive significant moderate strength relationship between the second measurements of IgG and anthropometric measurements and the first, second, and avg measurements of IgG with DQI. It was found that there was a negative significant medium-strength relationship between individuals' amount of alcohol consumption and IgG avg (r = −0.535, p = 0.009). Conclusions: Medium diet quality has been seen to affect antibody levels positively. At the same time, it is thought that alcohol use negatively affects serum IgG antibody response in the long term. Other than that, there was shown to be a correlation between IgG levels and DQI.","author":[{"dropping-particle":"","family":"Cesur","given":"Fatih","non-dropping-particle":"","parse-names":false,"suffix":""}],"container-title":"Journal of Evaluation in Clinical Practice","id":"ITEM-1","issued":{"date-parts":[["2024","9","23"]]},"publisher":"John Wiley &amp; Sons, Ltd","title":"Examination of diet quality and alcohol on serum IgG levels after first and second COVID-19 vaccines","type":"article-journal"},"uris":["http://www.mendeley.com/documents/?uuid=3d30b7a0-1c27-30f9-9eba-7521b7abaae4"]}],"mendeley":{"formattedCitation":"[7]","plainTextFormattedCitation":"[7]","previouslyFormattedCitation":"[7]"},"properties":{"noteIndex":0},"schema":"https://github.com/citation-style-language/schema/raw/master/csl-citation.json"}</w:instrText>
      </w:r>
      <w:r w:rsidR="0051396A">
        <w:fldChar w:fldCharType="separate"/>
      </w:r>
      <w:r w:rsidR="0051396A" w:rsidRPr="0051396A">
        <w:rPr>
          <w:noProof/>
        </w:rPr>
        <w:t>[7]</w:t>
      </w:r>
      <w:r w:rsidR="0051396A">
        <w:fldChar w:fldCharType="end"/>
      </w:r>
      <w:r w:rsidR="0051396A">
        <w:t>.</w:t>
      </w:r>
    </w:p>
    <w:p w14:paraId="7D1EE0A7" w14:textId="77777777" w:rsidR="00A3541A" w:rsidRPr="005D7873" w:rsidRDefault="00A3541A" w:rsidP="00080E68">
      <w:pPr>
        <w:pStyle w:val="Balk3"/>
        <w:rPr>
          <w:rFonts w:eastAsia="Calibri"/>
        </w:rPr>
      </w:pPr>
      <w:r w:rsidRPr="005D7873">
        <w:t xml:space="preserve">Ethical </w:t>
      </w:r>
      <w:r>
        <w:t>p</w:t>
      </w:r>
      <w:r w:rsidRPr="005D7873">
        <w:t>rinciples</w:t>
      </w:r>
    </w:p>
    <w:p w14:paraId="249D5364" w14:textId="77777777" w:rsidR="00A3541A" w:rsidRPr="005D7873" w:rsidRDefault="00A3541A" w:rsidP="00A3541A">
      <w:r w:rsidRPr="002300D1">
        <w:t>The authors declare that all experiments on human subjects were conducted in accordance with the Declaration of Helsinki,</w:t>
      </w:r>
      <w:r>
        <w:t xml:space="preserve"> </w:t>
      </w:r>
      <w:r w:rsidRPr="002300D1">
        <w:t>and that all procedures were carried out with the adequate understanding and written consent of the subjects.</w:t>
      </w:r>
      <w:r>
        <w:t xml:space="preserve"> </w:t>
      </w:r>
      <w:r w:rsidRPr="005D7873">
        <w:t xml:space="preserve">This study was approved by the </w:t>
      </w:r>
      <w:r>
        <w:t>“</w:t>
      </w:r>
      <w:r w:rsidRPr="00E636A0">
        <w:t>This area has been blinded</w:t>
      </w:r>
      <w:r>
        <w:t xml:space="preserve">” </w:t>
      </w:r>
      <w:r w:rsidRPr="00E636A0">
        <w:t>numbered</w:t>
      </w:r>
      <w:r w:rsidRPr="005D7873">
        <w:t xml:space="preserve"> Ethical Committee of</w:t>
      </w:r>
      <w:r>
        <w:t xml:space="preserve"> “</w:t>
      </w:r>
      <w:r w:rsidRPr="00E636A0">
        <w:t>This area has been blinded</w:t>
      </w:r>
      <w:r>
        <w:t>”</w:t>
      </w:r>
      <w:r w:rsidRPr="005D7873">
        <w:t>.</w:t>
      </w:r>
    </w:p>
    <w:p w14:paraId="4294EC62" w14:textId="77777777" w:rsidR="00A3541A" w:rsidRPr="005D7873" w:rsidRDefault="00A3541A" w:rsidP="00080E68">
      <w:pPr>
        <w:pStyle w:val="Balk3"/>
      </w:pPr>
      <w:r w:rsidRPr="005D7873">
        <w:t xml:space="preserve">Statistical </w:t>
      </w:r>
      <w:r>
        <w:t>e</w:t>
      </w:r>
      <w:r w:rsidRPr="005D7873">
        <w:t>valuation</w:t>
      </w:r>
    </w:p>
    <w:p w14:paraId="663D4943" w14:textId="2AD32D73" w:rsidR="00A3541A" w:rsidRPr="005D7873" w:rsidRDefault="00A3541A" w:rsidP="00A3541A">
      <w:r w:rsidRPr="005D7873">
        <w:t xml:space="preserve">Statistical analyses were performed using the SPSS version 15. </w:t>
      </w:r>
      <w:r w:rsidR="00795F86" w:rsidRPr="00795F86">
        <w:rPr>
          <w:color w:val="FF0000"/>
        </w:rPr>
        <w:t>Continuous variables are presented as mean ± standard deviation. Kolmogorov-Smirnov test was used to determine the parametric or nonparametric distribution of the data. According to the results, One-Way ANOVA analysis was used for three or more comparisons of independent data showing parametric distribution, and when a significant difference was found in the data, Bonferroni post hoc test was used because the number of groups was not equal.</w:t>
      </w:r>
      <w:r w:rsidRPr="00795F86">
        <w:rPr>
          <w:color w:val="FF0000"/>
        </w:rPr>
        <w:t xml:space="preserve"> </w:t>
      </w:r>
      <w:r w:rsidR="00795F86" w:rsidRPr="00795F86">
        <w:rPr>
          <w:color w:val="FF0000"/>
        </w:rPr>
        <w:t xml:space="preserve">The Kruskal-Wallis Test was used for independent values with nonparametric distribution, and the Mann-Whitney U-test was used as a post hoc test when a significant difference was found in the data. </w:t>
      </w:r>
      <w:r w:rsidR="00795F86">
        <w:rPr>
          <w:color w:val="FF0000"/>
        </w:rPr>
        <w:t xml:space="preserve"> </w:t>
      </w:r>
      <w:r w:rsidRPr="005D7873">
        <w:t>Any p-value of &lt;0.05 was considered significant.</w:t>
      </w:r>
      <w:r w:rsidRPr="005D7873">
        <w:br w:type="page"/>
      </w:r>
    </w:p>
    <w:p w14:paraId="39E97BF1" w14:textId="7C56FC6F" w:rsidR="00D23610" w:rsidRPr="00080E68" w:rsidRDefault="00A907DF" w:rsidP="00080E68">
      <w:pPr>
        <w:pStyle w:val="Balk3"/>
      </w:pPr>
      <w:r w:rsidRPr="00080E68">
        <w:lastRenderedPageBreak/>
        <w:t>Reference</w:t>
      </w:r>
    </w:p>
    <w:p w14:paraId="64466227" w14:textId="4B6C7122" w:rsidR="002B5869" w:rsidRPr="002B5869" w:rsidRDefault="00A907DF" w:rsidP="00193638">
      <w:pPr>
        <w:widowControl w:val="0"/>
        <w:autoSpaceDE w:val="0"/>
        <w:autoSpaceDN w:val="0"/>
        <w:adjustRightInd w:val="0"/>
        <w:spacing w:line="240" w:lineRule="auto"/>
        <w:ind w:left="640" w:hanging="640"/>
        <w:rPr>
          <w:rFonts w:cs="Times New Roman"/>
          <w:noProof/>
        </w:rPr>
      </w:pPr>
      <w:r>
        <w:fldChar w:fldCharType="begin" w:fldLock="1"/>
      </w:r>
      <w:r>
        <w:instrText xml:space="preserve">ADDIN Mendeley Bibliography CSL_BIBLIOGRAPHY </w:instrText>
      </w:r>
      <w:r>
        <w:fldChar w:fldCharType="separate"/>
      </w:r>
      <w:r w:rsidR="002B5869" w:rsidRPr="002B5869">
        <w:rPr>
          <w:rFonts w:cs="Times New Roman"/>
          <w:noProof/>
        </w:rPr>
        <w:t xml:space="preserve">1. </w:t>
      </w:r>
      <w:r w:rsidR="002B5869" w:rsidRPr="002B5869">
        <w:rPr>
          <w:rFonts w:cs="Times New Roman"/>
          <w:noProof/>
        </w:rPr>
        <w:tab/>
        <w:t>Wolever TMS, Jenkins DJA, Jenkins AL, Josse RG (1991) The glycemic index: Methodology and clinical implications. Am. J. Clin. Nutr. 54:846–854</w:t>
      </w:r>
    </w:p>
    <w:p w14:paraId="7B306854" w14:textId="77777777" w:rsidR="002B5869" w:rsidRPr="002B5869" w:rsidRDefault="002B5869" w:rsidP="00193638">
      <w:pPr>
        <w:widowControl w:val="0"/>
        <w:autoSpaceDE w:val="0"/>
        <w:autoSpaceDN w:val="0"/>
        <w:adjustRightInd w:val="0"/>
        <w:spacing w:line="240" w:lineRule="auto"/>
        <w:ind w:left="640" w:hanging="640"/>
        <w:rPr>
          <w:rFonts w:cs="Times New Roman"/>
          <w:noProof/>
        </w:rPr>
      </w:pPr>
      <w:r w:rsidRPr="002B5869">
        <w:rPr>
          <w:rFonts w:cs="Times New Roman"/>
          <w:noProof/>
        </w:rPr>
        <w:t xml:space="preserve">2. </w:t>
      </w:r>
      <w:r w:rsidRPr="002B5869">
        <w:rPr>
          <w:rFonts w:cs="Times New Roman"/>
          <w:noProof/>
        </w:rPr>
        <w:tab/>
        <w:t>Cesur F, Uygur B (2024) Can hazelnut flour added to gluten-free corn flour in different amounts cause differences in blood glucose fluctuations? Int J Food Sci Nutr 1–9. https://doi.org/10.1080/09637486.2024.2435841</w:t>
      </w:r>
    </w:p>
    <w:p w14:paraId="0B1F4984" w14:textId="77777777" w:rsidR="002B5869" w:rsidRPr="002B5869" w:rsidRDefault="002B5869" w:rsidP="00193638">
      <w:pPr>
        <w:widowControl w:val="0"/>
        <w:autoSpaceDE w:val="0"/>
        <w:autoSpaceDN w:val="0"/>
        <w:adjustRightInd w:val="0"/>
        <w:spacing w:line="240" w:lineRule="auto"/>
        <w:ind w:left="640" w:hanging="640"/>
        <w:rPr>
          <w:rFonts w:cs="Times New Roman"/>
          <w:noProof/>
        </w:rPr>
      </w:pPr>
      <w:r w:rsidRPr="002B5869">
        <w:rPr>
          <w:rFonts w:cs="Times New Roman"/>
          <w:noProof/>
        </w:rPr>
        <w:t xml:space="preserve">3. </w:t>
      </w:r>
      <w:r w:rsidRPr="002B5869">
        <w:rPr>
          <w:rFonts w:cs="Times New Roman"/>
          <w:noProof/>
        </w:rPr>
        <w:tab/>
        <w:t>World Health Organization (2004) Body mass index. Kans. Nurse 79:9</w:t>
      </w:r>
    </w:p>
    <w:p w14:paraId="4A540F1D" w14:textId="77777777" w:rsidR="002B5869" w:rsidRPr="002B5869" w:rsidRDefault="002B5869" w:rsidP="00193638">
      <w:pPr>
        <w:widowControl w:val="0"/>
        <w:autoSpaceDE w:val="0"/>
        <w:autoSpaceDN w:val="0"/>
        <w:adjustRightInd w:val="0"/>
        <w:spacing w:line="240" w:lineRule="auto"/>
        <w:ind w:left="640" w:hanging="640"/>
        <w:rPr>
          <w:rFonts w:cs="Times New Roman"/>
          <w:noProof/>
        </w:rPr>
      </w:pPr>
      <w:r w:rsidRPr="002B5869">
        <w:rPr>
          <w:rFonts w:cs="Times New Roman"/>
          <w:noProof/>
        </w:rPr>
        <w:t xml:space="preserve">4. </w:t>
      </w:r>
      <w:r w:rsidRPr="002B5869">
        <w:rPr>
          <w:rFonts w:cs="Times New Roman"/>
          <w:noProof/>
        </w:rPr>
        <w:tab/>
        <w:t>Östman E, Rossi E, Larsson H, et al (2006) Glucose and insulin responses in healthy men to barley bread with different levels of (1→3;1→4)-β-glucans; predictions using fluidity measurements of in vitro enzyme digests. J Cereal Sci 43:230–235. https://doi.org/10.1016/j.jcs.2005.11.001</w:t>
      </w:r>
    </w:p>
    <w:p w14:paraId="15D4B44A" w14:textId="77777777" w:rsidR="002B5869" w:rsidRPr="002B5869" w:rsidRDefault="002B5869" w:rsidP="00193638">
      <w:pPr>
        <w:widowControl w:val="0"/>
        <w:autoSpaceDE w:val="0"/>
        <w:autoSpaceDN w:val="0"/>
        <w:adjustRightInd w:val="0"/>
        <w:spacing w:line="240" w:lineRule="auto"/>
        <w:ind w:left="640" w:hanging="640"/>
        <w:rPr>
          <w:rFonts w:cs="Times New Roman"/>
          <w:noProof/>
        </w:rPr>
      </w:pPr>
      <w:r w:rsidRPr="002B5869">
        <w:rPr>
          <w:rFonts w:cs="Times New Roman"/>
          <w:noProof/>
        </w:rPr>
        <w:t xml:space="preserve">5. </w:t>
      </w:r>
      <w:r w:rsidRPr="002B5869">
        <w:rPr>
          <w:rFonts w:cs="Times New Roman"/>
          <w:noProof/>
        </w:rPr>
        <w:tab/>
        <w:t>Maciej Serda, Becker FG, Cleary M, et al (2015) Farklı Pişirme Yöntemlerinin Patateslerin Glisemik İndeks Değeri Üzerine Etkisi. Uniw śląski 7:343–354. https://doi.org/10.2/JQUERY.MIN.JS</w:t>
      </w:r>
    </w:p>
    <w:p w14:paraId="1C152BD0" w14:textId="77777777" w:rsidR="002B5869" w:rsidRPr="002B5869" w:rsidRDefault="002B5869" w:rsidP="00193638">
      <w:pPr>
        <w:widowControl w:val="0"/>
        <w:autoSpaceDE w:val="0"/>
        <w:autoSpaceDN w:val="0"/>
        <w:adjustRightInd w:val="0"/>
        <w:spacing w:line="240" w:lineRule="auto"/>
        <w:ind w:left="640" w:hanging="640"/>
        <w:rPr>
          <w:rFonts w:cs="Times New Roman"/>
          <w:noProof/>
        </w:rPr>
      </w:pPr>
      <w:r w:rsidRPr="002B5869">
        <w:rPr>
          <w:rFonts w:cs="Times New Roman"/>
          <w:noProof/>
        </w:rPr>
        <w:t xml:space="preserve">6. </w:t>
      </w:r>
      <w:r w:rsidRPr="002B5869">
        <w:rPr>
          <w:rFonts w:cs="Times New Roman"/>
          <w:noProof/>
        </w:rPr>
        <w:tab/>
        <w:t>Tosh SM (2013) Review of human studies investigating the post-prandial blood-glucose lowering ability of oat and barley food products. Eur. J. Clin. Nutr. 67:310–317</w:t>
      </w:r>
    </w:p>
    <w:p w14:paraId="733E957D" w14:textId="77777777" w:rsidR="002B5869" w:rsidRPr="002B5869" w:rsidRDefault="002B5869" w:rsidP="00193638">
      <w:pPr>
        <w:widowControl w:val="0"/>
        <w:autoSpaceDE w:val="0"/>
        <w:autoSpaceDN w:val="0"/>
        <w:adjustRightInd w:val="0"/>
        <w:spacing w:line="240" w:lineRule="auto"/>
        <w:ind w:left="640" w:hanging="640"/>
        <w:rPr>
          <w:rFonts w:cs="Times New Roman"/>
          <w:noProof/>
        </w:rPr>
      </w:pPr>
      <w:r w:rsidRPr="002B5869">
        <w:rPr>
          <w:rFonts w:cs="Times New Roman"/>
          <w:noProof/>
        </w:rPr>
        <w:t xml:space="preserve">7. </w:t>
      </w:r>
      <w:r w:rsidRPr="002B5869">
        <w:rPr>
          <w:rFonts w:cs="Times New Roman"/>
          <w:noProof/>
        </w:rPr>
        <w:tab/>
        <w:t>Cesur F (2024) Examination of diet quality and alcohol on serum IgG levels after first and second COVID-19 vaccines. J Eval Clin Pract. https://doi.org/10.1111/JEP.14146</w:t>
      </w:r>
    </w:p>
    <w:p w14:paraId="04E743A0" w14:textId="69024CC5" w:rsidR="00A907DF" w:rsidRPr="00A907DF" w:rsidRDefault="00A907DF" w:rsidP="00193638">
      <w:pPr>
        <w:spacing w:line="240" w:lineRule="auto"/>
      </w:pPr>
      <w:r>
        <w:fldChar w:fldCharType="end"/>
      </w:r>
    </w:p>
    <w:sectPr w:rsidR="00A907DF" w:rsidRPr="00A907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F02"/>
    <w:rsid w:val="00080E68"/>
    <w:rsid w:val="0008541A"/>
    <w:rsid w:val="000C5582"/>
    <w:rsid w:val="000C6BA3"/>
    <w:rsid w:val="000D398A"/>
    <w:rsid w:val="000D7C04"/>
    <w:rsid w:val="00142457"/>
    <w:rsid w:val="0016566E"/>
    <w:rsid w:val="00193638"/>
    <w:rsid w:val="001C15B3"/>
    <w:rsid w:val="002B5869"/>
    <w:rsid w:val="00334AD0"/>
    <w:rsid w:val="003B6C86"/>
    <w:rsid w:val="003E63B5"/>
    <w:rsid w:val="003E658A"/>
    <w:rsid w:val="00410A9B"/>
    <w:rsid w:val="00445F02"/>
    <w:rsid w:val="004750C3"/>
    <w:rsid w:val="004C26A5"/>
    <w:rsid w:val="004C3E2E"/>
    <w:rsid w:val="004D5D71"/>
    <w:rsid w:val="004E40FB"/>
    <w:rsid w:val="004F5A2C"/>
    <w:rsid w:val="0051396A"/>
    <w:rsid w:val="0057327D"/>
    <w:rsid w:val="006320B3"/>
    <w:rsid w:val="006C2CF2"/>
    <w:rsid w:val="00712F46"/>
    <w:rsid w:val="00753EEA"/>
    <w:rsid w:val="00795F86"/>
    <w:rsid w:val="007B4779"/>
    <w:rsid w:val="007F2371"/>
    <w:rsid w:val="008B7AE0"/>
    <w:rsid w:val="008D62FE"/>
    <w:rsid w:val="009D094E"/>
    <w:rsid w:val="00A02BBE"/>
    <w:rsid w:val="00A145E8"/>
    <w:rsid w:val="00A3541A"/>
    <w:rsid w:val="00A907DF"/>
    <w:rsid w:val="00AA70A9"/>
    <w:rsid w:val="00AF45D3"/>
    <w:rsid w:val="00BB381B"/>
    <w:rsid w:val="00C22D05"/>
    <w:rsid w:val="00CA17C3"/>
    <w:rsid w:val="00CA4053"/>
    <w:rsid w:val="00CC60A1"/>
    <w:rsid w:val="00D23610"/>
    <w:rsid w:val="00D7619D"/>
    <w:rsid w:val="00E05B5B"/>
    <w:rsid w:val="00E425BC"/>
    <w:rsid w:val="00E569AB"/>
    <w:rsid w:val="00E67FA8"/>
    <w:rsid w:val="00E84599"/>
    <w:rsid w:val="00ED4913"/>
    <w:rsid w:val="00EE480E"/>
    <w:rsid w:val="00F04ED3"/>
    <w:rsid w:val="00F35F08"/>
    <w:rsid w:val="00F50DA6"/>
    <w:rsid w:val="00F93500"/>
    <w:rsid w:val="00FC77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08768"/>
  <w15:chartTrackingRefBased/>
  <w15:docId w15:val="{AFC0ECE0-CCCD-4773-B40C-B095FBFC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41A"/>
    <w:pPr>
      <w:spacing w:line="480" w:lineRule="auto"/>
      <w:jc w:val="both"/>
    </w:pPr>
    <w:rPr>
      <w:rFonts w:ascii="Times New Roman" w:hAnsi="Times New Roman"/>
      <w:kern w:val="0"/>
      <w:sz w:val="24"/>
      <w:lang w:val="en-US"/>
    </w:rPr>
  </w:style>
  <w:style w:type="paragraph" w:styleId="Balk1">
    <w:name w:val="heading 1"/>
    <w:basedOn w:val="Normal"/>
    <w:next w:val="Normal"/>
    <w:link w:val="Balk1Char"/>
    <w:uiPriority w:val="9"/>
    <w:qFormat/>
    <w:rsid w:val="00A3541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autoRedefine/>
    <w:uiPriority w:val="9"/>
    <w:unhideWhenUsed/>
    <w:qFormat/>
    <w:rsid w:val="00080E68"/>
    <w:pPr>
      <w:keepNext/>
      <w:keepLines/>
      <w:spacing w:before="120" w:after="0"/>
      <w:outlineLvl w:val="2"/>
    </w:pPr>
    <w:rPr>
      <w:rFonts w:eastAsiaTheme="majorEastAsia" w:cstheme="majorBidi"/>
      <w:b/>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080E68"/>
    <w:rPr>
      <w:rFonts w:ascii="Times New Roman" w:eastAsiaTheme="majorEastAsia" w:hAnsi="Times New Roman" w:cstheme="majorBidi"/>
      <w:b/>
      <w:kern w:val="0"/>
      <w:sz w:val="24"/>
      <w:szCs w:val="24"/>
      <w:lang w:val="en-US"/>
    </w:rPr>
  </w:style>
  <w:style w:type="character" w:customStyle="1" w:styleId="Balk1Char">
    <w:name w:val="Başlık 1 Char"/>
    <w:basedOn w:val="VarsaylanParagrafYazTipi"/>
    <w:link w:val="Balk1"/>
    <w:uiPriority w:val="9"/>
    <w:rsid w:val="00A3541A"/>
    <w:rPr>
      <w:rFonts w:asciiTheme="majorHAnsi" w:eastAsiaTheme="majorEastAsia" w:hAnsiTheme="majorHAnsi" w:cstheme="majorBidi"/>
      <w:color w:val="2F5496" w:themeColor="accent1" w:themeShade="BF"/>
      <w:kern w:val="0"/>
      <w:sz w:val="32"/>
      <w:szCs w:val="32"/>
      <w:lang w:val="en-US"/>
    </w:rPr>
  </w:style>
  <w:style w:type="paragraph" w:styleId="NormalWeb">
    <w:name w:val="Normal (Web)"/>
    <w:basedOn w:val="Normal"/>
    <w:uiPriority w:val="99"/>
    <w:unhideWhenUsed/>
    <w:rsid w:val="00AF45D3"/>
    <w:pPr>
      <w:spacing w:before="100" w:beforeAutospacing="1" w:after="100" w:afterAutospacing="1" w:line="240" w:lineRule="auto"/>
      <w:jc w:val="left"/>
    </w:pPr>
    <w:rPr>
      <w:rFonts w:eastAsia="Times New Roman" w:cs="Times New Roman"/>
      <w:szCs w:val="24"/>
      <w:lang w:val="tr-TR" w:eastAsia="tr-TR"/>
      <w14:ligatures w14:val="none"/>
    </w:rPr>
  </w:style>
  <w:style w:type="character" w:styleId="Gl">
    <w:name w:val="Strong"/>
    <w:basedOn w:val="VarsaylanParagrafYazTipi"/>
    <w:uiPriority w:val="22"/>
    <w:qFormat/>
    <w:rsid w:val="00AF45D3"/>
    <w:rPr>
      <w:b/>
      <w:bCs/>
    </w:rPr>
  </w:style>
  <w:style w:type="paragraph" w:styleId="ResimYazs">
    <w:name w:val="caption"/>
    <w:basedOn w:val="Normal"/>
    <w:next w:val="Normal"/>
    <w:unhideWhenUsed/>
    <w:qFormat/>
    <w:rsid w:val="00193638"/>
    <w:pPr>
      <w:spacing w:after="200" w:line="240" w:lineRule="auto"/>
    </w:pPr>
    <w:rPr>
      <w:i/>
      <w:iCs/>
      <w:color w:val="44546A" w:themeColor="text2"/>
      <w:sz w:val="18"/>
      <w:szCs w:val="18"/>
      <w14:ligatures w14:val="none"/>
    </w:rPr>
  </w:style>
  <w:style w:type="table" w:styleId="DzTablo2">
    <w:name w:val="Plain Table 2"/>
    <w:basedOn w:val="NormalTablo"/>
    <w:uiPriority w:val="42"/>
    <w:rsid w:val="00193638"/>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562558">
      <w:bodyDiv w:val="1"/>
      <w:marLeft w:val="0"/>
      <w:marRight w:val="0"/>
      <w:marTop w:val="0"/>
      <w:marBottom w:val="0"/>
      <w:divBdr>
        <w:top w:val="none" w:sz="0" w:space="0" w:color="auto"/>
        <w:left w:val="none" w:sz="0" w:space="0" w:color="auto"/>
        <w:bottom w:val="none" w:sz="0" w:space="0" w:color="auto"/>
        <w:right w:val="none" w:sz="0" w:space="0" w:color="auto"/>
      </w:divBdr>
    </w:div>
    <w:div w:id="1033115895">
      <w:bodyDiv w:val="1"/>
      <w:marLeft w:val="0"/>
      <w:marRight w:val="0"/>
      <w:marTop w:val="0"/>
      <w:marBottom w:val="0"/>
      <w:divBdr>
        <w:top w:val="none" w:sz="0" w:space="0" w:color="auto"/>
        <w:left w:val="none" w:sz="0" w:space="0" w:color="auto"/>
        <w:bottom w:val="none" w:sz="0" w:space="0" w:color="auto"/>
        <w:right w:val="none" w:sz="0" w:space="0" w:color="auto"/>
      </w:divBdr>
    </w:div>
    <w:div w:id="1478690538">
      <w:bodyDiv w:val="1"/>
      <w:marLeft w:val="0"/>
      <w:marRight w:val="0"/>
      <w:marTop w:val="0"/>
      <w:marBottom w:val="0"/>
      <w:divBdr>
        <w:top w:val="none" w:sz="0" w:space="0" w:color="auto"/>
        <w:left w:val="none" w:sz="0" w:space="0" w:color="auto"/>
        <w:bottom w:val="none" w:sz="0" w:space="0" w:color="auto"/>
        <w:right w:val="none" w:sz="0" w:space="0" w:color="auto"/>
      </w:divBdr>
    </w:div>
    <w:div w:id="186143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81F66-199E-4DED-9D44-D4BE0A539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8</Pages>
  <Words>5095</Words>
  <Characters>29047</Characters>
  <Application>Microsoft Office Word</Application>
  <DocSecurity>0</DocSecurity>
  <Lines>242</Lines>
  <Paragraphs>68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cebebis destek</dc:creator>
  <cp:keywords/>
  <dc:description/>
  <cp:lastModifiedBy>cebebis destek</cp:lastModifiedBy>
  <cp:revision>26</cp:revision>
  <dcterms:created xsi:type="dcterms:W3CDTF">2025-01-31T12:23:00Z</dcterms:created>
  <dcterms:modified xsi:type="dcterms:W3CDTF">2025-02-17T21:19:00Z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http://www.zotero.org/styles/applied-physiology-nutrition-and-metabolism</vt:lpwstr>
  </property>
  <property fmtid="{D5CDD505-2E9C-101B-9397-08002B2CF9AE}" pid="3" name="Mendeley Recent Style Name 0_1">
    <vt:lpwstr>Applied Physiology, Nutrition, and Metabolism</vt:lpwstr>
  </property>
  <property fmtid="{D5CDD505-2E9C-101B-9397-08002B2CF9AE}" pid="4" name="Mendeley Recent Style Id 1_1">
    <vt:lpwstr>http://www.zotero.org/styles/archives-de-pediatrie</vt:lpwstr>
  </property>
  <property fmtid="{D5CDD505-2E9C-101B-9397-08002B2CF9AE}" pid="5" name="Mendeley Recent Style Name 1_1">
    <vt:lpwstr>Archives de pédiatrie</vt:lpwstr>
  </property>
  <property fmtid="{D5CDD505-2E9C-101B-9397-08002B2CF9AE}" pid="6" name="Mendeley Recent Style Id 2_1">
    <vt:lpwstr>http://www.zotero.org/styles/childhood-obesity</vt:lpwstr>
  </property>
  <property fmtid="{D5CDD505-2E9C-101B-9397-08002B2CF9AE}" pid="7" name="Mendeley Recent Style Name 2_1">
    <vt:lpwstr>Childhood Obesity</vt:lpwstr>
  </property>
  <property fmtid="{D5CDD505-2E9C-101B-9397-08002B2CF9AE}" pid="8" name="Mendeley Recent Style Id 3_1">
    <vt:lpwstr>http://www.zotero.org/styles/nature</vt:lpwstr>
  </property>
  <property fmtid="{D5CDD505-2E9C-101B-9397-08002B2CF9AE}" pid="9" name="Mendeley Recent Style Name 3_1">
    <vt:lpwstr>Nature</vt:lpwstr>
  </property>
  <property fmtid="{D5CDD505-2E9C-101B-9397-08002B2CF9AE}" pid="10" name="Mendeley Recent Style Id 4_1">
    <vt:lpwstr>http://www.zotero.org/styles/nature-no-et-al</vt:lpwstr>
  </property>
  <property fmtid="{D5CDD505-2E9C-101B-9397-08002B2CF9AE}" pid="11" name="Mendeley Recent Style Name 4_1">
    <vt:lpwstr>Nature (no "et al.")</vt:lpwstr>
  </property>
  <property fmtid="{D5CDD505-2E9C-101B-9397-08002B2CF9AE}" pid="12" name="Mendeley Recent Style Id 5_1">
    <vt:lpwstr>http://www.zotero.org/styles/paediatrics-and-child-health</vt:lpwstr>
  </property>
  <property fmtid="{D5CDD505-2E9C-101B-9397-08002B2CF9AE}" pid="13" name="Mendeley Recent Style Name 5_1">
    <vt:lpwstr>Paediatrics and Child Health</vt:lpwstr>
  </property>
  <property fmtid="{D5CDD505-2E9C-101B-9397-08002B2CF9AE}" pid="14" name="Mendeley Recent Style Id 6_1">
    <vt:lpwstr>http://www.zotero.org/styles/plant-foods-for-human-nutrition</vt:lpwstr>
  </property>
  <property fmtid="{D5CDD505-2E9C-101B-9397-08002B2CF9AE}" pid="15" name="Mendeley Recent Style Name 6_1">
    <vt:lpwstr>Plant Foods for Human Nutrition</vt:lpwstr>
  </property>
  <property fmtid="{D5CDD505-2E9C-101B-9397-08002B2CF9AE}" pid="16" name="Mendeley Recent Style Id 7_1">
    <vt:lpwstr>http://www.zotero.org/styles/taylor-and-francis-national-library-of-medicine</vt:lpwstr>
  </property>
  <property fmtid="{D5CDD505-2E9C-101B-9397-08002B2CF9AE}" pid="17" name="Mendeley Recent Style Name 7_1">
    <vt:lpwstr>Taylor &amp; Francis - National Library of Medicine</vt:lpwstr>
  </property>
  <property fmtid="{D5CDD505-2E9C-101B-9397-08002B2CF9AE}" pid="18" name="Mendeley Recent Style Id 8_1">
    <vt:lpwstr>http://www.zotero.org/styles/the-journal-of-nutritional-biochemistry</vt:lpwstr>
  </property>
  <property fmtid="{D5CDD505-2E9C-101B-9397-08002B2CF9AE}" pid="19" name="Mendeley Recent Style Name 8_1">
    <vt:lpwstr>The Journal of Nutritional Biochemistry</vt:lpwstr>
  </property>
  <property fmtid="{D5CDD505-2E9C-101B-9397-08002B2CF9AE}" pid="20" name="Mendeley Recent Style Id 9_1">
    <vt:lpwstr>http://www.zotero.org/styles/vaccine</vt:lpwstr>
  </property>
  <property fmtid="{D5CDD505-2E9C-101B-9397-08002B2CF9AE}" pid="21" name="Mendeley Recent Style Name 9_1">
    <vt:lpwstr>Vaccine</vt:lpwstr>
  </property>
  <property fmtid="{D5CDD505-2E9C-101B-9397-08002B2CF9AE}" pid="22" name="Mendeley Document_1">
    <vt:lpwstr>True</vt:lpwstr>
  </property>
  <property fmtid="{D5CDD505-2E9C-101B-9397-08002B2CF9AE}" pid="23" name="Mendeley Unique User Id_1">
    <vt:lpwstr>fb4006ae-7131-35e8-ab32-05cfdabc6be3</vt:lpwstr>
  </property>
  <property fmtid="{D5CDD505-2E9C-101B-9397-08002B2CF9AE}" pid="24" name="Mendeley Citation Style_1">
    <vt:lpwstr>http://www.zotero.org/styles/plant-foods-for-human-nutrition</vt:lpwstr>
  </property>
</Properties>
</file>