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0C0E" w:rsidRPr="00D51809" w:rsidRDefault="00CB0C0E" w:rsidP="00CB0C0E">
      <w:pPr>
        <w:jc w:val="center"/>
        <w:rPr>
          <w:b/>
          <w:lang w:val="en-US"/>
        </w:rPr>
      </w:pPr>
      <w:r w:rsidRPr="00D51809">
        <w:rPr>
          <w:b/>
          <w:lang w:val="en-US"/>
        </w:rPr>
        <w:t>SUPPLEMENTARY INFORMATION</w:t>
      </w:r>
    </w:p>
    <w:p w:rsidR="00CB0C0E" w:rsidRPr="00D51809" w:rsidRDefault="00CB0C0E" w:rsidP="00C83126">
      <w:pPr>
        <w:spacing w:line="480" w:lineRule="auto"/>
        <w:jc w:val="center"/>
        <w:rPr>
          <w:b/>
          <w:lang w:val="en-US"/>
        </w:rPr>
      </w:pPr>
    </w:p>
    <w:p w:rsidR="00C432BA" w:rsidRPr="00D51809" w:rsidRDefault="00C432BA" w:rsidP="00C432BA">
      <w:pPr>
        <w:spacing w:line="480" w:lineRule="auto"/>
        <w:jc w:val="center"/>
        <w:rPr>
          <w:b/>
          <w:lang w:val="en-US"/>
        </w:rPr>
      </w:pPr>
      <w:r w:rsidRPr="00D51809">
        <w:rPr>
          <w:b/>
          <w:lang w:val="en-US"/>
        </w:rPr>
        <w:t>Total phenolic, flavonoid content, and antioxidant activity of dried marigold (</w:t>
      </w:r>
      <w:r w:rsidRPr="00D51809">
        <w:rPr>
          <w:b/>
          <w:i/>
          <w:iCs/>
          <w:lang w:val="en-US"/>
        </w:rPr>
        <w:t>Tagetes erecta</w:t>
      </w:r>
      <w:r w:rsidRPr="00D51809">
        <w:rPr>
          <w:lang w:val="en-US"/>
        </w:rPr>
        <w:t xml:space="preserve"> </w:t>
      </w:r>
      <w:r w:rsidRPr="00D51809">
        <w:rPr>
          <w:b/>
          <w:lang w:val="en-US"/>
        </w:rPr>
        <w:t xml:space="preserve">L) petals </w:t>
      </w:r>
      <w:r w:rsidR="005545BF" w:rsidRPr="00D51809">
        <w:rPr>
          <w:b/>
          <w:lang w:val="en-US"/>
        </w:rPr>
        <w:t>produced</w:t>
      </w:r>
      <w:r w:rsidRPr="00D51809">
        <w:rPr>
          <w:b/>
          <w:lang w:val="en-US"/>
        </w:rPr>
        <w:t xml:space="preserve"> in a mixed mode solar dryer</w:t>
      </w:r>
    </w:p>
    <w:p w:rsidR="00C432BA" w:rsidRPr="00D51809" w:rsidRDefault="00C432BA" w:rsidP="00C432BA">
      <w:pPr>
        <w:spacing w:line="480" w:lineRule="auto"/>
        <w:jc w:val="both"/>
      </w:pPr>
      <w:r w:rsidRPr="00D51809">
        <w:t>Alfredo Domínguez-Niño</w:t>
      </w:r>
      <w:r w:rsidRPr="00D51809">
        <w:rPr>
          <w:vertAlign w:val="superscript"/>
        </w:rPr>
        <w:t xml:space="preserve"> </w:t>
      </w:r>
      <w:proofErr w:type="spellStart"/>
      <w:proofErr w:type="gramStart"/>
      <w:r w:rsidRPr="00D51809">
        <w:rPr>
          <w:vertAlign w:val="superscript"/>
        </w:rPr>
        <w:t>a,b</w:t>
      </w:r>
      <w:proofErr w:type="spellEnd"/>
      <w:proofErr w:type="gramEnd"/>
      <w:r w:rsidRPr="00D51809">
        <w:t>, Paulina Guillén-Velázquez</w:t>
      </w:r>
      <w:r w:rsidRPr="00D51809">
        <w:rPr>
          <w:vertAlign w:val="superscript"/>
        </w:rPr>
        <w:t xml:space="preserve"> </w:t>
      </w:r>
      <w:proofErr w:type="spellStart"/>
      <w:r w:rsidRPr="00D51809">
        <w:rPr>
          <w:vertAlign w:val="superscript"/>
        </w:rPr>
        <w:t>a,c</w:t>
      </w:r>
      <w:proofErr w:type="spellEnd"/>
      <w:r w:rsidRPr="00D51809">
        <w:t>, Iris Santos-</w:t>
      </w:r>
      <w:proofErr w:type="spellStart"/>
      <w:r w:rsidRPr="00D51809">
        <w:t>González</w:t>
      </w:r>
      <w:r w:rsidRPr="00D51809">
        <w:rPr>
          <w:vertAlign w:val="superscript"/>
        </w:rPr>
        <w:t>d</w:t>
      </w:r>
      <w:proofErr w:type="spellEnd"/>
      <w:r w:rsidRPr="00D51809">
        <w:t xml:space="preserve">, Octavio </w:t>
      </w:r>
      <w:bookmarkStart w:id="0" w:name="_GoBack"/>
      <w:bookmarkEnd w:id="0"/>
      <w:r w:rsidRPr="00D51809">
        <w:t>García-Valladares</w:t>
      </w:r>
      <w:r w:rsidRPr="00D51809">
        <w:rPr>
          <w:vertAlign w:val="superscript"/>
        </w:rPr>
        <w:t xml:space="preserve"> a*</w:t>
      </w:r>
      <w:r w:rsidRPr="00D51809">
        <w:t>, José Manuel Vázquez-Morales</w:t>
      </w:r>
      <w:r w:rsidRPr="00D51809">
        <w:rPr>
          <w:vertAlign w:val="superscript"/>
        </w:rPr>
        <w:t xml:space="preserve">a </w:t>
      </w:r>
    </w:p>
    <w:p w:rsidR="00C432BA" w:rsidRPr="00D51809" w:rsidRDefault="00C432BA" w:rsidP="00C432BA">
      <w:pPr>
        <w:spacing w:line="480" w:lineRule="auto"/>
        <w:jc w:val="both"/>
      </w:pPr>
      <w:proofErr w:type="spellStart"/>
      <w:r w:rsidRPr="00D51809">
        <w:rPr>
          <w:vertAlign w:val="superscript"/>
        </w:rPr>
        <w:t>a</w:t>
      </w:r>
      <w:r w:rsidRPr="00D51809">
        <w:t>Instituto</w:t>
      </w:r>
      <w:proofErr w:type="spellEnd"/>
      <w:r w:rsidRPr="00D51809">
        <w:t xml:space="preserve"> de Energías Renovables-UNAM, Departamento de Sistemas Energéticos, Temixco, Morelos, México. </w:t>
      </w:r>
      <w:r w:rsidRPr="00D51809">
        <w:rPr>
          <w:vertAlign w:val="superscript"/>
        </w:rPr>
        <w:t xml:space="preserve"> </w:t>
      </w:r>
      <w:proofErr w:type="spellStart"/>
      <w:r w:rsidRPr="00D51809">
        <w:rPr>
          <w:vertAlign w:val="superscript"/>
        </w:rPr>
        <w:t>b</w:t>
      </w:r>
      <w:r w:rsidRPr="00D51809">
        <w:t>Secretaría</w:t>
      </w:r>
      <w:proofErr w:type="spellEnd"/>
      <w:r w:rsidRPr="00D51809">
        <w:t xml:space="preserve"> de Ciencia, Humanidades, Tecnología e Innovación, Dirección Adjunta de Desarrollo Científico </w:t>
      </w:r>
      <w:proofErr w:type="spellStart"/>
      <w:r w:rsidRPr="00D51809">
        <w:t>Mexico</w:t>
      </w:r>
      <w:proofErr w:type="spellEnd"/>
      <w:r w:rsidRPr="00D51809">
        <w:t xml:space="preserve"> City, México. </w:t>
      </w:r>
      <w:proofErr w:type="spellStart"/>
      <w:r w:rsidRPr="00D51809">
        <w:rPr>
          <w:vertAlign w:val="superscript"/>
        </w:rPr>
        <w:t>c</w:t>
      </w:r>
      <w:r w:rsidRPr="00D51809">
        <w:t>Secretaría</w:t>
      </w:r>
      <w:proofErr w:type="spellEnd"/>
      <w:r w:rsidRPr="00D51809">
        <w:t xml:space="preserve"> de Ciencia, Humanidades, Tecnología e Innovación, Estancias Posdoctorales por México, </w:t>
      </w:r>
      <w:proofErr w:type="spellStart"/>
      <w:r w:rsidRPr="00D51809">
        <w:t>Mexico</w:t>
      </w:r>
      <w:proofErr w:type="spellEnd"/>
      <w:r w:rsidRPr="00D51809">
        <w:t xml:space="preserve"> City, México. </w:t>
      </w:r>
      <w:proofErr w:type="spellStart"/>
      <w:r w:rsidRPr="00D51809">
        <w:rPr>
          <w:vertAlign w:val="superscript"/>
        </w:rPr>
        <w:t>d</w:t>
      </w:r>
      <w:r w:rsidRPr="00D51809">
        <w:t>Secretaría</w:t>
      </w:r>
      <w:proofErr w:type="spellEnd"/>
      <w:r w:rsidRPr="00D51809">
        <w:t xml:space="preserve"> de Ciencia, Humanidades, Tecnología e Innovación, Investigadoras e Investigadores por México.</w:t>
      </w:r>
    </w:p>
    <w:p w:rsidR="00C432BA" w:rsidRPr="00D51809" w:rsidRDefault="00C432BA" w:rsidP="00C432BA">
      <w:pPr>
        <w:spacing w:line="480" w:lineRule="auto"/>
        <w:jc w:val="both"/>
      </w:pPr>
      <w:r w:rsidRPr="00D51809">
        <w:t>*</w:t>
      </w:r>
      <w:proofErr w:type="spellStart"/>
      <w:r w:rsidRPr="00D51809">
        <w:t>Corresponding</w:t>
      </w:r>
      <w:proofErr w:type="spellEnd"/>
      <w:r w:rsidRPr="00D51809">
        <w:t xml:space="preserve"> </w:t>
      </w:r>
      <w:proofErr w:type="spellStart"/>
      <w:r w:rsidRPr="00D51809">
        <w:t>author</w:t>
      </w:r>
      <w:proofErr w:type="spellEnd"/>
      <w:r w:rsidRPr="00D51809">
        <w:t xml:space="preserve">: ogv@ier.unam.mx (O. García-Valladares) </w:t>
      </w:r>
    </w:p>
    <w:p w:rsidR="00C432BA" w:rsidRPr="00D51809" w:rsidRDefault="00C432BA" w:rsidP="00C432BA">
      <w:pPr>
        <w:spacing w:line="480" w:lineRule="auto"/>
        <w:jc w:val="both"/>
      </w:pPr>
      <w:r w:rsidRPr="00D51809">
        <w:t>Alfredo Domínguez Niño                              http://orcid.org/0000-0001-5411-8264</w:t>
      </w:r>
    </w:p>
    <w:p w:rsidR="00C432BA" w:rsidRPr="00D51809" w:rsidRDefault="00C432BA" w:rsidP="00C432BA">
      <w:pPr>
        <w:tabs>
          <w:tab w:val="center" w:pos="4419"/>
        </w:tabs>
        <w:spacing w:line="480" w:lineRule="auto"/>
        <w:jc w:val="both"/>
      </w:pPr>
      <w:r w:rsidRPr="00D51809">
        <w:t xml:space="preserve">Paulina Guillén Velázquez                            </w:t>
      </w:r>
      <w:hyperlink r:id="rId5" w:history="1">
        <w:r w:rsidRPr="00D51809">
          <w:rPr>
            <w:rStyle w:val="Hipervnculo"/>
            <w:color w:val="auto"/>
            <w:u w:val="none"/>
          </w:rPr>
          <w:t>https://orcid.org/0000-0002-4508-1102</w:t>
        </w:r>
      </w:hyperlink>
    </w:p>
    <w:p w:rsidR="00C432BA" w:rsidRPr="00D51809" w:rsidRDefault="00C432BA" w:rsidP="00C432BA">
      <w:pPr>
        <w:tabs>
          <w:tab w:val="left" w:pos="4419"/>
        </w:tabs>
        <w:spacing w:line="480" w:lineRule="auto"/>
        <w:jc w:val="both"/>
      </w:pPr>
      <w:r w:rsidRPr="00D51809">
        <w:t>Iris Santos González                                      https://orcid.org/0009-0008-1063-5583</w:t>
      </w:r>
    </w:p>
    <w:p w:rsidR="00C432BA" w:rsidRPr="00D51809" w:rsidRDefault="00C432BA" w:rsidP="00C432BA">
      <w:pPr>
        <w:tabs>
          <w:tab w:val="left" w:pos="9465"/>
        </w:tabs>
        <w:spacing w:line="480" w:lineRule="auto"/>
        <w:jc w:val="both"/>
      </w:pPr>
      <w:r w:rsidRPr="00D51809">
        <w:t xml:space="preserve">Octavio García Valladares                            </w:t>
      </w:r>
      <w:hyperlink r:id="rId6" w:history="1">
        <w:r w:rsidRPr="00D51809">
          <w:rPr>
            <w:rStyle w:val="Hipervnculo"/>
            <w:color w:val="auto"/>
            <w:u w:val="none"/>
          </w:rPr>
          <w:t>http://orcid.org/0000-0001-9478-4157</w:t>
        </w:r>
      </w:hyperlink>
    </w:p>
    <w:p w:rsidR="00C432BA" w:rsidRPr="00D51809" w:rsidRDefault="00C432BA" w:rsidP="00C432BA">
      <w:pPr>
        <w:tabs>
          <w:tab w:val="left" w:pos="9465"/>
        </w:tabs>
        <w:spacing w:line="480" w:lineRule="auto"/>
        <w:jc w:val="both"/>
      </w:pPr>
      <w:r w:rsidRPr="00D51809">
        <w:t>José Manuel Vázquez Morales                     https://orcid.org/0009-0004-2634-5151</w:t>
      </w:r>
    </w:p>
    <w:p w:rsidR="005E2687" w:rsidRPr="00D51809" w:rsidRDefault="005E2687" w:rsidP="00E66CF4">
      <w:pPr>
        <w:spacing w:line="480" w:lineRule="auto"/>
        <w:jc w:val="both"/>
        <w:rPr>
          <w:b/>
        </w:rPr>
      </w:pPr>
    </w:p>
    <w:p w:rsidR="005E2687" w:rsidRPr="00D51809" w:rsidRDefault="00ED32E1" w:rsidP="00E66CF4">
      <w:pPr>
        <w:spacing w:line="480" w:lineRule="auto"/>
        <w:jc w:val="both"/>
        <w:rPr>
          <w:b/>
          <w:lang w:val="en-US"/>
        </w:rPr>
      </w:pPr>
      <w:r w:rsidRPr="00D51809">
        <w:rPr>
          <w:b/>
          <w:lang w:val="en-US"/>
        </w:rPr>
        <w:t>Materials and methods</w:t>
      </w:r>
    </w:p>
    <w:p w:rsidR="00E66CF4" w:rsidRPr="00D51809" w:rsidRDefault="00E66CF4" w:rsidP="00E66CF4">
      <w:pPr>
        <w:spacing w:line="480" w:lineRule="auto"/>
        <w:jc w:val="both"/>
        <w:rPr>
          <w:b/>
          <w:i/>
          <w:lang w:val="en-US"/>
        </w:rPr>
      </w:pPr>
      <w:r w:rsidRPr="00D51809">
        <w:rPr>
          <w:b/>
          <w:i/>
          <w:lang w:val="en-US"/>
        </w:rPr>
        <w:t>Fresh marigold samples</w:t>
      </w:r>
    </w:p>
    <w:p w:rsidR="00E66CF4" w:rsidRPr="00D51809" w:rsidRDefault="00E66CF4" w:rsidP="00E66CF4">
      <w:pPr>
        <w:spacing w:line="480" w:lineRule="auto"/>
        <w:jc w:val="both"/>
        <w:rPr>
          <w:lang w:val="en-US"/>
        </w:rPr>
      </w:pPr>
      <w:r w:rsidRPr="00D51809">
        <w:rPr>
          <w:lang w:val="en-US"/>
        </w:rPr>
        <w:t xml:space="preserve">The marigold flower was cleaned, and the pedicel, receptacle, and sepals were removed. Then, the flowers were placed on the dryer trays. The raw marigold flower's initial weight and moisture content were 50 ± 2.0g and 87.35 %, respectively. Samples were placed in a </w:t>
      </w:r>
      <w:r w:rsidRPr="00D51809">
        <w:rPr>
          <w:lang w:val="en-US"/>
        </w:rPr>
        <w:lastRenderedPageBreak/>
        <w:t xml:space="preserve">Teflon mesh and introduced into the solar dryer. The marigold flower was obtained in a traditional market of agricultural products in </w:t>
      </w:r>
      <w:proofErr w:type="spellStart"/>
      <w:r w:rsidRPr="00D51809">
        <w:rPr>
          <w:lang w:val="en-US"/>
        </w:rPr>
        <w:t>Hueyapan</w:t>
      </w:r>
      <w:proofErr w:type="spellEnd"/>
      <w:r w:rsidRPr="00D51809">
        <w:rPr>
          <w:lang w:val="en-US"/>
        </w:rPr>
        <w:t>, Morelos, Mexico.</w:t>
      </w:r>
    </w:p>
    <w:p w:rsidR="00E66CF4" w:rsidRPr="00D51809" w:rsidRDefault="00E66CF4" w:rsidP="00E66CF4">
      <w:pPr>
        <w:spacing w:line="480" w:lineRule="auto"/>
        <w:jc w:val="both"/>
        <w:rPr>
          <w:b/>
          <w:i/>
          <w:lang w:val="en-US"/>
        </w:rPr>
      </w:pPr>
      <w:r w:rsidRPr="00D51809">
        <w:rPr>
          <w:b/>
          <w:i/>
          <w:lang w:val="en-US"/>
        </w:rPr>
        <w:t>Dryer description</w:t>
      </w:r>
    </w:p>
    <w:p w:rsidR="00E66CF4" w:rsidRPr="00D51809" w:rsidRDefault="00E66CF4" w:rsidP="00E66CF4">
      <w:pPr>
        <w:spacing w:line="480" w:lineRule="auto"/>
        <w:jc w:val="both"/>
        <w:rPr>
          <w:noProof/>
          <w:lang w:val="en-US"/>
        </w:rPr>
      </w:pPr>
      <w:r w:rsidRPr="00D51809">
        <w:rPr>
          <w:lang w:val="en-US"/>
        </w:rPr>
        <w:t xml:space="preserve">For this research, an </w:t>
      </w:r>
      <w:r w:rsidR="0064697B" w:rsidRPr="00D51809">
        <w:rPr>
          <w:lang w:val="en-US"/>
        </w:rPr>
        <w:t xml:space="preserve">easy to use and cheap </w:t>
      </w:r>
      <w:r w:rsidRPr="00D51809">
        <w:rPr>
          <w:lang w:val="en-US"/>
        </w:rPr>
        <w:t>mixed</w:t>
      </w:r>
      <w:r w:rsidR="0064697B" w:rsidRPr="00D51809">
        <w:rPr>
          <w:lang w:val="en-US"/>
        </w:rPr>
        <w:t>-</w:t>
      </w:r>
      <w:r w:rsidRPr="00D51809">
        <w:rPr>
          <w:lang w:val="en-US"/>
        </w:rPr>
        <w:t xml:space="preserve">type was used; it has an integrated </w:t>
      </w:r>
      <w:r w:rsidR="0064697B" w:rsidRPr="00D51809">
        <w:rPr>
          <w:lang w:val="en-US"/>
        </w:rPr>
        <w:t xml:space="preserve">photovoltaic </w:t>
      </w:r>
      <w:r w:rsidRPr="00D51809">
        <w:rPr>
          <w:lang w:val="en-US"/>
        </w:rPr>
        <w:t>fan to favor the humidity drag; the dehydrator can directly absorb the heat</w:t>
      </w:r>
      <w:r w:rsidR="0064697B" w:rsidRPr="00D51809">
        <w:rPr>
          <w:lang w:val="en-US"/>
        </w:rPr>
        <w:t xml:space="preserve"> of the sun in the drying chamber</w:t>
      </w:r>
      <w:r w:rsidRPr="00D51809">
        <w:rPr>
          <w:lang w:val="en-US"/>
        </w:rPr>
        <w:t>, and the process is improved by adding an air heater flat plate solar collector. The drying chamber contains ten trays (0.63 x 0.43 m) in five levels; each tray has 0.0025 x 0.007 m perforations. The cover of the drying chamber was made of polycarbonate of 6 mm with ultraviolet protection</w:t>
      </w:r>
      <w:bookmarkStart w:id="1" w:name="_Hlk175830586"/>
      <w:r w:rsidR="004F3EE8" w:rsidRPr="00D51809">
        <w:rPr>
          <w:lang w:val="en-US"/>
        </w:rPr>
        <w:t>.</w:t>
      </w:r>
      <w:r w:rsidRPr="00D51809">
        <w:rPr>
          <w:noProof/>
          <w:lang w:val="en-US"/>
        </w:rPr>
        <w:t xml:space="preserve"> </w:t>
      </w:r>
    </w:p>
    <w:p w:rsidR="00B57644" w:rsidRPr="00D51809" w:rsidRDefault="00B57644" w:rsidP="00B57644">
      <w:pPr>
        <w:spacing w:line="480" w:lineRule="auto"/>
        <w:jc w:val="both"/>
        <w:rPr>
          <w:lang w:val="en-US"/>
        </w:rPr>
      </w:pPr>
      <w:r w:rsidRPr="00D51809">
        <w:rPr>
          <w:lang w:val="en-US"/>
        </w:rPr>
        <w:t xml:space="preserve">The mixed-type solar dryer has three fundamental parts, a flat </w:t>
      </w:r>
      <w:r w:rsidR="006335E1" w:rsidRPr="00D51809">
        <w:rPr>
          <w:lang w:val="en-US"/>
        </w:rPr>
        <w:t xml:space="preserve">plate </w:t>
      </w:r>
      <w:r w:rsidRPr="00D51809">
        <w:rPr>
          <w:lang w:val="en-US"/>
        </w:rPr>
        <w:t>solar collector for air heating, a drying chamber with a polycarbonate cover and a small photovoltaic fan. The drying chamber can allow the passage of solar radiation through a transparent polycarbonate cover operated in mixed mode or can be covered to operate in indirect mode</w:t>
      </w:r>
      <w:r w:rsidR="006335E1" w:rsidRPr="00D51809">
        <w:rPr>
          <w:lang w:val="en-US"/>
        </w:rPr>
        <w:t xml:space="preserve"> (</w:t>
      </w:r>
      <w:r w:rsidR="006335E1" w:rsidRPr="00D51809">
        <w:rPr>
          <w:lang w:val="en"/>
        </w:rPr>
        <w:t>only with the hot air coming from the solar collector</w:t>
      </w:r>
      <w:r w:rsidR="006335E1" w:rsidRPr="00D51809">
        <w:rPr>
          <w:lang w:val="en-US"/>
        </w:rPr>
        <w:t>)</w:t>
      </w:r>
      <w:r w:rsidRPr="00D51809">
        <w:rPr>
          <w:lang w:val="en-US"/>
        </w:rPr>
        <w:t>; inside the drying chamber (0.32m</w:t>
      </w:r>
      <w:r w:rsidRPr="00D51809">
        <w:rPr>
          <w:vertAlign w:val="superscript"/>
          <w:lang w:val="en-US"/>
        </w:rPr>
        <w:t>3</w:t>
      </w:r>
      <w:r w:rsidRPr="00D51809">
        <w:rPr>
          <w:lang w:val="en-US"/>
        </w:rPr>
        <w:t>) there are 10 perforated trays of 63 x 43 cm, with a total drying area of 2.7 m</w:t>
      </w:r>
      <w:r w:rsidRPr="00D51809">
        <w:rPr>
          <w:vertAlign w:val="superscript"/>
          <w:lang w:val="en-US"/>
        </w:rPr>
        <w:t>2</w:t>
      </w:r>
      <w:r w:rsidRPr="00D51809">
        <w:rPr>
          <w:lang w:val="en-US"/>
        </w:rPr>
        <w:t>, which are arranged in 5 ascending vertical levels.  The solar collector for air heating has a gross area of 1.9 m</w:t>
      </w:r>
      <w:r w:rsidRPr="00D51809">
        <w:rPr>
          <w:vertAlign w:val="superscript"/>
          <w:lang w:val="en-US"/>
        </w:rPr>
        <w:t>2</w:t>
      </w:r>
      <w:r w:rsidRPr="00D51809">
        <w:rPr>
          <w:lang w:val="en-US"/>
        </w:rPr>
        <w:t xml:space="preserve"> (1.2 x 1.59 m) with a solar tempered glass of 3.2 mm and an aluminum sheet with selective surface. The air is heated by the solar collector which flows in a combination of natural and forced convection (due to the small </w:t>
      </w:r>
      <w:r w:rsidR="006335E1" w:rsidRPr="00D51809">
        <w:rPr>
          <w:lang w:val="en-US"/>
        </w:rPr>
        <w:t xml:space="preserve">photovoltaic </w:t>
      </w:r>
      <w:r w:rsidRPr="00D51809">
        <w:rPr>
          <w:lang w:val="en-US"/>
        </w:rPr>
        <w:t>fan) into the drying chamber, then the air flows between marigold petals and through processes of heat and mass transfer, the air gives heat to the marigold petals, and they give moisture to the air. Subsequently hot and humid air leaves the drying chamber through the upper part of the drying chamber.</w:t>
      </w:r>
    </w:p>
    <w:p w:rsidR="00B57644" w:rsidRPr="00D51809" w:rsidRDefault="00B57644" w:rsidP="00E66CF4">
      <w:pPr>
        <w:spacing w:line="480" w:lineRule="auto"/>
        <w:jc w:val="both"/>
        <w:rPr>
          <w:noProof/>
          <w:lang w:val="en-US"/>
        </w:rPr>
      </w:pPr>
    </w:p>
    <w:p w:rsidR="00E66CF4" w:rsidRPr="00D51809" w:rsidRDefault="00E66CF4" w:rsidP="00E66CF4">
      <w:pPr>
        <w:spacing w:line="480" w:lineRule="auto"/>
        <w:jc w:val="center"/>
        <w:rPr>
          <w:noProof/>
          <w:lang w:val="en-US"/>
        </w:rPr>
      </w:pPr>
    </w:p>
    <w:p w:rsidR="00FD0398" w:rsidRPr="00D51809" w:rsidRDefault="00FD0398" w:rsidP="00E66CF4">
      <w:pPr>
        <w:spacing w:line="480" w:lineRule="auto"/>
        <w:jc w:val="center"/>
        <w:rPr>
          <w:noProof/>
          <w:lang w:val="en-US"/>
        </w:rPr>
      </w:pPr>
    </w:p>
    <w:p w:rsidR="00FD0398" w:rsidRPr="00D51809" w:rsidRDefault="00FD0398" w:rsidP="00FD0398">
      <w:pPr>
        <w:spacing w:line="480" w:lineRule="auto"/>
        <w:jc w:val="both"/>
        <w:rPr>
          <w:b/>
          <w:i/>
          <w:noProof/>
          <w:lang w:val="en-US"/>
        </w:rPr>
      </w:pPr>
      <w:r w:rsidRPr="00D51809">
        <w:rPr>
          <w:b/>
          <w:i/>
          <w:noProof/>
          <w:lang w:val="en-US"/>
        </w:rPr>
        <w:t>Drying kinetics</w:t>
      </w:r>
    </w:p>
    <w:p w:rsidR="00775356" w:rsidRPr="00D51809" w:rsidRDefault="00775356" w:rsidP="00775356">
      <w:pPr>
        <w:spacing w:line="480" w:lineRule="auto"/>
        <w:jc w:val="both"/>
        <w:rPr>
          <w:lang w:val="en-US"/>
        </w:rPr>
      </w:pPr>
      <w:r w:rsidRPr="00D51809">
        <w:rPr>
          <w:lang w:val="en-US"/>
        </w:rPr>
        <w:t xml:space="preserve">The solar drying process of </w:t>
      </w:r>
      <w:r w:rsidR="006335E1" w:rsidRPr="00D51809">
        <w:rPr>
          <w:lang w:val="en-US"/>
        </w:rPr>
        <w:t xml:space="preserve">marigold </w:t>
      </w:r>
      <w:r w:rsidRPr="00D51809">
        <w:rPr>
          <w:lang w:val="en-US"/>
        </w:rPr>
        <w:t xml:space="preserve">flower was carried out on the day: </w:t>
      </w:r>
      <w:r w:rsidR="00EB40F6" w:rsidRPr="00D51809">
        <w:rPr>
          <w:lang w:val="en-US"/>
        </w:rPr>
        <w:t>21</w:t>
      </w:r>
      <w:r w:rsidR="00EB40F6" w:rsidRPr="00D51809">
        <w:rPr>
          <w:vertAlign w:val="superscript"/>
          <w:lang w:val="en-US"/>
        </w:rPr>
        <w:t>st</w:t>
      </w:r>
      <w:r w:rsidR="00EB40F6" w:rsidRPr="00D51809">
        <w:rPr>
          <w:lang w:val="en-US"/>
        </w:rPr>
        <w:t xml:space="preserve"> October, 2024 </w:t>
      </w:r>
      <w:r w:rsidRPr="00D51809">
        <w:rPr>
          <w:lang w:val="en-US"/>
        </w:rPr>
        <w:t xml:space="preserve">and </w:t>
      </w:r>
      <w:r w:rsidR="00EB40F6" w:rsidRPr="00D51809">
        <w:rPr>
          <w:lang w:val="en-US"/>
        </w:rPr>
        <w:t>24</w:t>
      </w:r>
      <w:r w:rsidR="00EB40F6" w:rsidRPr="00D51809">
        <w:rPr>
          <w:vertAlign w:val="superscript"/>
          <w:lang w:val="en-US"/>
        </w:rPr>
        <w:t>th</w:t>
      </w:r>
      <w:r w:rsidR="00EB40F6" w:rsidRPr="00D51809">
        <w:rPr>
          <w:lang w:val="en-US"/>
        </w:rPr>
        <w:t xml:space="preserve"> October, 2024 </w:t>
      </w:r>
      <w:r w:rsidRPr="00D51809">
        <w:rPr>
          <w:lang w:val="en-US"/>
        </w:rPr>
        <w:t xml:space="preserve">by using a </w:t>
      </w:r>
      <w:r w:rsidR="006335E1" w:rsidRPr="00D51809">
        <w:rPr>
          <w:lang w:val="en-US"/>
        </w:rPr>
        <w:t>mixed-type solar dryer</w:t>
      </w:r>
      <w:r w:rsidRPr="00D51809">
        <w:rPr>
          <w:lang w:val="en-US"/>
        </w:rPr>
        <w:t xml:space="preserve"> (Figure </w:t>
      </w:r>
      <w:r w:rsidR="006F7148" w:rsidRPr="00D51809">
        <w:rPr>
          <w:lang w:val="en-US"/>
        </w:rPr>
        <w:t>1</w:t>
      </w:r>
      <w:r w:rsidRPr="00D51809">
        <w:rPr>
          <w:lang w:val="en-US"/>
        </w:rPr>
        <w:t>).</w:t>
      </w:r>
    </w:p>
    <w:p w:rsidR="00FD0398" w:rsidRPr="00D51809" w:rsidRDefault="00FD0398" w:rsidP="00FD0398">
      <w:pPr>
        <w:spacing w:line="480" w:lineRule="auto"/>
        <w:jc w:val="both"/>
        <w:rPr>
          <w:lang w:val="en-US"/>
        </w:rPr>
      </w:pPr>
      <w:r w:rsidRPr="00D51809">
        <w:rPr>
          <w:bCs/>
          <w:lang w:val="en-US"/>
        </w:rPr>
        <w:t xml:space="preserve">The moisture content </w:t>
      </w:r>
      <w:r w:rsidR="003928A3" w:rsidRPr="00D51809">
        <w:rPr>
          <w:bCs/>
          <w:lang w:val="en-US"/>
        </w:rPr>
        <w:t xml:space="preserve">evolution </w:t>
      </w:r>
      <w:r w:rsidRPr="00D51809">
        <w:rPr>
          <w:bCs/>
          <w:lang w:val="en-US"/>
        </w:rPr>
        <w:t>was calculated by applying the equation reported by Vijayan [</w:t>
      </w:r>
      <w:r w:rsidR="00E22B3D" w:rsidRPr="00D51809">
        <w:rPr>
          <w:bCs/>
          <w:lang w:val="en-US"/>
        </w:rPr>
        <w:t>1</w:t>
      </w:r>
      <w:r w:rsidRPr="00D51809">
        <w:rPr>
          <w:bCs/>
          <w:lang w:val="en-US"/>
        </w:rPr>
        <w:t>]</w:t>
      </w:r>
    </w:p>
    <w:p w:rsidR="00FD0398" w:rsidRPr="00D51809" w:rsidRDefault="00D51809" w:rsidP="00E22B3D">
      <w:pPr>
        <w:spacing w:line="480" w:lineRule="auto"/>
        <w:jc w:val="center"/>
        <w:rPr>
          <w:noProof/>
          <w:lang w:val="en-US"/>
        </w:rPr>
      </w:pPr>
      <m:oMath>
        <m:sSub>
          <m:sSubPr>
            <m:ctrlPr>
              <w:rPr>
                <w:rFonts w:ascii="Cambria Math" w:hAnsi="Cambria Math"/>
                <w:i/>
              </w:rPr>
            </m:ctrlPr>
          </m:sSubPr>
          <m:e>
            <m:r>
              <w:rPr>
                <w:rFonts w:ascii="Cambria Math" w:hAnsi="Cambria Math"/>
              </w:rPr>
              <m:t>M</m:t>
            </m:r>
          </m:e>
          <m:sub>
            <m:r>
              <w:rPr>
                <w:rFonts w:ascii="Cambria Math" w:hAnsi="Cambria Math"/>
              </w:rPr>
              <m:t>wb</m:t>
            </m:r>
          </m:sub>
        </m:sSub>
        <m:r>
          <w:rPr>
            <w:rFonts w:ascii="Cambria Math" w:hAnsi="Cambria Math"/>
            <w:lang w:val="en-US"/>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w</m:t>
                </m:r>
              </m:sub>
            </m:sSub>
          </m:num>
          <m:den>
            <m:sSub>
              <m:sSubPr>
                <m:ctrlPr>
                  <w:rPr>
                    <w:rFonts w:ascii="Cambria Math" w:hAnsi="Cambria Math"/>
                    <w:i/>
                  </w:rPr>
                </m:ctrlPr>
              </m:sSubPr>
              <m:e>
                <m:r>
                  <w:rPr>
                    <w:rFonts w:ascii="Cambria Math" w:hAnsi="Cambria Math"/>
                  </w:rPr>
                  <m:t>m</m:t>
                </m:r>
              </m:e>
              <m:sub>
                <m:r>
                  <w:rPr>
                    <w:rFonts w:ascii="Cambria Math" w:hAnsi="Cambria Math"/>
                  </w:rPr>
                  <m:t>w</m:t>
                </m:r>
              </m:sub>
            </m:sSub>
            <m:r>
              <w:rPr>
                <w:rFonts w:ascii="Cambria Math" w:hAnsi="Cambria Math"/>
                <w:lang w:val="en-US"/>
              </w:rPr>
              <m:t>+</m:t>
            </m:r>
            <m:sSub>
              <m:sSubPr>
                <m:ctrlPr>
                  <w:rPr>
                    <w:rFonts w:ascii="Cambria Math" w:hAnsi="Cambria Math"/>
                    <w:i/>
                  </w:rPr>
                </m:ctrlPr>
              </m:sSubPr>
              <m:e>
                <m:r>
                  <w:rPr>
                    <w:rFonts w:ascii="Cambria Math" w:hAnsi="Cambria Math"/>
                  </w:rPr>
                  <m:t>m</m:t>
                </m:r>
              </m:e>
              <m:sub>
                <m:r>
                  <w:rPr>
                    <w:rFonts w:ascii="Cambria Math" w:hAnsi="Cambria Math"/>
                  </w:rPr>
                  <m:t>d</m:t>
                </m:r>
              </m:sub>
            </m:sSub>
          </m:den>
        </m:f>
        <m:r>
          <w:rPr>
            <w:rFonts w:ascii="Cambria Math" w:hAnsi="Cambria Math"/>
            <w:lang w:val="en-US"/>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w</m:t>
                </m:r>
              </m:sub>
            </m:sSub>
          </m:num>
          <m:den>
            <m:sSub>
              <m:sSubPr>
                <m:ctrlPr>
                  <w:rPr>
                    <w:rFonts w:ascii="Cambria Math" w:hAnsi="Cambria Math"/>
                    <w:i/>
                  </w:rPr>
                </m:ctrlPr>
              </m:sSubPr>
              <m:e>
                <m:r>
                  <w:rPr>
                    <w:rFonts w:ascii="Cambria Math" w:hAnsi="Cambria Math"/>
                  </w:rPr>
                  <m:t>m</m:t>
                </m:r>
              </m:e>
              <m:sub>
                <m:r>
                  <w:rPr>
                    <w:rFonts w:ascii="Cambria Math" w:hAnsi="Cambria Math"/>
                  </w:rPr>
                  <m:t>t</m:t>
                </m:r>
              </m:sub>
            </m:sSub>
          </m:den>
        </m:f>
      </m:oMath>
      <w:r w:rsidR="006F67AF" w:rsidRPr="00D51809">
        <w:rPr>
          <w:noProof/>
          <w:lang w:val="en-US"/>
        </w:rPr>
        <w:t xml:space="preserve">                         (1)</w:t>
      </w:r>
    </w:p>
    <w:p w:rsidR="00E22B3D" w:rsidRPr="00D51809" w:rsidRDefault="00E22B3D" w:rsidP="00E22B3D">
      <w:pPr>
        <w:spacing w:line="480" w:lineRule="auto"/>
        <w:jc w:val="both"/>
        <w:rPr>
          <w:noProof/>
          <w:lang w:val="en-US"/>
        </w:rPr>
      </w:pPr>
      <w:r w:rsidRPr="00D51809">
        <w:rPr>
          <w:noProof/>
          <w:lang w:val="en-US"/>
        </w:rPr>
        <w:t>Where:</w:t>
      </w:r>
    </w:p>
    <w:p w:rsidR="00E22B3D" w:rsidRPr="00D51809" w:rsidRDefault="00D51809" w:rsidP="00E22B3D">
      <w:pPr>
        <w:spacing w:line="480" w:lineRule="auto"/>
        <w:rPr>
          <w:rFonts w:eastAsiaTheme="minorEastAsia"/>
          <w:lang w:val="en-US"/>
        </w:rPr>
      </w:pP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wb</m:t>
            </m:r>
          </m:sub>
        </m:sSub>
      </m:oMath>
      <w:r w:rsidR="00E22B3D" w:rsidRPr="00D51809">
        <w:rPr>
          <w:rFonts w:eastAsiaTheme="minorEastAsia"/>
          <w:lang w:val="en-US"/>
        </w:rPr>
        <w:t xml:space="preserve">            Is the moisture wet basis (kg)</w:t>
      </w:r>
    </w:p>
    <w:p w:rsidR="00E22B3D" w:rsidRPr="00D51809" w:rsidRDefault="00D51809" w:rsidP="00E22B3D">
      <w:pPr>
        <w:spacing w:line="480" w:lineRule="auto"/>
        <w:rPr>
          <w:rFonts w:eastAsiaTheme="minorEastAsia"/>
          <w:lang w:val="en-US"/>
        </w:rPr>
      </w:pPr>
      <m:oMath>
        <m:sSub>
          <m:sSubPr>
            <m:ctrlPr>
              <w:rPr>
                <w:rFonts w:ascii="Cambria Math" w:hAnsi="Cambria Math"/>
                <w:i/>
                <w:lang w:val="es-ES"/>
              </w:rPr>
            </m:ctrlPr>
          </m:sSubPr>
          <m:e>
            <m:r>
              <w:rPr>
                <w:rFonts w:ascii="Cambria Math" w:hAnsi="Cambria Math"/>
                <w:lang w:val="es-ES"/>
              </w:rPr>
              <m:t>m</m:t>
            </m:r>
          </m:e>
          <m:sub>
            <m:r>
              <w:rPr>
                <w:rFonts w:ascii="Cambria Math" w:hAnsi="Cambria Math"/>
                <w:lang w:val="es-ES"/>
              </w:rPr>
              <m:t>w</m:t>
            </m:r>
          </m:sub>
        </m:sSub>
      </m:oMath>
      <w:r w:rsidR="00E22B3D" w:rsidRPr="00D51809">
        <w:rPr>
          <w:rFonts w:eastAsiaTheme="minorEastAsia"/>
          <w:lang w:val="en-US"/>
        </w:rPr>
        <w:t xml:space="preserve">             Is the mass of water evaporated (kg)</w:t>
      </w:r>
    </w:p>
    <w:p w:rsidR="00E22B3D" w:rsidRPr="00D51809" w:rsidRDefault="00D51809" w:rsidP="00E22B3D">
      <w:pPr>
        <w:spacing w:line="480" w:lineRule="auto"/>
        <w:rPr>
          <w:rFonts w:eastAsiaTheme="minorEastAsia"/>
          <w:lang w:val="en-US"/>
        </w:rPr>
      </w:pP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d</m:t>
            </m:r>
          </m:sub>
        </m:sSub>
      </m:oMath>
      <w:r w:rsidR="00E22B3D" w:rsidRPr="00D51809">
        <w:rPr>
          <w:rFonts w:eastAsiaTheme="minorEastAsia"/>
          <w:lang w:val="en-US"/>
        </w:rPr>
        <w:t xml:space="preserve">              Is the dry mass (kg)</w:t>
      </w:r>
    </w:p>
    <w:p w:rsidR="00E22B3D" w:rsidRPr="00D51809" w:rsidRDefault="00D51809" w:rsidP="00E22B3D">
      <w:pPr>
        <w:spacing w:line="480" w:lineRule="auto"/>
        <w:rPr>
          <w:rFonts w:eastAsiaTheme="minorEastAsia"/>
          <w:lang w:val="en-US"/>
        </w:rPr>
      </w:pP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t</m:t>
            </m:r>
          </m:sub>
        </m:sSub>
      </m:oMath>
      <w:r w:rsidR="00E22B3D" w:rsidRPr="00D51809">
        <w:rPr>
          <w:rFonts w:eastAsiaTheme="minorEastAsia"/>
          <w:lang w:val="en-US"/>
        </w:rPr>
        <w:t xml:space="preserve">               Is the total mass (</w:t>
      </w:r>
      <w:proofErr w:type="gramStart"/>
      <w:r w:rsidR="00E22B3D" w:rsidRPr="00D51809">
        <w:rPr>
          <w:rFonts w:eastAsiaTheme="minorEastAsia"/>
          <w:lang w:val="en-US"/>
        </w:rPr>
        <w:t>kg)</w:t>
      </w:r>
      <w:proofErr w:type="gramEnd"/>
    </w:p>
    <w:p w:rsidR="00B3648C" w:rsidRPr="00D51809" w:rsidRDefault="00B3648C" w:rsidP="00E22B3D">
      <w:pPr>
        <w:spacing w:line="480" w:lineRule="auto"/>
        <w:rPr>
          <w:rFonts w:eastAsiaTheme="minorEastAsia"/>
          <w:lang w:val="en-US"/>
        </w:rPr>
      </w:pPr>
      <w:r w:rsidRPr="00D51809">
        <w:rPr>
          <w:rFonts w:eastAsiaTheme="minorEastAsia"/>
          <w:lang w:val="en-US"/>
        </w:rPr>
        <w:t>A)</w:t>
      </w:r>
    </w:p>
    <w:p w:rsidR="00775356" w:rsidRPr="00D51809" w:rsidRDefault="00775356" w:rsidP="00775356">
      <w:pPr>
        <w:spacing w:line="480" w:lineRule="auto"/>
        <w:jc w:val="center"/>
        <w:rPr>
          <w:lang w:val="en-US"/>
        </w:rPr>
      </w:pPr>
      <w:r w:rsidRPr="00D51809">
        <w:rPr>
          <w:noProof/>
        </w:rPr>
        <w:drawing>
          <wp:inline distT="0" distB="0" distL="0" distR="0" wp14:anchorId="789A9FAB" wp14:editId="5EEC5ADB">
            <wp:extent cx="5612130" cy="3211114"/>
            <wp:effectExtent l="0" t="0" r="762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3211114"/>
                    </a:xfrm>
                    <a:prstGeom prst="rect">
                      <a:avLst/>
                    </a:prstGeom>
                    <a:noFill/>
                    <a:ln>
                      <a:noFill/>
                    </a:ln>
                  </pic:spPr>
                </pic:pic>
              </a:graphicData>
            </a:graphic>
          </wp:inline>
        </w:drawing>
      </w:r>
    </w:p>
    <w:p w:rsidR="00B3648C" w:rsidRPr="00D51809" w:rsidRDefault="00B3648C" w:rsidP="00E22B3D">
      <w:pPr>
        <w:spacing w:line="480" w:lineRule="auto"/>
        <w:rPr>
          <w:rFonts w:eastAsiaTheme="minorEastAsia"/>
          <w:lang w:val="en-US"/>
        </w:rPr>
      </w:pPr>
    </w:p>
    <w:p w:rsidR="00B3648C" w:rsidRPr="00D51809" w:rsidRDefault="00B3648C" w:rsidP="00E22B3D">
      <w:pPr>
        <w:spacing w:line="480" w:lineRule="auto"/>
        <w:rPr>
          <w:rFonts w:eastAsiaTheme="minorEastAsia"/>
          <w:lang w:val="en-US"/>
        </w:rPr>
      </w:pPr>
    </w:p>
    <w:p w:rsidR="00931321" w:rsidRPr="00D51809" w:rsidRDefault="00B3648C" w:rsidP="00E22B3D">
      <w:pPr>
        <w:spacing w:line="480" w:lineRule="auto"/>
        <w:rPr>
          <w:rFonts w:eastAsiaTheme="minorEastAsia"/>
          <w:lang w:val="en-US"/>
        </w:rPr>
      </w:pPr>
      <w:r w:rsidRPr="00D51809">
        <w:rPr>
          <w:rFonts w:eastAsiaTheme="minorEastAsia"/>
          <w:lang w:val="en-US"/>
        </w:rPr>
        <w:t>B)</w:t>
      </w:r>
    </w:p>
    <w:p w:rsidR="00931321" w:rsidRPr="00D51809" w:rsidRDefault="00966D0F" w:rsidP="00E22B3D">
      <w:pPr>
        <w:spacing w:line="480" w:lineRule="auto"/>
        <w:rPr>
          <w:rFonts w:eastAsiaTheme="minorEastAsia"/>
          <w:lang w:val="en-US"/>
        </w:rPr>
      </w:pPr>
      <w:r w:rsidRPr="00D51809">
        <w:rPr>
          <w:noProof/>
        </w:rPr>
        <w:drawing>
          <wp:inline distT="0" distB="0" distL="0" distR="0">
            <wp:extent cx="5612130" cy="3215994"/>
            <wp:effectExtent l="0" t="0" r="762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3215994"/>
                    </a:xfrm>
                    <a:prstGeom prst="rect">
                      <a:avLst/>
                    </a:prstGeom>
                    <a:noFill/>
                    <a:ln>
                      <a:noFill/>
                    </a:ln>
                  </pic:spPr>
                </pic:pic>
              </a:graphicData>
            </a:graphic>
          </wp:inline>
        </w:drawing>
      </w:r>
    </w:p>
    <w:p w:rsidR="00966D0F" w:rsidRPr="00D51809" w:rsidRDefault="00966D0F" w:rsidP="00966D0F">
      <w:pPr>
        <w:spacing w:line="480" w:lineRule="auto"/>
        <w:jc w:val="center"/>
        <w:rPr>
          <w:lang w:val="en-US"/>
        </w:rPr>
      </w:pPr>
      <w:r w:rsidRPr="00D51809">
        <w:rPr>
          <w:lang w:val="en-US"/>
        </w:rPr>
        <w:t xml:space="preserve">Figure. </w:t>
      </w:r>
      <w:r w:rsidR="00B3648C" w:rsidRPr="00D51809">
        <w:rPr>
          <w:lang w:val="en-US"/>
        </w:rPr>
        <w:t>1</w:t>
      </w:r>
      <w:r w:rsidRPr="00D51809">
        <w:rPr>
          <w:lang w:val="en-US"/>
        </w:rPr>
        <w:t xml:space="preserve"> Drying kinetics of Marigold (</w:t>
      </w:r>
      <w:proofErr w:type="spellStart"/>
      <w:r w:rsidRPr="00D51809">
        <w:rPr>
          <w:i/>
          <w:iCs/>
          <w:lang w:val="en-US"/>
        </w:rPr>
        <w:t>Tagetes</w:t>
      </w:r>
      <w:proofErr w:type="spellEnd"/>
      <w:r w:rsidRPr="00D51809">
        <w:rPr>
          <w:i/>
          <w:iCs/>
          <w:lang w:val="en-US"/>
        </w:rPr>
        <w:t xml:space="preserve"> </w:t>
      </w:r>
      <w:proofErr w:type="spellStart"/>
      <w:r w:rsidRPr="00D51809">
        <w:rPr>
          <w:i/>
          <w:iCs/>
          <w:lang w:val="en-US"/>
        </w:rPr>
        <w:t>erecta</w:t>
      </w:r>
      <w:proofErr w:type="spellEnd"/>
      <w:r w:rsidRPr="00D51809">
        <w:rPr>
          <w:lang w:val="en-US"/>
        </w:rPr>
        <w:t xml:space="preserve"> L) carried out in </w:t>
      </w:r>
      <w:r w:rsidR="006335E1" w:rsidRPr="00D51809">
        <w:rPr>
          <w:lang w:val="en-US"/>
        </w:rPr>
        <w:t>a mixed-type solar dryer</w:t>
      </w:r>
      <w:r w:rsidRPr="00D51809">
        <w:rPr>
          <w:lang w:val="en-US"/>
        </w:rPr>
        <w:t>, the day</w:t>
      </w:r>
      <w:r w:rsidR="00B3648C" w:rsidRPr="00D51809">
        <w:rPr>
          <w:lang w:val="en-US"/>
        </w:rPr>
        <w:t>: A) 21</w:t>
      </w:r>
      <w:r w:rsidR="006335E1" w:rsidRPr="00D51809">
        <w:rPr>
          <w:vertAlign w:val="superscript"/>
          <w:lang w:val="en-US"/>
        </w:rPr>
        <w:t>st</w:t>
      </w:r>
      <w:r w:rsidR="00B3648C" w:rsidRPr="00D51809">
        <w:rPr>
          <w:lang w:val="en-US"/>
        </w:rPr>
        <w:t xml:space="preserve"> October, 2024, B) </w:t>
      </w:r>
      <w:r w:rsidRPr="00D51809">
        <w:rPr>
          <w:lang w:val="en-US"/>
        </w:rPr>
        <w:t>24</w:t>
      </w:r>
      <w:r w:rsidR="006335E1" w:rsidRPr="00D51809">
        <w:rPr>
          <w:vertAlign w:val="superscript"/>
          <w:lang w:val="en-US"/>
        </w:rPr>
        <w:t>th</w:t>
      </w:r>
      <w:r w:rsidRPr="00D51809">
        <w:rPr>
          <w:lang w:val="en-US"/>
        </w:rPr>
        <w:t xml:space="preserve"> October, 2024</w:t>
      </w:r>
    </w:p>
    <w:bookmarkEnd w:id="1"/>
    <w:p w:rsidR="00E66CF4" w:rsidRPr="00D51809" w:rsidRDefault="00E66CF4" w:rsidP="00E66CF4">
      <w:pPr>
        <w:spacing w:line="480" w:lineRule="auto"/>
        <w:jc w:val="both"/>
        <w:rPr>
          <w:b/>
          <w:i/>
          <w:lang w:val="en-US"/>
        </w:rPr>
      </w:pPr>
      <w:r w:rsidRPr="00D51809">
        <w:rPr>
          <w:b/>
          <w:i/>
          <w:lang w:val="en-US"/>
        </w:rPr>
        <w:t>Experimental analysis</w:t>
      </w:r>
    </w:p>
    <w:p w:rsidR="00E66CF4" w:rsidRPr="00D51809" w:rsidRDefault="00E66CF4" w:rsidP="00E66CF4">
      <w:pPr>
        <w:spacing w:line="480" w:lineRule="auto"/>
        <w:jc w:val="both"/>
        <w:rPr>
          <w:lang w:val="en-US"/>
        </w:rPr>
      </w:pPr>
      <w:r w:rsidRPr="00D51809">
        <w:rPr>
          <w:lang w:val="en-US"/>
        </w:rPr>
        <w:t>The experimental analysis was conducted in triplicate, and the data were analyzed using MINITAB 19. The response variables were moisture content, water activity, color, antioxidant activity, ascorbic acid, total phenols content, total flavonoids content, and carotenoid content, of the dried product.</w:t>
      </w:r>
    </w:p>
    <w:p w:rsidR="00E66CF4" w:rsidRPr="00D51809" w:rsidRDefault="00E66CF4" w:rsidP="00E66CF4">
      <w:pPr>
        <w:spacing w:line="480" w:lineRule="auto"/>
        <w:jc w:val="both"/>
        <w:rPr>
          <w:b/>
          <w:i/>
          <w:lang w:val="en-US"/>
        </w:rPr>
      </w:pPr>
      <w:bookmarkStart w:id="2" w:name="_Hlk129790613"/>
      <w:r w:rsidRPr="00D51809">
        <w:rPr>
          <w:b/>
          <w:i/>
          <w:lang w:val="en-US"/>
        </w:rPr>
        <w:t>Analytical methods</w:t>
      </w:r>
    </w:p>
    <w:p w:rsidR="00E66CF4" w:rsidRPr="00D51809" w:rsidRDefault="00E66CF4" w:rsidP="00E66CF4">
      <w:pPr>
        <w:spacing w:line="480" w:lineRule="auto"/>
        <w:jc w:val="both"/>
        <w:rPr>
          <w:lang w:val="en-US"/>
        </w:rPr>
      </w:pPr>
      <w:r w:rsidRPr="00D51809">
        <w:rPr>
          <w:lang w:val="en-US"/>
        </w:rPr>
        <w:t xml:space="preserve">The moisture content was obtained using a </w:t>
      </w:r>
      <w:proofErr w:type="spellStart"/>
      <w:r w:rsidRPr="00D51809">
        <w:rPr>
          <w:lang w:val="en-US"/>
        </w:rPr>
        <w:t>thermobalance</w:t>
      </w:r>
      <w:proofErr w:type="spellEnd"/>
      <w:r w:rsidRPr="00D51809">
        <w:rPr>
          <w:lang w:val="en-US"/>
        </w:rPr>
        <w:t xml:space="preserve"> (OHAUS, MB45, with a readability of 0.001 g) at 105 °C; around 3 g of the sample was placed and distributed uniformly on an aluminum pan inside the equipment. Water activity (aw) was determined with a </w:t>
      </w:r>
      <w:proofErr w:type="spellStart"/>
      <w:r w:rsidRPr="00D51809">
        <w:rPr>
          <w:lang w:val="en-US"/>
        </w:rPr>
        <w:t>Rotronic</w:t>
      </w:r>
      <w:proofErr w:type="spellEnd"/>
      <w:r w:rsidRPr="00D51809">
        <w:rPr>
          <w:lang w:val="en-US"/>
        </w:rPr>
        <w:t xml:space="preserve"> water activity meter (</w:t>
      </w:r>
      <w:proofErr w:type="spellStart"/>
      <w:r w:rsidRPr="00D51809">
        <w:rPr>
          <w:lang w:val="en-US"/>
        </w:rPr>
        <w:t>Higrolab</w:t>
      </w:r>
      <w:proofErr w:type="spellEnd"/>
      <w:r w:rsidRPr="00D51809">
        <w:rPr>
          <w:lang w:val="en-US"/>
        </w:rPr>
        <w:t xml:space="preserve"> C1) at 25 °C, where the disposable sample </w:t>
      </w:r>
      <w:r w:rsidRPr="00D51809">
        <w:rPr>
          <w:lang w:val="en-US"/>
        </w:rPr>
        <w:lastRenderedPageBreak/>
        <w:t xml:space="preserve">cup was covered entirely and introduced inside the kit for 20 minutes. The equipment was calibrated using </w:t>
      </w:r>
      <w:proofErr w:type="spellStart"/>
      <w:r w:rsidRPr="00D51809">
        <w:rPr>
          <w:lang w:val="en-US"/>
        </w:rPr>
        <w:t>Rotronic</w:t>
      </w:r>
      <w:proofErr w:type="spellEnd"/>
      <w:r w:rsidRPr="00D51809">
        <w:rPr>
          <w:lang w:val="en-US"/>
        </w:rPr>
        <w:t xml:space="preserve"> verification standards. Finally, the color properties were determined with a High-Quality Colorimeter (NR60CP+)</w:t>
      </w:r>
      <w:r w:rsidR="00791887" w:rsidRPr="00D51809">
        <w:rPr>
          <w:lang w:val="en-US"/>
        </w:rPr>
        <w:t xml:space="preserve"> CIE L a b C H</w:t>
      </w:r>
      <w:r w:rsidRPr="00D51809">
        <w:rPr>
          <w:lang w:val="en-US"/>
        </w:rPr>
        <w:t>. The values were expressed as L (lightness), a (red-green), b (yellow-blue), H (hue angle), and C (chroma-saturation). From the results obtained, it was possible to calculate the color difference (∆E) between the raw and dried samples, chroma, and hue angle by using the following equations</w:t>
      </w:r>
      <w:r w:rsidRPr="00D51809">
        <w:rPr>
          <w:rFonts w:eastAsia="Gungsuh"/>
          <w:lang w:val="en-US"/>
        </w:rPr>
        <w:t>:</w:t>
      </w:r>
    </w:p>
    <w:tbl>
      <w:tblPr>
        <w:tblpPr w:leftFromText="141" w:rightFromText="141" w:vertAnchor="text" w:tblpY="1"/>
        <w:tblOverlap w:val="never"/>
        <w:tblW w:w="7856" w:type="dxa"/>
        <w:tblLayout w:type="fixed"/>
        <w:tblLook w:val="0000" w:firstRow="0" w:lastRow="0" w:firstColumn="0" w:lastColumn="0" w:noHBand="0" w:noVBand="0"/>
      </w:tblPr>
      <w:tblGrid>
        <w:gridCol w:w="7426"/>
        <w:gridCol w:w="430"/>
      </w:tblGrid>
      <w:tr w:rsidR="00D51809" w:rsidRPr="00D51809" w:rsidTr="004C4BBD">
        <w:trPr>
          <w:trHeight w:val="340"/>
        </w:trPr>
        <w:tc>
          <w:tcPr>
            <w:tcW w:w="7426" w:type="dxa"/>
            <w:shd w:val="clear" w:color="auto" w:fill="auto"/>
            <w:vAlign w:val="center"/>
          </w:tcPr>
          <w:p w:rsidR="00E66CF4" w:rsidRPr="00D51809" w:rsidRDefault="00E66CF4" w:rsidP="004C4BBD">
            <w:pPr>
              <w:rPr>
                <w:rFonts w:eastAsia="Cambria Math"/>
              </w:rPr>
            </w:pPr>
            <m:oMath>
              <m:r>
                <w:rPr>
                  <w:rFonts w:ascii="Cambria Math" w:eastAsia="Cambria Math" w:hAnsi="Cambria Math"/>
                </w:rPr>
                <m:t xml:space="preserve">∆E = </m:t>
              </m:r>
              <m:sSup>
                <m:sSupPr>
                  <m:ctrlPr>
                    <w:rPr>
                      <w:rFonts w:ascii="Cambria Math" w:eastAsia="Cambria Math" w:hAnsi="Cambria Math"/>
                    </w:rPr>
                  </m:ctrlPr>
                </m:sSupPr>
                <m:e>
                  <m:d>
                    <m:dPr>
                      <m:ctrlPr>
                        <w:rPr>
                          <w:rFonts w:ascii="Cambria Math" w:eastAsia="Cambria Math" w:hAnsi="Cambria Math"/>
                        </w:rPr>
                      </m:ctrlPr>
                    </m:dPr>
                    <m:e>
                      <m:sSup>
                        <m:sSupPr>
                          <m:ctrlPr>
                            <w:rPr>
                              <w:rFonts w:ascii="Cambria Math" w:eastAsia="Cambria Math" w:hAnsi="Cambria Math"/>
                            </w:rPr>
                          </m:ctrlPr>
                        </m:sSupPr>
                        <m:e>
                          <m:r>
                            <w:rPr>
                              <w:rFonts w:ascii="Cambria Math" w:eastAsia="Cambria Math" w:hAnsi="Cambria Math"/>
                            </w:rPr>
                            <m:t>∆L</m:t>
                          </m:r>
                        </m:e>
                        <m:sup>
                          <m:r>
                            <w:rPr>
                              <w:rFonts w:ascii="Cambria Math" w:eastAsia="Cambria Math" w:hAnsi="Cambria Math"/>
                            </w:rPr>
                            <m:t>2</m:t>
                          </m:r>
                        </m:sup>
                      </m:sSup>
                      <m:r>
                        <w:rPr>
                          <w:rFonts w:ascii="Cambria Math" w:eastAsia="Cambria Math" w:hAnsi="Cambria Math"/>
                        </w:rPr>
                        <m:t xml:space="preserve">+ </m:t>
                      </m:r>
                      <m:sSup>
                        <m:sSupPr>
                          <m:ctrlPr>
                            <w:rPr>
                              <w:rFonts w:ascii="Cambria Math" w:eastAsia="Cambria Math" w:hAnsi="Cambria Math"/>
                            </w:rPr>
                          </m:ctrlPr>
                        </m:sSupPr>
                        <m:e>
                          <m:r>
                            <w:rPr>
                              <w:rFonts w:ascii="Cambria Math" w:eastAsia="Cambria Math" w:hAnsi="Cambria Math"/>
                            </w:rPr>
                            <m:t>∆a</m:t>
                          </m:r>
                        </m:e>
                        <m:sup>
                          <m:r>
                            <w:rPr>
                              <w:rFonts w:ascii="Cambria Math" w:eastAsia="Cambria Math" w:hAnsi="Cambria Math"/>
                            </w:rPr>
                            <m:t>2</m:t>
                          </m:r>
                        </m:sup>
                      </m:sSup>
                      <m:r>
                        <w:rPr>
                          <w:rFonts w:ascii="Cambria Math" w:eastAsia="Cambria Math" w:hAnsi="Cambria Math"/>
                        </w:rPr>
                        <m:t xml:space="preserve">+ </m:t>
                      </m:r>
                      <m:sSup>
                        <m:sSupPr>
                          <m:ctrlPr>
                            <w:rPr>
                              <w:rFonts w:ascii="Cambria Math" w:eastAsia="Cambria Math" w:hAnsi="Cambria Math"/>
                            </w:rPr>
                          </m:ctrlPr>
                        </m:sSupPr>
                        <m:e>
                          <m:r>
                            <w:rPr>
                              <w:rFonts w:ascii="Cambria Math" w:eastAsia="Cambria Math" w:hAnsi="Cambria Math"/>
                            </w:rPr>
                            <m:t>∆b</m:t>
                          </m:r>
                        </m:e>
                        <m:sup>
                          <m:r>
                            <w:rPr>
                              <w:rFonts w:ascii="Cambria Math" w:eastAsia="Cambria Math" w:hAnsi="Cambria Math"/>
                            </w:rPr>
                            <m:t>2</m:t>
                          </m:r>
                        </m:sup>
                      </m:sSup>
                    </m:e>
                  </m:d>
                </m:e>
                <m:sup>
                  <m:f>
                    <m:fPr>
                      <m:ctrlPr>
                        <w:rPr>
                          <w:rFonts w:ascii="Cambria Math" w:eastAsia="Cambria Math" w:hAnsi="Cambria Math"/>
                        </w:rPr>
                      </m:ctrlPr>
                    </m:fPr>
                    <m:num>
                      <m:r>
                        <w:rPr>
                          <w:rFonts w:ascii="Cambria Math" w:eastAsia="Cambria Math" w:hAnsi="Cambria Math"/>
                        </w:rPr>
                        <m:t>1</m:t>
                      </m:r>
                    </m:num>
                    <m:den>
                      <m:r>
                        <w:rPr>
                          <w:rFonts w:ascii="Cambria Math" w:eastAsia="Cambria Math" w:hAnsi="Cambria Math"/>
                        </w:rPr>
                        <m:t>2</m:t>
                      </m:r>
                    </m:den>
                  </m:f>
                </m:sup>
              </m:sSup>
            </m:oMath>
            <w:r w:rsidRPr="00D51809">
              <w:rPr>
                <w:rFonts w:eastAsia="Cambria Math"/>
              </w:rPr>
              <w:t xml:space="preserve">                                                                    (</w:t>
            </w:r>
            <w:r w:rsidR="006F67AF" w:rsidRPr="00D51809">
              <w:rPr>
                <w:rFonts w:eastAsia="Cambria Math"/>
              </w:rPr>
              <w:t>2</w:t>
            </w:r>
            <w:r w:rsidRPr="00D51809">
              <w:rPr>
                <w:rFonts w:eastAsia="Cambria Math"/>
              </w:rPr>
              <w:t>)</w:t>
            </w:r>
          </w:p>
        </w:tc>
        <w:tc>
          <w:tcPr>
            <w:tcW w:w="430" w:type="dxa"/>
            <w:shd w:val="clear" w:color="auto" w:fill="auto"/>
            <w:vAlign w:val="center"/>
          </w:tcPr>
          <w:p w:rsidR="00E66CF4" w:rsidRPr="00D51809" w:rsidRDefault="00E66CF4" w:rsidP="004C4BBD">
            <w:pPr>
              <w:pBdr>
                <w:top w:val="nil"/>
                <w:left w:val="nil"/>
                <w:bottom w:val="nil"/>
                <w:right w:val="nil"/>
                <w:between w:val="nil"/>
              </w:pBdr>
              <w:spacing w:before="120" w:after="120" w:line="480" w:lineRule="auto"/>
              <w:jc w:val="both"/>
            </w:pPr>
          </w:p>
        </w:tc>
      </w:tr>
      <w:tr w:rsidR="00D51809" w:rsidRPr="00D51809" w:rsidTr="004C4BBD">
        <w:trPr>
          <w:trHeight w:val="340"/>
        </w:trPr>
        <w:tc>
          <w:tcPr>
            <w:tcW w:w="7426" w:type="dxa"/>
            <w:shd w:val="clear" w:color="auto" w:fill="auto"/>
            <w:vAlign w:val="center"/>
          </w:tcPr>
          <w:p w:rsidR="00E66CF4" w:rsidRPr="00D51809" w:rsidRDefault="00E66CF4" w:rsidP="004C4BBD">
            <w:pPr>
              <w:rPr>
                <w:rFonts w:eastAsia="Cambria Math"/>
              </w:rPr>
            </w:pPr>
            <m:oMath>
              <m:r>
                <w:rPr>
                  <w:rFonts w:ascii="Cambria Math" w:eastAsia="Cambria Math" w:hAnsi="Cambria Math"/>
                </w:rPr>
                <m:t xml:space="preserve">C = </m:t>
              </m:r>
              <m:rad>
                <m:radPr>
                  <m:degHide m:val="1"/>
                  <m:ctrlPr>
                    <w:rPr>
                      <w:rFonts w:ascii="Cambria Math" w:eastAsia="Cambria Math" w:hAnsi="Cambria Math"/>
                    </w:rPr>
                  </m:ctrlPr>
                </m:radPr>
                <m:deg/>
                <m:e>
                  <m:sSup>
                    <m:sSupPr>
                      <m:ctrlPr>
                        <w:rPr>
                          <w:rFonts w:ascii="Cambria Math" w:eastAsia="Cambria Math" w:hAnsi="Cambria Math"/>
                        </w:rPr>
                      </m:ctrlPr>
                    </m:sSupPr>
                    <m:e>
                      <m:r>
                        <w:rPr>
                          <w:rFonts w:ascii="Cambria Math" w:eastAsia="Cambria Math" w:hAnsi="Cambria Math"/>
                        </w:rPr>
                        <m:t>(a)</m:t>
                      </m:r>
                    </m:e>
                    <m:sup>
                      <m:r>
                        <w:rPr>
                          <w:rFonts w:ascii="Cambria Math" w:eastAsia="Cambria Math" w:hAnsi="Cambria Math"/>
                        </w:rPr>
                        <m:t>2</m:t>
                      </m:r>
                    </m:sup>
                  </m:sSup>
                  <m:r>
                    <w:rPr>
                      <w:rFonts w:ascii="Cambria Math" w:eastAsia="Cambria Math" w:hAnsi="Cambria Math"/>
                    </w:rPr>
                    <m:t xml:space="preserve"> + </m:t>
                  </m:r>
                  <m:sSup>
                    <m:sSupPr>
                      <m:ctrlPr>
                        <w:rPr>
                          <w:rFonts w:ascii="Cambria Math" w:eastAsia="Cambria Math" w:hAnsi="Cambria Math"/>
                        </w:rPr>
                      </m:ctrlPr>
                    </m:sSupPr>
                    <m:e>
                      <m:r>
                        <w:rPr>
                          <w:rFonts w:ascii="Cambria Math" w:eastAsia="Cambria Math" w:hAnsi="Cambria Math"/>
                        </w:rPr>
                        <m:t>(b)</m:t>
                      </m:r>
                    </m:e>
                    <m:sup>
                      <m:r>
                        <w:rPr>
                          <w:rFonts w:ascii="Cambria Math" w:eastAsia="Cambria Math" w:hAnsi="Cambria Math"/>
                        </w:rPr>
                        <m:t>2</m:t>
                      </m:r>
                    </m:sup>
                  </m:sSup>
                </m:e>
              </m:rad>
            </m:oMath>
            <w:r w:rsidRPr="00D51809">
              <w:rPr>
                <w:rFonts w:eastAsia="Cambria Math"/>
              </w:rPr>
              <w:t xml:space="preserve">                                                                                 (</w:t>
            </w:r>
            <w:r w:rsidR="006F67AF" w:rsidRPr="00D51809">
              <w:rPr>
                <w:rFonts w:eastAsia="Cambria Math"/>
              </w:rPr>
              <w:t>3</w:t>
            </w:r>
            <w:r w:rsidRPr="00D51809">
              <w:rPr>
                <w:rFonts w:eastAsia="Cambria Math"/>
              </w:rPr>
              <w:t>)</w:t>
            </w:r>
          </w:p>
        </w:tc>
        <w:tc>
          <w:tcPr>
            <w:tcW w:w="430" w:type="dxa"/>
            <w:shd w:val="clear" w:color="auto" w:fill="auto"/>
            <w:vAlign w:val="center"/>
          </w:tcPr>
          <w:p w:rsidR="00E66CF4" w:rsidRPr="00D51809" w:rsidRDefault="00E66CF4" w:rsidP="004C4BBD">
            <w:pPr>
              <w:pBdr>
                <w:top w:val="nil"/>
                <w:left w:val="nil"/>
                <w:bottom w:val="nil"/>
                <w:right w:val="nil"/>
                <w:between w:val="nil"/>
              </w:pBdr>
              <w:spacing w:after="120" w:line="480" w:lineRule="auto"/>
              <w:jc w:val="both"/>
            </w:pPr>
          </w:p>
        </w:tc>
      </w:tr>
      <w:tr w:rsidR="00D51809" w:rsidRPr="00D51809" w:rsidTr="004C4BBD">
        <w:trPr>
          <w:trHeight w:val="340"/>
        </w:trPr>
        <w:tc>
          <w:tcPr>
            <w:tcW w:w="7426" w:type="dxa"/>
            <w:shd w:val="clear" w:color="auto" w:fill="auto"/>
            <w:vAlign w:val="center"/>
          </w:tcPr>
          <w:p w:rsidR="00E66CF4" w:rsidRPr="00D51809" w:rsidRDefault="00E66CF4" w:rsidP="004C4BBD">
            <w:pPr>
              <w:rPr>
                <w:rFonts w:eastAsia="Cambria Math"/>
              </w:rPr>
            </w:pPr>
            <m:oMath>
              <m:r>
                <w:rPr>
                  <w:rFonts w:ascii="Cambria Math" w:eastAsia="Cambria Math" w:hAnsi="Cambria Math"/>
                </w:rPr>
                <m:t>H = arctg</m:t>
              </m:r>
              <m:d>
                <m:dPr>
                  <m:ctrlPr>
                    <w:rPr>
                      <w:rFonts w:ascii="Cambria Math" w:eastAsia="Cambria Math" w:hAnsi="Cambria Math"/>
                    </w:rPr>
                  </m:ctrlPr>
                </m:dPr>
                <m:e>
                  <m:f>
                    <m:fPr>
                      <m:ctrlPr>
                        <w:rPr>
                          <w:rFonts w:ascii="Cambria Math" w:eastAsia="Cambria Math" w:hAnsi="Cambria Math"/>
                        </w:rPr>
                      </m:ctrlPr>
                    </m:fPr>
                    <m:num>
                      <m:r>
                        <w:rPr>
                          <w:rFonts w:ascii="Cambria Math" w:eastAsia="Cambria Math" w:hAnsi="Cambria Math"/>
                        </w:rPr>
                        <m:t>b</m:t>
                      </m:r>
                    </m:num>
                    <m:den>
                      <m:r>
                        <w:rPr>
                          <w:rFonts w:ascii="Cambria Math" w:eastAsia="Cambria Math" w:hAnsi="Cambria Math"/>
                        </w:rPr>
                        <m:t>a</m:t>
                      </m:r>
                    </m:den>
                  </m:f>
                </m:e>
              </m:d>
            </m:oMath>
            <w:r w:rsidRPr="00D51809">
              <w:rPr>
                <w:rFonts w:eastAsia="Cambria Math"/>
              </w:rPr>
              <w:t xml:space="preserve">                                                                                         (</w:t>
            </w:r>
            <w:r w:rsidR="006F67AF" w:rsidRPr="00D51809">
              <w:rPr>
                <w:rFonts w:eastAsia="Cambria Math"/>
              </w:rPr>
              <w:t>4</w:t>
            </w:r>
            <w:r w:rsidRPr="00D51809">
              <w:rPr>
                <w:rFonts w:eastAsia="Cambria Math"/>
              </w:rPr>
              <w:t>)</w:t>
            </w:r>
          </w:p>
        </w:tc>
        <w:tc>
          <w:tcPr>
            <w:tcW w:w="430" w:type="dxa"/>
            <w:shd w:val="clear" w:color="auto" w:fill="auto"/>
            <w:vAlign w:val="center"/>
          </w:tcPr>
          <w:p w:rsidR="00E66CF4" w:rsidRPr="00D51809" w:rsidRDefault="00E66CF4" w:rsidP="004C4BBD">
            <w:pPr>
              <w:pBdr>
                <w:top w:val="nil"/>
                <w:left w:val="nil"/>
                <w:bottom w:val="nil"/>
                <w:right w:val="nil"/>
                <w:between w:val="nil"/>
              </w:pBdr>
              <w:spacing w:after="120" w:line="480" w:lineRule="auto"/>
              <w:jc w:val="both"/>
            </w:pPr>
          </w:p>
        </w:tc>
      </w:tr>
      <w:bookmarkEnd w:id="2"/>
    </w:tbl>
    <w:p w:rsidR="00E66CF4" w:rsidRPr="00D51809" w:rsidRDefault="00E66CF4" w:rsidP="00E66CF4">
      <w:pPr>
        <w:spacing w:line="480" w:lineRule="auto"/>
        <w:jc w:val="center"/>
        <w:rPr>
          <w:i/>
          <w:lang w:val="en-US"/>
        </w:rPr>
      </w:pPr>
    </w:p>
    <w:p w:rsidR="00E66CF4" w:rsidRPr="00D51809" w:rsidRDefault="00E66CF4" w:rsidP="00E66CF4">
      <w:pPr>
        <w:spacing w:line="480" w:lineRule="auto"/>
        <w:jc w:val="center"/>
        <w:rPr>
          <w:i/>
          <w:lang w:val="en-US"/>
        </w:rPr>
      </w:pPr>
    </w:p>
    <w:p w:rsidR="00E66CF4" w:rsidRPr="00D51809" w:rsidRDefault="00E66CF4" w:rsidP="00E66CF4">
      <w:pPr>
        <w:spacing w:line="480" w:lineRule="auto"/>
        <w:jc w:val="both"/>
        <w:rPr>
          <w:lang w:val="en-US"/>
        </w:rPr>
      </w:pPr>
    </w:p>
    <w:p w:rsidR="00E66CF4" w:rsidRPr="00D51809" w:rsidRDefault="00E66CF4" w:rsidP="00E66CF4">
      <w:pPr>
        <w:spacing w:line="480" w:lineRule="auto"/>
        <w:jc w:val="both"/>
        <w:rPr>
          <w:lang w:val="en-US"/>
        </w:rPr>
      </w:pPr>
    </w:p>
    <w:p w:rsidR="00E66CF4" w:rsidRPr="00D51809" w:rsidRDefault="00E66CF4" w:rsidP="00E66CF4">
      <w:pPr>
        <w:spacing w:line="480" w:lineRule="auto"/>
        <w:jc w:val="both"/>
        <w:rPr>
          <w:bCs/>
          <w:lang w:val="en-US"/>
        </w:rPr>
      </w:pPr>
      <w:r w:rsidRPr="00D51809">
        <w:rPr>
          <w:bCs/>
          <w:lang w:val="en-US"/>
        </w:rPr>
        <w:t>The antioxidant content was determined following the methodology proposed by Kailey et al [</w:t>
      </w:r>
      <w:r w:rsidR="000A217E" w:rsidRPr="00D51809">
        <w:rPr>
          <w:bCs/>
          <w:lang w:val="en-US"/>
        </w:rPr>
        <w:t>2</w:t>
      </w:r>
      <w:r w:rsidRPr="00D51809">
        <w:rPr>
          <w:bCs/>
          <w:lang w:val="en-US"/>
        </w:rPr>
        <w:t>]. with slight modifications. The DPPH radical (2,2-diphenyl-1-picrylhydrazyl) inhibition capacity was measured by adding 25 mL of 80% methanol to a 0.5 g sample of the dehydrated herbs. The mixture was left to stand for 40 minutes, after which a 0.1 mL aliquot was taken and combined with 3.9 mL of DPPH radical solution. The test tube was kept in darkness for 30 minutes, and absorbance was measured at 517 nm using a spectrophotometer</w:t>
      </w:r>
      <w:r w:rsidR="00E2401D" w:rsidRPr="00D51809">
        <w:rPr>
          <w:bCs/>
          <w:lang w:val="en-US"/>
        </w:rPr>
        <w:t xml:space="preserve"> (</w:t>
      </w:r>
      <w:proofErr w:type="spellStart"/>
      <w:r w:rsidR="00E2401D" w:rsidRPr="00D51809">
        <w:rPr>
          <w:shd w:val="clear" w:color="auto" w:fill="FFFFFF"/>
          <w:lang w:val="en-US"/>
        </w:rPr>
        <w:t>Genesys</w:t>
      </w:r>
      <w:proofErr w:type="spellEnd"/>
      <w:r w:rsidR="00E2401D" w:rsidRPr="00D51809">
        <w:rPr>
          <w:shd w:val="clear" w:color="auto" w:fill="FFFFFF"/>
          <w:lang w:val="en-US"/>
        </w:rPr>
        <w:t xml:space="preserve"> 50 UV Visible Spectrophotometer, Thermo Scientific USA)</w:t>
      </w:r>
      <w:r w:rsidRPr="00D51809">
        <w:rPr>
          <w:bCs/>
          <w:lang w:val="en-US"/>
        </w:rPr>
        <w:t>. A blank was prepared using 80% ethanol. The DPPH free radical inhibition (%) was calculated using the following equation:</w:t>
      </w:r>
    </w:p>
    <w:p w:rsidR="00E66CF4" w:rsidRPr="00D51809" w:rsidRDefault="00A34527" w:rsidP="00A34527">
      <w:pPr>
        <w:tabs>
          <w:tab w:val="center" w:pos="4419"/>
          <w:tab w:val="right" w:pos="8838"/>
        </w:tabs>
        <w:rPr>
          <w:iCs/>
          <w:lang w:val="en-US" w:eastAsia="en-GB"/>
        </w:rPr>
      </w:pPr>
      <m:oMath>
        <m:r>
          <m:rPr>
            <m:sty m:val="p"/>
          </m:rPr>
          <w:rPr>
            <w:rFonts w:ascii="Cambria Math" w:hAnsi="Cambria Math"/>
            <w:lang w:val="en-US" w:eastAsia="en-GB"/>
          </w:rPr>
          <m:t>% Inhibition=</m:t>
        </m:r>
        <m:f>
          <m:fPr>
            <m:ctrlPr>
              <w:rPr>
                <w:rFonts w:ascii="Cambria Math" w:hAnsi="Cambria Math"/>
                <w:iCs/>
                <w:lang w:eastAsia="en-GB"/>
              </w:rPr>
            </m:ctrlPr>
          </m:fPr>
          <m:num>
            <m:r>
              <w:rPr>
                <w:rFonts w:ascii="Cambria Math" w:hAnsi="Cambria Math"/>
                <w:lang w:eastAsia="en-GB"/>
              </w:rPr>
              <m:t>Control</m:t>
            </m:r>
            <m:r>
              <m:rPr>
                <m:sty m:val="p"/>
              </m:rPr>
              <w:rPr>
                <w:rFonts w:ascii="Cambria Math" w:hAnsi="Cambria Math"/>
                <w:lang w:val="en-US" w:eastAsia="en-GB"/>
              </w:rPr>
              <m:t xml:space="preserve"> </m:t>
            </m:r>
            <m:r>
              <w:rPr>
                <w:rFonts w:ascii="Cambria Math" w:hAnsi="Cambria Math"/>
                <w:lang w:eastAsia="en-GB"/>
              </w:rPr>
              <m:t>absorbance</m:t>
            </m:r>
            <m:r>
              <m:rPr>
                <m:sty m:val="p"/>
              </m:rPr>
              <w:rPr>
                <w:rFonts w:ascii="Cambria Math" w:hAnsi="Cambria Math"/>
                <w:lang w:val="en-US" w:eastAsia="en-GB"/>
              </w:rPr>
              <m:t>-</m:t>
            </m:r>
            <m:r>
              <w:rPr>
                <w:rFonts w:ascii="Cambria Math" w:hAnsi="Cambria Math"/>
                <w:lang w:val="en-US" w:eastAsia="en-GB"/>
              </w:rPr>
              <m:t xml:space="preserve"> </m:t>
            </m:r>
            <m:r>
              <w:rPr>
                <w:rFonts w:ascii="Cambria Math" w:hAnsi="Cambria Math"/>
                <w:lang w:eastAsia="en-GB"/>
              </w:rPr>
              <m:t>Sample</m:t>
            </m:r>
            <m:r>
              <w:rPr>
                <w:rFonts w:ascii="Cambria Math" w:hAnsi="Cambria Math"/>
                <w:lang w:val="en-US" w:eastAsia="en-GB"/>
              </w:rPr>
              <m:t xml:space="preserve"> </m:t>
            </m:r>
            <m:r>
              <w:rPr>
                <w:rFonts w:ascii="Cambria Math" w:hAnsi="Cambria Math"/>
                <w:lang w:eastAsia="en-GB"/>
              </w:rPr>
              <m:t>absorbance</m:t>
            </m:r>
          </m:num>
          <m:den>
            <m:r>
              <w:rPr>
                <w:rFonts w:ascii="Cambria Math" w:hAnsi="Cambria Math"/>
                <w:lang w:eastAsia="en-GB"/>
              </w:rPr>
              <m:t>Control</m:t>
            </m:r>
            <m:r>
              <w:rPr>
                <w:rFonts w:ascii="Cambria Math" w:hAnsi="Cambria Math"/>
                <w:lang w:val="en-US" w:eastAsia="en-GB"/>
              </w:rPr>
              <m:t xml:space="preserve"> </m:t>
            </m:r>
            <m:r>
              <w:rPr>
                <w:rFonts w:ascii="Cambria Math" w:hAnsi="Cambria Math"/>
                <w:lang w:eastAsia="en-GB"/>
              </w:rPr>
              <m:t>absorbance</m:t>
            </m:r>
          </m:den>
        </m:f>
        <m:r>
          <m:rPr>
            <m:sty m:val="p"/>
          </m:rPr>
          <w:rPr>
            <w:rFonts w:ascii="Cambria Math" w:hAnsi="Cambria Math"/>
            <w:lang w:val="en-US" w:eastAsia="en-GB"/>
          </w:rPr>
          <m:t xml:space="preserve"> x 100</m:t>
        </m:r>
      </m:oMath>
      <w:r w:rsidR="00E66CF4" w:rsidRPr="00D51809">
        <w:rPr>
          <w:iCs/>
          <w:lang w:val="en-US" w:eastAsia="en-GB"/>
        </w:rPr>
        <w:t xml:space="preserve">      </w:t>
      </w:r>
      <w:r w:rsidRPr="00D51809">
        <w:rPr>
          <w:iCs/>
          <w:lang w:val="en-US" w:eastAsia="en-GB"/>
        </w:rPr>
        <w:tab/>
        <w:t>(4)</w:t>
      </w:r>
    </w:p>
    <w:p w:rsidR="00E66CF4" w:rsidRPr="00D51809" w:rsidRDefault="00E66CF4" w:rsidP="00E66CF4">
      <w:pPr>
        <w:spacing w:line="480" w:lineRule="auto"/>
        <w:jc w:val="both"/>
        <w:rPr>
          <w:lang w:val="en-US"/>
        </w:rPr>
      </w:pPr>
    </w:p>
    <w:p w:rsidR="00E66CF4" w:rsidRPr="00D51809" w:rsidRDefault="00E66CF4" w:rsidP="00E66CF4">
      <w:pPr>
        <w:spacing w:line="480" w:lineRule="auto"/>
        <w:jc w:val="both"/>
        <w:rPr>
          <w:lang w:val="en-US"/>
        </w:rPr>
      </w:pPr>
      <w:r w:rsidRPr="00D51809">
        <w:rPr>
          <w:lang w:val="en-US"/>
        </w:rPr>
        <w:t>Ascorbic acid was quantified following the methodology described by García-Valladares et al. [</w:t>
      </w:r>
      <w:r w:rsidR="000A217E" w:rsidRPr="00D51809">
        <w:rPr>
          <w:lang w:val="en-US"/>
        </w:rPr>
        <w:t>3</w:t>
      </w:r>
      <w:r w:rsidRPr="00D51809">
        <w:rPr>
          <w:lang w:val="en-US"/>
        </w:rPr>
        <w:t xml:space="preserve">] by iodometric titration. The </w:t>
      </w:r>
      <w:proofErr w:type="spellStart"/>
      <w:r w:rsidRPr="00D51809">
        <w:rPr>
          <w:lang w:val="en-US"/>
        </w:rPr>
        <w:t>Folin-Ciocalteu</w:t>
      </w:r>
      <w:proofErr w:type="spellEnd"/>
      <w:r w:rsidRPr="00D51809">
        <w:rPr>
          <w:lang w:val="en-US"/>
        </w:rPr>
        <w:t xml:space="preserve"> method was used to determine the total phenols content of marigold flower</w:t>
      </w:r>
      <w:r w:rsidR="003E2ACE" w:rsidRPr="00D51809">
        <w:rPr>
          <w:lang w:val="en-US"/>
        </w:rPr>
        <w:t xml:space="preserve"> (Figure 2)</w:t>
      </w:r>
      <w:r w:rsidRPr="00D51809">
        <w:rPr>
          <w:lang w:val="en-US"/>
        </w:rPr>
        <w:t xml:space="preserve">. It was developed by adding 0.5 mL of the </w:t>
      </w:r>
      <w:r w:rsidRPr="00D51809">
        <w:rPr>
          <w:lang w:val="en-US"/>
        </w:rPr>
        <w:lastRenderedPageBreak/>
        <w:t xml:space="preserve">samples and 0.5 mL of </w:t>
      </w:r>
      <w:proofErr w:type="spellStart"/>
      <w:r w:rsidRPr="00D51809">
        <w:rPr>
          <w:lang w:val="en-US"/>
        </w:rPr>
        <w:t>Folin-Ciocalteu</w:t>
      </w:r>
      <w:proofErr w:type="spellEnd"/>
      <w:r w:rsidRPr="00D51809">
        <w:rPr>
          <w:lang w:val="en-US"/>
        </w:rPr>
        <w:t xml:space="preserve"> (2M) reagent. It was well mixed and then left to stand for 10 min after which 1.5 mL of 20% sodium carbonate solution was added. The solution was mixed and incubated at room temperature in the dark. Afterwards, the absorbance was read at 760 nm. The total phenolic contents were expressed in terms of gallic acid equivalent (mg GAE/g of dry mass), a common reference compound. Distilled water was used as blank. </w:t>
      </w:r>
    </w:p>
    <w:p w:rsidR="00DB10B8" w:rsidRPr="00D51809" w:rsidRDefault="00DB10B8" w:rsidP="00DB10B8">
      <w:pPr>
        <w:spacing w:line="480" w:lineRule="auto"/>
        <w:jc w:val="center"/>
        <w:rPr>
          <w:lang w:val="en-US"/>
        </w:rPr>
      </w:pPr>
      <w:r w:rsidRPr="00D51809">
        <w:rPr>
          <w:noProof/>
        </w:rPr>
        <w:drawing>
          <wp:inline distT="0" distB="0" distL="0" distR="0" wp14:anchorId="0307CF7E" wp14:editId="5DAFD031">
            <wp:extent cx="3838575" cy="2225675"/>
            <wp:effectExtent l="0" t="0" r="9525" b="3175"/>
            <wp:docPr id="1313051687" name="Gráfico 1">
              <a:extLst xmlns:a="http://schemas.openxmlformats.org/drawingml/2006/main">
                <a:ext uri="{FF2B5EF4-FFF2-40B4-BE49-F238E27FC236}">
                  <a16:creationId xmlns:a16="http://schemas.microsoft.com/office/drawing/2014/main" id="{5171AA33-8EFE-4FF6-8092-3D8C662D16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B10B8" w:rsidRPr="00D51809" w:rsidRDefault="00DB10B8" w:rsidP="00DB10B8">
      <w:pPr>
        <w:jc w:val="center"/>
        <w:rPr>
          <w:lang w:val="en-US"/>
        </w:rPr>
      </w:pPr>
      <w:r w:rsidRPr="00D51809">
        <w:rPr>
          <w:lang w:val="en-US"/>
        </w:rPr>
        <w:t xml:space="preserve">Figure </w:t>
      </w:r>
      <w:r w:rsidR="00B3648C" w:rsidRPr="00D51809">
        <w:rPr>
          <w:lang w:val="en-US"/>
        </w:rPr>
        <w:t>2</w:t>
      </w:r>
      <w:r w:rsidRPr="00D51809">
        <w:rPr>
          <w:lang w:val="en-US"/>
        </w:rPr>
        <w:t>. Standard curve of phenol content</w:t>
      </w:r>
    </w:p>
    <w:p w:rsidR="00DB10B8" w:rsidRPr="00D51809" w:rsidRDefault="00DB10B8" w:rsidP="00E66CF4">
      <w:pPr>
        <w:spacing w:line="480" w:lineRule="auto"/>
        <w:jc w:val="both"/>
        <w:rPr>
          <w:lang w:val="en-US"/>
        </w:rPr>
      </w:pPr>
    </w:p>
    <w:p w:rsidR="00E66CF4" w:rsidRPr="00D51809" w:rsidRDefault="00E66CF4" w:rsidP="00E66CF4">
      <w:pPr>
        <w:spacing w:line="480" w:lineRule="auto"/>
        <w:jc w:val="both"/>
        <w:rPr>
          <w:lang w:val="en-US"/>
        </w:rPr>
      </w:pPr>
      <w:r w:rsidRPr="00D51809">
        <w:rPr>
          <w:lang w:val="en-US"/>
        </w:rPr>
        <w:t>Aluminum chloride colorimetric method was used for flavonoids determination</w:t>
      </w:r>
      <w:r w:rsidR="003E2ACE" w:rsidRPr="00D51809">
        <w:rPr>
          <w:lang w:val="en-US"/>
        </w:rPr>
        <w:t xml:space="preserve"> (Figure 3)</w:t>
      </w:r>
      <w:r w:rsidRPr="00D51809">
        <w:rPr>
          <w:lang w:val="en-US"/>
        </w:rPr>
        <w:t>. Each plant extract (0.5 ml of 1:10 g/ml) in methanol was separately mixed with 1.5 ml of methanol, 0.1 ml of 10% aluminum chloride, 0.1 ml of 1 M potassium acetate, and 2.8 ml of distilled water. It remained at room temperature for 30 min; the absorbance of the reaction mixture was measured at 415 nm. The calibration curve was prepared by preparing quercetin solutions at concentrations of 20 to 100 mg/mL in methanol</w:t>
      </w:r>
      <w:r w:rsidR="00BA717F" w:rsidRPr="00D51809">
        <w:rPr>
          <w:lang w:val="en-US"/>
        </w:rPr>
        <w:t xml:space="preserve"> (Figure 3).</w:t>
      </w:r>
    </w:p>
    <w:p w:rsidR="00DB10B8" w:rsidRPr="00D51809" w:rsidRDefault="00DB10B8" w:rsidP="00E66CF4">
      <w:pPr>
        <w:spacing w:line="480" w:lineRule="auto"/>
        <w:jc w:val="both"/>
        <w:rPr>
          <w:lang w:val="en-US"/>
        </w:rPr>
      </w:pPr>
    </w:p>
    <w:p w:rsidR="00DB10B8" w:rsidRPr="00D51809" w:rsidRDefault="00DB10B8" w:rsidP="00E66CF4">
      <w:pPr>
        <w:spacing w:line="480" w:lineRule="auto"/>
        <w:jc w:val="both"/>
        <w:rPr>
          <w:lang w:val="en-US"/>
        </w:rPr>
      </w:pPr>
    </w:p>
    <w:p w:rsidR="00DB10B8" w:rsidRPr="00D51809" w:rsidRDefault="00DB10B8" w:rsidP="00DB10B8">
      <w:pPr>
        <w:spacing w:line="480" w:lineRule="auto"/>
        <w:jc w:val="center"/>
        <w:rPr>
          <w:lang w:val="en-US"/>
        </w:rPr>
      </w:pPr>
      <w:r w:rsidRPr="00D51809">
        <w:rPr>
          <w:noProof/>
        </w:rPr>
        <w:lastRenderedPageBreak/>
        <w:drawing>
          <wp:inline distT="0" distB="0" distL="0" distR="0" wp14:anchorId="734649E5" wp14:editId="6A8DD0C6">
            <wp:extent cx="3724275" cy="2497455"/>
            <wp:effectExtent l="0" t="0" r="9525" b="17145"/>
            <wp:docPr id="1896009695" name="Gráfico 1">
              <a:extLst xmlns:a="http://schemas.openxmlformats.org/drawingml/2006/main">
                <a:ext uri="{FF2B5EF4-FFF2-40B4-BE49-F238E27FC236}">
                  <a16:creationId xmlns:a16="http://schemas.microsoft.com/office/drawing/2014/main" id="{69F9542A-B506-C84D-137E-901FFB2017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B10B8" w:rsidRPr="00D51809" w:rsidRDefault="00DB10B8" w:rsidP="00DB10B8">
      <w:pPr>
        <w:jc w:val="center"/>
        <w:rPr>
          <w:lang w:val="en-US"/>
        </w:rPr>
      </w:pPr>
      <w:r w:rsidRPr="00D51809">
        <w:rPr>
          <w:lang w:val="en-US"/>
        </w:rPr>
        <w:t xml:space="preserve">Figure </w:t>
      </w:r>
      <w:r w:rsidR="00B3648C" w:rsidRPr="00D51809">
        <w:rPr>
          <w:lang w:val="en-US"/>
        </w:rPr>
        <w:t>3</w:t>
      </w:r>
      <w:r w:rsidRPr="00D51809">
        <w:rPr>
          <w:lang w:val="en-US"/>
        </w:rPr>
        <w:t>. Standard curve of flavonoid content</w:t>
      </w:r>
    </w:p>
    <w:p w:rsidR="00DB10B8" w:rsidRPr="00D51809" w:rsidRDefault="00DB10B8" w:rsidP="00E66CF4">
      <w:pPr>
        <w:spacing w:line="480" w:lineRule="auto"/>
        <w:jc w:val="both"/>
        <w:rPr>
          <w:lang w:val="en-US"/>
        </w:rPr>
      </w:pPr>
    </w:p>
    <w:p w:rsidR="00E66CF4" w:rsidRPr="00D51809" w:rsidRDefault="00E66CF4" w:rsidP="00E66CF4">
      <w:pPr>
        <w:spacing w:line="480" w:lineRule="auto"/>
        <w:jc w:val="both"/>
        <w:rPr>
          <w:lang w:val="en-US"/>
        </w:rPr>
      </w:pPr>
      <w:r w:rsidRPr="00D51809">
        <w:rPr>
          <w:lang w:val="en-US"/>
        </w:rPr>
        <w:t>Carotenoid content was determined by weighting 0.1 g of sample and dissolving it in 10 mL of acetone in a volumetric flask. The mixture was stirred for 10 min and then vortexed at 5000 rpm during 10 min. The supernatant was collected, and absorbance was measured at 472 and 508 nm using a UV-Vis spectrophotometer</w:t>
      </w:r>
      <w:r w:rsidR="00E2401D" w:rsidRPr="00D51809">
        <w:rPr>
          <w:lang w:val="en-US"/>
        </w:rPr>
        <w:t xml:space="preserve"> (</w:t>
      </w:r>
      <w:bookmarkStart w:id="3" w:name="_Hlk194329295"/>
      <w:proofErr w:type="spellStart"/>
      <w:r w:rsidR="00256448" w:rsidRPr="00D51809">
        <w:rPr>
          <w:shd w:val="clear" w:color="auto" w:fill="FFFFFF"/>
          <w:lang w:val="en-US"/>
        </w:rPr>
        <w:t>Genesys</w:t>
      </w:r>
      <w:proofErr w:type="spellEnd"/>
      <w:r w:rsidR="00256448" w:rsidRPr="00D51809">
        <w:rPr>
          <w:shd w:val="clear" w:color="auto" w:fill="FFFFFF"/>
          <w:lang w:val="en-US"/>
        </w:rPr>
        <w:t xml:space="preserve"> 50 UV Visible Spectrophotometer, Thermo Scientific USA</w:t>
      </w:r>
      <w:bookmarkEnd w:id="3"/>
      <w:r w:rsidR="00256448" w:rsidRPr="00D51809">
        <w:rPr>
          <w:lang w:val="en-US"/>
        </w:rPr>
        <w:t>)</w:t>
      </w:r>
      <w:r w:rsidRPr="00D51809">
        <w:rPr>
          <w:lang w:val="en-US"/>
        </w:rPr>
        <w:t xml:space="preserve">. Carotenoid essays were determined in triplicate, and calculations were carried out using the equations showed below: </w:t>
      </w:r>
    </w:p>
    <w:p w:rsidR="00E66CF4" w:rsidRPr="00D51809" w:rsidRDefault="00E66CF4" w:rsidP="006335E1">
      <w:pPr>
        <w:tabs>
          <w:tab w:val="center" w:pos="5269"/>
          <w:tab w:val="left" w:pos="9706"/>
        </w:tabs>
        <w:spacing w:line="480" w:lineRule="auto"/>
        <w:jc w:val="right"/>
        <w:rPr>
          <w:lang w:val="en-US"/>
        </w:rPr>
      </w:pPr>
      <w:bookmarkStart w:id="4" w:name="_heading=h.gjdgxs" w:colFirst="0" w:colLast="0"/>
      <w:bookmarkEnd w:id="4"/>
      <m:oMath>
        <m:r>
          <w:rPr>
            <w:rFonts w:ascii="Cambria Math" w:hAnsi="Cambria Math"/>
            <w:lang w:val="en-US"/>
          </w:rPr>
          <m:t xml:space="preserve">                                                        </m:t>
        </m:r>
        <m:sSup>
          <m:sSupPr>
            <m:ctrlPr>
              <w:rPr>
                <w:rFonts w:ascii="Cambria Math" w:hAnsi="Cambria Math"/>
              </w:rPr>
            </m:ctrlPr>
          </m:sSupPr>
          <m:e>
            <m:r>
              <w:rPr>
                <w:rFonts w:ascii="Cambria Math" w:hAnsi="Cambria Math"/>
              </w:rPr>
              <m:t>C</m:t>
            </m:r>
          </m:e>
          <m:sup>
            <m:r>
              <w:rPr>
                <w:rFonts w:ascii="Cambria Math" w:hAnsi="Cambria Math"/>
              </w:rPr>
              <m:t>R</m:t>
            </m:r>
          </m:sup>
        </m:sSup>
        <m:r>
          <w:rPr>
            <w:rFonts w:ascii="Cambria Math" w:hAnsi="Cambria Math"/>
            <w:lang w:val="en-US"/>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lang w:val="en-US"/>
                  </w:rPr>
                  <m:t>508</m:t>
                </m:r>
              </m:sub>
            </m:sSub>
            <m:r>
              <w:rPr>
                <w:rFonts w:ascii="Cambria Math" w:hAnsi="Cambria Math"/>
                <w:lang w:val="en-US"/>
              </w:rPr>
              <m:t>*2144.0-</m:t>
            </m:r>
            <m:sSub>
              <m:sSubPr>
                <m:ctrlPr>
                  <w:rPr>
                    <w:rFonts w:ascii="Cambria Math" w:hAnsi="Cambria Math"/>
                  </w:rPr>
                </m:ctrlPr>
              </m:sSubPr>
              <m:e>
                <m:r>
                  <w:rPr>
                    <w:rFonts w:ascii="Cambria Math" w:hAnsi="Cambria Math"/>
                  </w:rPr>
                  <m:t>A</m:t>
                </m:r>
              </m:e>
              <m:sub>
                <m:r>
                  <w:rPr>
                    <w:rFonts w:ascii="Cambria Math" w:hAnsi="Cambria Math"/>
                    <w:lang w:val="en-US"/>
                  </w:rPr>
                  <m:t>472</m:t>
                </m:r>
              </m:sub>
            </m:sSub>
            <m:r>
              <w:rPr>
                <w:rFonts w:ascii="Cambria Math" w:hAnsi="Cambria Math"/>
                <w:lang w:val="en-US"/>
              </w:rPr>
              <m:t>*403.3</m:t>
            </m:r>
          </m:num>
          <m:den>
            <m:r>
              <w:rPr>
                <w:rFonts w:ascii="Cambria Math" w:hAnsi="Cambria Math"/>
                <w:lang w:val="en-US"/>
              </w:rPr>
              <m:t>270.9</m:t>
            </m:r>
          </m:den>
        </m:f>
      </m:oMath>
      <w:r w:rsidRPr="00D51809">
        <w:rPr>
          <w:lang w:val="en-US"/>
        </w:rPr>
        <w:t xml:space="preserve">                </w:t>
      </w:r>
      <w:r w:rsidRPr="00D51809">
        <w:rPr>
          <w:rFonts w:eastAsia="Cambria Math"/>
          <w:lang w:val="en-US"/>
        </w:rPr>
        <w:t xml:space="preserve">                               (</w:t>
      </w:r>
      <w:r w:rsidR="00A34527" w:rsidRPr="00D51809">
        <w:rPr>
          <w:rFonts w:eastAsia="Cambria Math"/>
          <w:lang w:val="en-US"/>
        </w:rPr>
        <w:t>5</w:t>
      </w:r>
      <w:r w:rsidRPr="00D51809">
        <w:rPr>
          <w:rFonts w:eastAsia="Cambria Math"/>
          <w:lang w:val="en-US"/>
        </w:rPr>
        <w:t>)</w:t>
      </w:r>
      <w:r w:rsidR="006335E1" w:rsidRPr="00D51809">
        <w:rPr>
          <w:lang w:val="en-US"/>
        </w:rPr>
        <w:t xml:space="preserve">                 </w:t>
      </w:r>
      <m:oMath>
        <m:sSup>
          <m:sSupPr>
            <m:ctrlPr>
              <w:rPr>
                <w:rFonts w:ascii="Cambria Math" w:hAnsi="Cambria Math"/>
              </w:rPr>
            </m:ctrlPr>
          </m:sSupPr>
          <m:e>
            <m:r>
              <w:rPr>
                <w:rFonts w:ascii="Cambria Math" w:hAnsi="Cambria Math"/>
              </w:rPr>
              <m:t>C</m:t>
            </m:r>
          </m:e>
          <m:sup>
            <m:r>
              <w:rPr>
                <w:rFonts w:ascii="Cambria Math" w:hAnsi="Cambria Math"/>
              </w:rPr>
              <m:t>Y</m:t>
            </m:r>
          </m:sup>
        </m:sSup>
        <m:r>
          <w:rPr>
            <w:rFonts w:ascii="Cambria Math" w:hAnsi="Cambria Math"/>
            <w:lang w:val="en-US"/>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lang w:val="en-US"/>
                  </w:rPr>
                  <m:t>472</m:t>
                </m:r>
              </m:sub>
            </m:sSub>
            <m:r>
              <w:rPr>
                <w:rFonts w:ascii="Cambria Math" w:hAnsi="Cambria Math"/>
                <w:lang w:val="en-US"/>
              </w:rPr>
              <m:t>*1724.3-</m:t>
            </m:r>
            <m:sSub>
              <m:sSubPr>
                <m:ctrlPr>
                  <w:rPr>
                    <w:rFonts w:ascii="Cambria Math" w:hAnsi="Cambria Math"/>
                  </w:rPr>
                </m:ctrlPr>
              </m:sSubPr>
              <m:e>
                <m:r>
                  <w:rPr>
                    <w:rFonts w:ascii="Cambria Math" w:hAnsi="Cambria Math"/>
                  </w:rPr>
                  <m:t>A</m:t>
                </m:r>
              </m:e>
              <m:sub>
                <m:r>
                  <w:rPr>
                    <w:rFonts w:ascii="Cambria Math" w:hAnsi="Cambria Math"/>
                    <w:lang w:val="en-US"/>
                  </w:rPr>
                  <m:t>508</m:t>
                </m:r>
              </m:sub>
            </m:sSub>
            <m:r>
              <w:rPr>
                <w:rFonts w:ascii="Cambria Math" w:hAnsi="Cambria Math"/>
                <w:lang w:val="en-US"/>
              </w:rPr>
              <m:t>*2450.1</m:t>
            </m:r>
          </m:num>
          <m:den>
            <m:r>
              <w:rPr>
                <w:rFonts w:ascii="Cambria Math" w:hAnsi="Cambria Math"/>
                <w:lang w:val="en-US"/>
              </w:rPr>
              <m:t>270.9</m:t>
            </m:r>
          </m:den>
        </m:f>
      </m:oMath>
      <w:r w:rsidRPr="00D51809">
        <w:rPr>
          <w:lang w:val="en-US"/>
        </w:rPr>
        <w:t xml:space="preserve">                 </w:t>
      </w:r>
      <w:r w:rsidRPr="00D51809">
        <w:rPr>
          <w:rFonts w:eastAsia="Cambria Math"/>
          <w:lang w:val="en-US"/>
        </w:rPr>
        <w:t xml:space="preserve">                 </w:t>
      </w:r>
      <w:proofErr w:type="gramStart"/>
      <w:r w:rsidRPr="00D51809">
        <w:rPr>
          <w:rFonts w:eastAsia="Cambria Math"/>
          <w:lang w:val="en-US"/>
        </w:rPr>
        <w:t xml:space="preserve">   (</w:t>
      </w:r>
      <w:proofErr w:type="gramEnd"/>
      <w:r w:rsidR="00A34527" w:rsidRPr="00D51809">
        <w:rPr>
          <w:rFonts w:eastAsia="Cambria Math"/>
          <w:lang w:val="en-US"/>
        </w:rPr>
        <w:t>6</w:t>
      </w:r>
      <w:r w:rsidRPr="00D51809">
        <w:rPr>
          <w:rFonts w:eastAsia="Cambria Math"/>
          <w:lang w:val="en-US"/>
        </w:rPr>
        <w:t>)</w:t>
      </w:r>
    </w:p>
    <w:p w:rsidR="00E66CF4" w:rsidRPr="00D51809" w:rsidRDefault="00E66CF4" w:rsidP="00162DA1">
      <w:pPr>
        <w:spacing w:line="480" w:lineRule="auto"/>
        <w:ind w:left="-284"/>
        <w:jc w:val="center"/>
        <w:rPr>
          <w:lang w:val="en-US"/>
        </w:rPr>
      </w:pPr>
      <w:r w:rsidRPr="00D51809">
        <w:rPr>
          <w:lang w:val="en-US"/>
        </w:rPr>
        <w:t xml:space="preserve">                                                        </w:t>
      </w:r>
      <m:oMath>
        <m:sSup>
          <m:sSupPr>
            <m:ctrlPr>
              <w:rPr>
                <w:rFonts w:ascii="Cambria Math" w:hAnsi="Cambria Math"/>
              </w:rPr>
            </m:ctrlPr>
          </m:sSupPr>
          <m:e>
            <m:r>
              <w:rPr>
                <w:rFonts w:ascii="Cambria Math" w:hAnsi="Cambria Math"/>
              </w:rPr>
              <m:t>C</m:t>
            </m:r>
          </m:e>
          <m:sup>
            <m:r>
              <w:rPr>
                <w:rFonts w:ascii="Cambria Math" w:hAnsi="Cambria Math"/>
              </w:rPr>
              <m:t>T</m:t>
            </m:r>
          </m:sup>
        </m:sSup>
        <m:r>
          <w:rPr>
            <w:rFonts w:ascii="Cambria Math" w:hAnsi="Cambria Math"/>
            <w:lang w:val="en-US"/>
          </w:rPr>
          <m:t>=</m:t>
        </m:r>
        <m:sSup>
          <m:sSupPr>
            <m:ctrlPr>
              <w:rPr>
                <w:rFonts w:ascii="Cambria Math" w:hAnsi="Cambria Math"/>
              </w:rPr>
            </m:ctrlPr>
          </m:sSupPr>
          <m:e>
            <m:r>
              <w:rPr>
                <w:rFonts w:ascii="Cambria Math" w:hAnsi="Cambria Math"/>
              </w:rPr>
              <m:t>C</m:t>
            </m:r>
          </m:e>
          <m:sup>
            <m:r>
              <w:rPr>
                <w:rFonts w:ascii="Cambria Math" w:hAnsi="Cambria Math"/>
              </w:rPr>
              <m:t>R</m:t>
            </m:r>
          </m:sup>
        </m:sSup>
        <m:r>
          <w:rPr>
            <w:rFonts w:ascii="Cambria Math" w:hAnsi="Cambria Math"/>
            <w:lang w:val="en-US"/>
          </w:rPr>
          <m:t>+</m:t>
        </m:r>
        <m:sSup>
          <m:sSupPr>
            <m:ctrlPr>
              <w:rPr>
                <w:rFonts w:ascii="Cambria Math" w:hAnsi="Cambria Math"/>
              </w:rPr>
            </m:ctrlPr>
          </m:sSupPr>
          <m:e>
            <m:r>
              <w:rPr>
                <w:rFonts w:ascii="Cambria Math" w:hAnsi="Cambria Math"/>
              </w:rPr>
              <m:t>C</m:t>
            </m:r>
          </m:e>
          <m:sup>
            <m:r>
              <w:rPr>
                <w:rFonts w:ascii="Cambria Math" w:hAnsi="Cambria Math"/>
              </w:rPr>
              <m:t>Y</m:t>
            </m:r>
          </m:sup>
        </m:sSup>
      </m:oMath>
      <w:r w:rsidRPr="00D51809">
        <w:rPr>
          <w:lang w:val="en-US"/>
        </w:rPr>
        <w:t xml:space="preserve">                 </w:t>
      </w:r>
      <w:r w:rsidRPr="00D51809">
        <w:rPr>
          <w:rFonts w:eastAsia="Cambria Math"/>
          <w:lang w:val="en-US"/>
        </w:rPr>
        <w:t xml:space="preserve">                                            (</w:t>
      </w:r>
      <w:r w:rsidR="00A34527" w:rsidRPr="00D51809">
        <w:rPr>
          <w:rFonts w:eastAsia="Cambria Math"/>
          <w:lang w:val="en-US"/>
        </w:rPr>
        <w:t>7</w:t>
      </w:r>
      <w:r w:rsidRPr="00D51809">
        <w:rPr>
          <w:rFonts w:eastAsia="Cambria Math"/>
          <w:lang w:val="en-US"/>
        </w:rPr>
        <w:t xml:space="preserve">)  </w:t>
      </w:r>
    </w:p>
    <w:p w:rsidR="00E66CF4" w:rsidRPr="00D51809" w:rsidRDefault="00E66CF4" w:rsidP="00E66CF4">
      <w:pPr>
        <w:spacing w:line="480" w:lineRule="auto"/>
        <w:jc w:val="both"/>
        <w:rPr>
          <w:lang w:val="en-US"/>
        </w:rPr>
      </w:pPr>
    </w:p>
    <w:p w:rsidR="00E66CF4" w:rsidRPr="00D51809" w:rsidRDefault="00E66CF4" w:rsidP="00E66CF4">
      <w:pPr>
        <w:spacing w:line="480" w:lineRule="auto"/>
        <w:jc w:val="both"/>
        <w:rPr>
          <w:lang w:val="en-US"/>
        </w:rPr>
      </w:pPr>
      <w:r w:rsidRPr="00D51809">
        <w:rPr>
          <w:lang w:val="en-US"/>
        </w:rPr>
        <w:t>Where C</w:t>
      </w:r>
      <w:r w:rsidRPr="00D51809">
        <w:rPr>
          <w:vertAlign w:val="superscript"/>
          <w:lang w:val="en-US"/>
        </w:rPr>
        <w:t>R</w:t>
      </w:r>
      <w:r w:rsidRPr="00D51809">
        <w:rPr>
          <w:lang w:val="en-US"/>
        </w:rPr>
        <w:t xml:space="preserve"> represents the red isochromatic fraction content (</w:t>
      </w:r>
      <w:r w:rsidRPr="00D51809">
        <w:t>μ</w:t>
      </w:r>
      <w:r w:rsidRPr="00D51809">
        <w:rPr>
          <w:lang w:val="en-US"/>
        </w:rPr>
        <w:t>g/mL), C</w:t>
      </w:r>
      <w:r w:rsidRPr="00D51809">
        <w:rPr>
          <w:vertAlign w:val="superscript"/>
          <w:lang w:val="en-US"/>
        </w:rPr>
        <w:t>Y</w:t>
      </w:r>
      <w:r w:rsidRPr="00D51809">
        <w:rPr>
          <w:lang w:val="en-US"/>
        </w:rPr>
        <w:t xml:space="preserve"> represents the yellow isochromatic fraction content (</w:t>
      </w:r>
      <w:r w:rsidRPr="00D51809">
        <w:t>μ</w:t>
      </w:r>
      <w:r w:rsidRPr="00D51809">
        <w:rPr>
          <w:lang w:val="en-US"/>
        </w:rPr>
        <w:t>g/mL), and C</w:t>
      </w:r>
      <w:r w:rsidRPr="00D51809">
        <w:rPr>
          <w:vertAlign w:val="superscript"/>
          <w:lang w:val="en-US"/>
        </w:rPr>
        <w:t xml:space="preserve">T </w:t>
      </w:r>
      <w:r w:rsidRPr="00D51809">
        <w:rPr>
          <w:lang w:val="en-US"/>
        </w:rPr>
        <w:t>is the total carotenoid content (</w:t>
      </w:r>
      <w:r w:rsidRPr="00D51809">
        <w:t>μ</w:t>
      </w:r>
      <w:r w:rsidRPr="00D51809">
        <w:rPr>
          <w:lang w:val="en-US"/>
        </w:rPr>
        <w:t xml:space="preserve">g/mL).  </w:t>
      </w:r>
    </w:p>
    <w:p w:rsidR="00174E56" w:rsidRPr="00D51809" w:rsidRDefault="00174E56" w:rsidP="00E66CF4">
      <w:pPr>
        <w:spacing w:line="480" w:lineRule="auto"/>
        <w:jc w:val="both"/>
        <w:rPr>
          <w:lang w:val="en-US"/>
        </w:rPr>
      </w:pPr>
    </w:p>
    <w:p w:rsidR="00165877" w:rsidRPr="00D51809" w:rsidRDefault="00165877">
      <w:pPr>
        <w:rPr>
          <w:lang w:val="en-US"/>
        </w:rPr>
      </w:pPr>
    </w:p>
    <w:p w:rsidR="00165877" w:rsidRPr="00D51809" w:rsidRDefault="00165877" w:rsidP="00165877">
      <w:pPr>
        <w:spacing w:line="480" w:lineRule="auto"/>
        <w:jc w:val="both"/>
        <w:rPr>
          <w:b/>
        </w:rPr>
      </w:pPr>
      <w:proofErr w:type="spellStart"/>
      <w:r w:rsidRPr="00D51809">
        <w:rPr>
          <w:b/>
        </w:rPr>
        <w:lastRenderedPageBreak/>
        <w:t>References</w:t>
      </w:r>
      <w:proofErr w:type="spellEnd"/>
    </w:p>
    <w:p w:rsidR="000A217E" w:rsidRPr="00D51809" w:rsidRDefault="000A217E" w:rsidP="000A217E">
      <w:pPr>
        <w:pStyle w:val="Prrafodelista"/>
        <w:numPr>
          <w:ilvl w:val="0"/>
          <w:numId w:val="1"/>
        </w:numPr>
        <w:spacing w:line="480" w:lineRule="auto"/>
        <w:jc w:val="both"/>
        <w:rPr>
          <w:rFonts w:ascii="Times New Roman" w:hAnsi="Times New Roman" w:cs="Times New Roman"/>
          <w:sz w:val="24"/>
          <w:szCs w:val="24"/>
        </w:rPr>
      </w:pPr>
      <w:r w:rsidRPr="00D51809">
        <w:rPr>
          <w:rFonts w:ascii="Times New Roman" w:hAnsi="Times New Roman" w:cs="Times New Roman"/>
          <w:sz w:val="24"/>
          <w:szCs w:val="24"/>
        </w:rPr>
        <w:t xml:space="preserve">Vijayan S, </w:t>
      </w:r>
      <w:proofErr w:type="spellStart"/>
      <w:r w:rsidRPr="00D51809">
        <w:rPr>
          <w:rFonts w:ascii="Times New Roman" w:hAnsi="Times New Roman" w:cs="Times New Roman"/>
          <w:sz w:val="24"/>
          <w:szCs w:val="24"/>
        </w:rPr>
        <w:t>Arjunan</w:t>
      </w:r>
      <w:proofErr w:type="spellEnd"/>
      <w:r w:rsidRPr="00D51809">
        <w:rPr>
          <w:rFonts w:ascii="Times New Roman" w:hAnsi="Times New Roman" w:cs="Times New Roman"/>
          <w:sz w:val="24"/>
          <w:szCs w:val="24"/>
        </w:rPr>
        <w:t xml:space="preserve"> T, Kumar A (2017) Fundamental concepts of drying. In: Om P, Anil K (eds) Solar drying technology, </w:t>
      </w:r>
      <w:r w:rsidR="00023677" w:rsidRPr="00D51809">
        <w:rPr>
          <w:rFonts w:ascii="Times New Roman" w:hAnsi="Times New Roman" w:cs="Times New Roman"/>
          <w:sz w:val="24"/>
          <w:szCs w:val="24"/>
        </w:rPr>
        <w:t>1st</w:t>
      </w:r>
      <w:r w:rsidRPr="00D51809">
        <w:rPr>
          <w:rFonts w:ascii="Times New Roman" w:hAnsi="Times New Roman" w:cs="Times New Roman"/>
          <w:sz w:val="24"/>
          <w:szCs w:val="24"/>
        </w:rPr>
        <w:t xml:space="preserve"> edn. Springer, Singapore, pp 3-38</w:t>
      </w:r>
    </w:p>
    <w:p w:rsidR="00165877" w:rsidRPr="00D51809" w:rsidRDefault="00165877" w:rsidP="00165877">
      <w:pPr>
        <w:numPr>
          <w:ilvl w:val="0"/>
          <w:numId w:val="1"/>
        </w:numPr>
        <w:suppressAutoHyphens/>
        <w:spacing w:after="160" w:line="480" w:lineRule="auto"/>
        <w:jc w:val="both"/>
        <w:rPr>
          <w:lang w:val="en-US"/>
        </w:rPr>
      </w:pPr>
      <w:r w:rsidRPr="00D51809">
        <w:rPr>
          <w:lang w:val="en-US"/>
        </w:rPr>
        <w:t xml:space="preserve">Kailey R, Dhawan K, </w:t>
      </w:r>
      <w:proofErr w:type="spellStart"/>
      <w:r w:rsidRPr="00D51809">
        <w:rPr>
          <w:lang w:val="en-US"/>
        </w:rPr>
        <w:t>Rasane</w:t>
      </w:r>
      <w:proofErr w:type="spellEnd"/>
      <w:r w:rsidRPr="00D51809">
        <w:rPr>
          <w:lang w:val="en-US"/>
        </w:rPr>
        <w:t xml:space="preserve"> P, Singh J, Kaur S, Singh BP, Kaur D</w:t>
      </w:r>
      <w:r w:rsidR="009B2FB5" w:rsidRPr="00D51809">
        <w:rPr>
          <w:lang w:val="en-US"/>
        </w:rPr>
        <w:t xml:space="preserve"> </w:t>
      </w:r>
      <w:r w:rsidRPr="00D51809">
        <w:rPr>
          <w:lang w:val="en-US"/>
        </w:rPr>
        <w:t>(2019)</w:t>
      </w:r>
      <w:r w:rsidR="009B2FB5" w:rsidRPr="00D51809">
        <w:rPr>
          <w:lang w:val="en-US"/>
        </w:rPr>
        <w:t xml:space="preserve"> </w:t>
      </w:r>
      <w:r w:rsidRPr="00D51809">
        <w:rPr>
          <w:lang w:val="en-US"/>
        </w:rPr>
        <w:t xml:space="preserve">Utilization of </w:t>
      </w:r>
      <w:proofErr w:type="spellStart"/>
      <w:r w:rsidRPr="00D51809">
        <w:rPr>
          <w:lang w:val="en-US"/>
        </w:rPr>
        <w:t>Foeniculum</w:t>
      </w:r>
      <w:proofErr w:type="spellEnd"/>
      <w:r w:rsidRPr="00D51809">
        <w:rPr>
          <w:lang w:val="en-US"/>
        </w:rPr>
        <w:t xml:space="preserve"> vulgare in herbal candy preparation and </w:t>
      </w:r>
      <w:proofErr w:type="spellStart"/>
      <w:r w:rsidRPr="00D51809">
        <w:rPr>
          <w:lang w:val="en-US"/>
        </w:rPr>
        <w:t>analysing</w:t>
      </w:r>
      <w:proofErr w:type="spellEnd"/>
      <w:r w:rsidRPr="00D51809">
        <w:rPr>
          <w:lang w:val="en-US"/>
        </w:rPr>
        <w:t xml:space="preserve"> its effect on the </w:t>
      </w:r>
      <w:proofErr w:type="spellStart"/>
      <w:r w:rsidRPr="00D51809">
        <w:rPr>
          <w:lang w:val="en-US"/>
        </w:rPr>
        <w:t>physico</w:t>
      </w:r>
      <w:proofErr w:type="spellEnd"/>
      <w:r w:rsidRPr="00D51809">
        <w:rPr>
          <w:lang w:val="en-US"/>
        </w:rPr>
        <w:t xml:space="preserve">-chemical and sensory properties. Current Science, 116. </w:t>
      </w:r>
      <w:r w:rsidR="009B2FB5" w:rsidRPr="00D51809">
        <w:rPr>
          <w:lang w:val="en-US"/>
        </w:rPr>
        <w:t>DOI:</w:t>
      </w:r>
      <w:r w:rsidRPr="00D51809">
        <w:rPr>
          <w:lang w:val="en-US"/>
        </w:rPr>
        <w:t>10.18520/cs/ v116/i12/2013-2019</w:t>
      </w:r>
    </w:p>
    <w:p w:rsidR="00165877" w:rsidRPr="00D51809" w:rsidRDefault="00165877" w:rsidP="0005072C">
      <w:pPr>
        <w:numPr>
          <w:ilvl w:val="0"/>
          <w:numId w:val="1"/>
        </w:numPr>
        <w:suppressAutoHyphens/>
        <w:spacing w:after="160" w:line="480" w:lineRule="auto"/>
        <w:jc w:val="both"/>
      </w:pPr>
      <w:r w:rsidRPr="00D51809">
        <w:rPr>
          <w:shd w:val="clear" w:color="auto" w:fill="FFFFFF"/>
          <w:lang w:val="en-US"/>
        </w:rPr>
        <w:t>García</w:t>
      </w:r>
      <w:r w:rsidR="00D73669" w:rsidRPr="00D51809">
        <w:rPr>
          <w:shd w:val="clear" w:color="auto" w:fill="FFFFFF"/>
          <w:lang w:val="en-US"/>
        </w:rPr>
        <w:t xml:space="preserve"> </w:t>
      </w:r>
      <w:r w:rsidRPr="00D51809">
        <w:rPr>
          <w:shd w:val="clear" w:color="auto" w:fill="FFFFFF"/>
          <w:lang w:val="en-US"/>
        </w:rPr>
        <w:t>VO, Cesar</w:t>
      </w:r>
      <w:r w:rsidR="00D73669" w:rsidRPr="00D51809">
        <w:rPr>
          <w:shd w:val="clear" w:color="auto" w:fill="FFFFFF"/>
          <w:lang w:val="en-US"/>
        </w:rPr>
        <w:t xml:space="preserve"> M</w:t>
      </w:r>
      <w:r w:rsidRPr="00D51809">
        <w:rPr>
          <w:shd w:val="clear" w:color="auto" w:fill="FFFFFF"/>
          <w:lang w:val="en-US"/>
        </w:rPr>
        <w:t>AL, López</w:t>
      </w:r>
      <w:r w:rsidR="00D73669" w:rsidRPr="00D51809">
        <w:rPr>
          <w:shd w:val="clear" w:color="auto" w:fill="FFFFFF"/>
          <w:lang w:val="en-US"/>
        </w:rPr>
        <w:t xml:space="preserve"> V</w:t>
      </w:r>
      <w:r w:rsidRPr="00D51809">
        <w:rPr>
          <w:shd w:val="clear" w:color="auto" w:fill="FFFFFF"/>
          <w:lang w:val="en-US"/>
        </w:rPr>
        <w:t>EC, Castillo</w:t>
      </w:r>
      <w:r w:rsidR="00D73669" w:rsidRPr="00D51809">
        <w:rPr>
          <w:shd w:val="clear" w:color="auto" w:fill="FFFFFF"/>
          <w:lang w:val="en-US"/>
        </w:rPr>
        <w:t xml:space="preserve"> </w:t>
      </w:r>
      <w:r w:rsidRPr="00D51809">
        <w:rPr>
          <w:shd w:val="clear" w:color="auto" w:fill="FFFFFF"/>
          <w:lang w:val="en-US"/>
        </w:rPr>
        <w:t>TB, Ortiz</w:t>
      </w:r>
      <w:r w:rsidR="00D73669" w:rsidRPr="00D51809">
        <w:rPr>
          <w:shd w:val="clear" w:color="auto" w:fill="FFFFFF"/>
          <w:lang w:val="en-US"/>
        </w:rPr>
        <w:t xml:space="preserve"> S</w:t>
      </w:r>
      <w:r w:rsidRPr="00D51809">
        <w:rPr>
          <w:shd w:val="clear" w:color="auto" w:fill="FFFFFF"/>
          <w:lang w:val="en-US"/>
        </w:rPr>
        <w:t xml:space="preserve">CA, </w:t>
      </w:r>
      <w:proofErr w:type="spellStart"/>
      <w:r w:rsidRPr="00D51809">
        <w:rPr>
          <w:shd w:val="clear" w:color="auto" w:fill="FFFFFF"/>
          <w:lang w:val="en-US"/>
        </w:rPr>
        <w:t>Lizama</w:t>
      </w:r>
      <w:proofErr w:type="spellEnd"/>
      <w:r w:rsidR="00D73669" w:rsidRPr="00D51809">
        <w:rPr>
          <w:shd w:val="clear" w:color="auto" w:fill="FFFFFF"/>
          <w:lang w:val="en-US"/>
        </w:rPr>
        <w:t xml:space="preserve"> </w:t>
      </w:r>
      <w:r w:rsidRPr="00D51809">
        <w:rPr>
          <w:shd w:val="clear" w:color="auto" w:fill="FFFFFF"/>
          <w:lang w:val="en-US"/>
        </w:rPr>
        <w:t>TFI, Domínguez</w:t>
      </w:r>
      <w:r w:rsidR="00D73669" w:rsidRPr="00D51809">
        <w:rPr>
          <w:shd w:val="clear" w:color="auto" w:fill="FFFFFF"/>
          <w:lang w:val="en-US"/>
        </w:rPr>
        <w:t xml:space="preserve"> N</w:t>
      </w:r>
      <w:r w:rsidRPr="00D51809">
        <w:rPr>
          <w:shd w:val="clear" w:color="auto" w:fill="FFFFFF"/>
          <w:lang w:val="en-US"/>
        </w:rPr>
        <w:t>A (2022) Effect by using a modified solar dryer on physicochemical properties of carambola fruit (</w:t>
      </w:r>
      <w:proofErr w:type="spellStart"/>
      <w:r w:rsidRPr="00D51809">
        <w:rPr>
          <w:i/>
          <w:shd w:val="clear" w:color="auto" w:fill="FFFFFF"/>
          <w:lang w:val="en-US"/>
        </w:rPr>
        <w:t>Averrhoa</w:t>
      </w:r>
      <w:proofErr w:type="spellEnd"/>
      <w:r w:rsidRPr="00D51809">
        <w:rPr>
          <w:i/>
          <w:shd w:val="clear" w:color="auto" w:fill="FFFFFF"/>
          <w:lang w:val="en-US"/>
        </w:rPr>
        <w:t xml:space="preserve"> Carambola</w:t>
      </w:r>
      <w:r w:rsidRPr="00D51809">
        <w:rPr>
          <w:shd w:val="clear" w:color="auto" w:fill="FFFFFF"/>
          <w:lang w:val="en-US"/>
        </w:rPr>
        <w:t xml:space="preserve"> L.). </w:t>
      </w:r>
      <w:proofErr w:type="spellStart"/>
      <w:r w:rsidRPr="00D51809">
        <w:rPr>
          <w:iCs/>
          <w:shd w:val="clear" w:color="auto" w:fill="FFFFFF"/>
        </w:rPr>
        <w:t>Rev</w:t>
      </w:r>
      <w:proofErr w:type="spellEnd"/>
      <w:r w:rsidRPr="00D51809">
        <w:rPr>
          <w:iCs/>
          <w:shd w:val="clear" w:color="auto" w:fill="FFFFFF"/>
        </w:rPr>
        <w:t xml:space="preserve"> Mex</w:t>
      </w:r>
      <w:r w:rsidR="00D73669" w:rsidRPr="00D51809">
        <w:rPr>
          <w:iCs/>
          <w:shd w:val="clear" w:color="auto" w:fill="FFFFFF"/>
        </w:rPr>
        <w:t xml:space="preserve"> </w:t>
      </w:r>
      <w:proofErr w:type="spellStart"/>
      <w:r w:rsidRPr="00D51809">
        <w:rPr>
          <w:iCs/>
          <w:shd w:val="clear" w:color="auto" w:fill="FFFFFF"/>
        </w:rPr>
        <w:t>Ing</w:t>
      </w:r>
      <w:proofErr w:type="spellEnd"/>
      <w:r w:rsidRPr="00D51809">
        <w:rPr>
          <w:iCs/>
          <w:shd w:val="clear" w:color="auto" w:fill="FFFFFF"/>
        </w:rPr>
        <w:t xml:space="preserve"> Quím</w:t>
      </w:r>
      <w:r w:rsidR="00D73669" w:rsidRPr="00D51809">
        <w:rPr>
          <w:iCs/>
          <w:shd w:val="clear" w:color="auto" w:fill="FFFFFF"/>
        </w:rPr>
        <w:t>.</w:t>
      </w:r>
      <w:r w:rsidRPr="00D51809">
        <w:rPr>
          <w:shd w:val="clear" w:color="auto" w:fill="FFFFFF"/>
        </w:rPr>
        <w:t> </w:t>
      </w:r>
      <w:r w:rsidRPr="00D51809">
        <w:rPr>
          <w:iCs/>
          <w:shd w:val="clear" w:color="auto" w:fill="FFFFFF"/>
        </w:rPr>
        <w:t>21</w:t>
      </w:r>
      <w:r w:rsidR="00D73669" w:rsidRPr="00D51809">
        <w:rPr>
          <w:iCs/>
          <w:shd w:val="clear" w:color="auto" w:fill="FFFFFF"/>
        </w:rPr>
        <w:t>-</w:t>
      </w:r>
      <w:r w:rsidRPr="00D51809">
        <w:rPr>
          <w:shd w:val="clear" w:color="auto" w:fill="FFFFFF"/>
        </w:rPr>
        <w:t>Alim2650.</w:t>
      </w:r>
      <w:r w:rsidR="0005072C" w:rsidRPr="00D51809">
        <w:t xml:space="preserve"> https://doi.org/10.24275/rmiq/Alim2650 </w:t>
      </w:r>
    </w:p>
    <w:p w:rsidR="0005072C" w:rsidRPr="00D51809" w:rsidRDefault="0005072C"/>
    <w:sectPr w:rsidR="0005072C" w:rsidRPr="00D5180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7E24C1"/>
    <w:multiLevelType w:val="multilevel"/>
    <w:tmpl w:val="6A6ABF9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523F08E6"/>
    <w:multiLevelType w:val="multilevel"/>
    <w:tmpl w:val="13B8B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CF4"/>
    <w:rsid w:val="00023677"/>
    <w:rsid w:val="0004051C"/>
    <w:rsid w:val="0005072C"/>
    <w:rsid w:val="000A217E"/>
    <w:rsid w:val="00162DA1"/>
    <w:rsid w:val="00165877"/>
    <w:rsid w:val="00174E56"/>
    <w:rsid w:val="00256448"/>
    <w:rsid w:val="0031379D"/>
    <w:rsid w:val="00390786"/>
    <w:rsid w:val="003928A3"/>
    <w:rsid w:val="003E2ACE"/>
    <w:rsid w:val="004F3EE8"/>
    <w:rsid w:val="005545BF"/>
    <w:rsid w:val="005E2687"/>
    <w:rsid w:val="00607809"/>
    <w:rsid w:val="006335E1"/>
    <w:rsid w:val="0064697B"/>
    <w:rsid w:val="0066188E"/>
    <w:rsid w:val="006F67AF"/>
    <w:rsid w:val="006F7148"/>
    <w:rsid w:val="00716A32"/>
    <w:rsid w:val="00775356"/>
    <w:rsid w:val="00791887"/>
    <w:rsid w:val="007A12FD"/>
    <w:rsid w:val="0082412C"/>
    <w:rsid w:val="00931321"/>
    <w:rsid w:val="00966D0F"/>
    <w:rsid w:val="009A1FDA"/>
    <w:rsid w:val="009B2FB5"/>
    <w:rsid w:val="00A34527"/>
    <w:rsid w:val="00B3648C"/>
    <w:rsid w:val="00B57644"/>
    <w:rsid w:val="00BA717F"/>
    <w:rsid w:val="00BB1545"/>
    <w:rsid w:val="00BD6F43"/>
    <w:rsid w:val="00C42703"/>
    <w:rsid w:val="00C432BA"/>
    <w:rsid w:val="00C53441"/>
    <w:rsid w:val="00C83126"/>
    <w:rsid w:val="00CB0C0E"/>
    <w:rsid w:val="00CE3414"/>
    <w:rsid w:val="00D46CDC"/>
    <w:rsid w:val="00D51809"/>
    <w:rsid w:val="00D73669"/>
    <w:rsid w:val="00D9798A"/>
    <w:rsid w:val="00DB10B8"/>
    <w:rsid w:val="00DE5BA7"/>
    <w:rsid w:val="00E22B3D"/>
    <w:rsid w:val="00E2401D"/>
    <w:rsid w:val="00E66CF4"/>
    <w:rsid w:val="00EB40F6"/>
    <w:rsid w:val="00ED32E1"/>
    <w:rsid w:val="00FA1487"/>
    <w:rsid w:val="00FD03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9C4CDC-19DD-4883-B0C0-F9B44D9A6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6CF4"/>
    <w:pPr>
      <w:spacing w:after="0" w:line="240" w:lineRule="auto"/>
    </w:pPr>
    <w:rPr>
      <w:rFonts w:ascii="Times New Roman" w:eastAsia="Times New Roman" w:hAnsi="Times New Roman" w:cs="Times New Roman"/>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83126"/>
    <w:rPr>
      <w:color w:val="0563C1" w:themeColor="hyperlink"/>
      <w:u w:val="single"/>
    </w:rPr>
  </w:style>
  <w:style w:type="paragraph" w:styleId="Prrafodelista">
    <w:name w:val="List Paragraph"/>
    <w:basedOn w:val="Normal"/>
    <w:uiPriority w:val="34"/>
    <w:qFormat/>
    <w:rsid w:val="003928A3"/>
    <w:pPr>
      <w:spacing w:after="160" w:line="259" w:lineRule="auto"/>
      <w:ind w:left="720"/>
      <w:contextualSpacing/>
    </w:pPr>
    <w:rPr>
      <w:rFonts w:ascii="Calibri" w:eastAsia="Calibri" w:hAnsi="Calibri" w:cs="Calibri"/>
      <w:sz w:val="22"/>
      <w:szCs w:val="22"/>
      <w:lang w:val="en-US"/>
    </w:rPr>
  </w:style>
  <w:style w:type="character" w:styleId="Mencinsinresolver">
    <w:name w:val="Unresolved Mention"/>
    <w:basedOn w:val="Fuentedeprrafopredeter"/>
    <w:uiPriority w:val="99"/>
    <w:semiHidden/>
    <w:unhideWhenUsed/>
    <w:rsid w:val="000507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rcid.org/0000-0001-9478-4157" TargetMode="External"/><Relationship Id="rId11" Type="http://schemas.openxmlformats.org/officeDocument/2006/relationships/fontTable" Target="fontTable.xml"/><Relationship Id="rId5" Type="http://schemas.openxmlformats.org/officeDocument/2006/relationships/hyperlink" Target="https://orcid.org/0000-0002-4508-1102" TargetMode="Externa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2442def64157dc6f/Documentos/Escritorio/SECADO%20DE%20HIERBAS/Flor%20de%20cempasuchil/Flavonoides-Fenoles-Vit%20C.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2442def64157dc6f/Documentos/Escritorio/SECADO%20DE%20HIERBAS/Flor%20de%20cempasuchil/Flavonoides-Fenoles-Vit%20C.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37278156607596"/>
          <c:y val="6.2767475035663337E-2"/>
          <c:w val="0.83042431110503245"/>
          <c:h val="0.68386130050434135"/>
        </c:manualLayout>
      </c:layout>
      <c:scatterChart>
        <c:scatterStyle val="smoothMarker"/>
        <c:varyColors val="0"/>
        <c:ser>
          <c:idx val="0"/>
          <c:order val="0"/>
          <c:tx>
            <c:strRef>
              <c:f>'Curva de calibracion fenoles'!$D$4</c:f>
              <c:strCache>
                <c:ptCount val="1"/>
                <c:pt idx="0">
                  <c:v>Absorbance</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6.519662314937906E-2"/>
                  <c:y val="-2.2495343819727454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trendlineLbl>
          </c:trendline>
          <c:xVal>
            <c:numRef>
              <c:f>'Curva de calibracion fenoles'!$C$5:$C$12</c:f>
              <c:numCache>
                <c:formatCode>General</c:formatCode>
                <c:ptCount val="8"/>
                <c:pt idx="0">
                  <c:v>0.1</c:v>
                </c:pt>
                <c:pt idx="1">
                  <c:v>0.2</c:v>
                </c:pt>
                <c:pt idx="2">
                  <c:v>0.3</c:v>
                </c:pt>
                <c:pt idx="3">
                  <c:v>0.4</c:v>
                </c:pt>
                <c:pt idx="4">
                  <c:v>0.5</c:v>
                </c:pt>
                <c:pt idx="5">
                  <c:v>0.6</c:v>
                </c:pt>
                <c:pt idx="6">
                  <c:v>0.7</c:v>
                </c:pt>
                <c:pt idx="7">
                  <c:v>0.8</c:v>
                </c:pt>
              </c:numCache>
            </c:numRef>
          </c:xVal>
          <c:yVal>
            <c:numRef>
              <c:f>'Curva de calibracion fenoles'!$D$5:$D$12</c:f>
              <c:numCache>
                <c:formatCode>General</c:formatCode>
                <c:ptCount val="8"/>
                <c:pt idx="0">
                  <c:v>0.89400000000000002</c:v>
                </c:pt>
                <c:pt idx="1">
                  <c:v>1.585</c:v>
                </c:pt>
                <c:pt idx="2">
                  <c:v>2.2890000000000001</c:v>
                </c:pt>
                <c:pt idx="3">
                  <c:v>2.7730000000000001</c:v>
                </c:pt>
                <c:pt idx="4">
                  <c:v>3.3279999999999998</c:v>
                </c:pt>
                <c:pt idx="5">
                  <c:v>3.8220000000000001</c:v>
                </c:pt>
                <c:pt idx="6">
                  <c:v>4.4219999999999997</c:v>
                </c:pt>
                <c:pt idx="7">
                  <c:v>4.8289999999999997</c:v>
                </c:pt>
              </c:numCache>
            </c:numRef>
          </c:yVal>
          <c:smooth val="1"/>
          <c:extLst>
            <c:ext xmlns:c16="http://schemas.microsoft.com/office/drawing/2014/chart" uri="{C3380CC4-5D6E-409C-BE32-E72D297353CC}">
              <c16:uniqueId val="{00000001-5972-4A5A-90EB-096FA90BB3D7}"/>
            </c:ext>
          </c:extLst>
        </c:ser>
        <c:dLbls>
          <c:showLegendKey val="0"/>
          <c:showVal val="0"/>
          <c:showCatName val="0"/>
          <c:showSerName val="0"/>
          <c:showPercent val="0"/>
          <c:showBubbleSize val="0"/>
        </c:dLbls>
        <c:axId val="1110293967"/>
        <c:axId val="1110289647"/>
      </c:scatterChart>
      <c:valAx>
        <c:axId val="111029396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a:t>Concentration (mg/ml)</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MX"/>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1110289647"/>
        <c:crosses val="autoZero"/>
        <c:crossBetween val="midCat"/>
      </c:valAx>
      <c:valAx>
        <c:axId val="1110289647"/>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a:t>Absorbance</a:t>
                </a:r>
                <a:r>
                  <a:rPr lang="es-MX" baseline="0"/>
                  <a:t> </a:t>
                </a:r>
                <a:endParaRPr lang="es-MX"/>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MX"/>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1110293967"/>
        <c:crosses val="autoZero"/>
        <c:crossBetween val="midCat"/>
      </c:valAx>
      <c:spPr>
        <a:noFill/>
        <a:ln>
          <a:noFill/>
        </a:ln>
        <a:effectLst/>
      </c:spPr>
    </c:plotArea>
    <c:legend>
      <c:legendPos val="r"/>
      <c:layout>
        <c:manualLayout>
          <c:xMode val="edge"/>
          <c:yMode val="edge"/>
          <c:x val="0.63818005379600506"/>
          <c:y val="0.37589001089557095"/>
          <c:w val="0.285723999140306"/>
          <c:h val="0.3166931380367753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MX"/>
        </a:p>
      </c:txPr>
    </c:title>
    <c:autoTitleDeleted val="0"/>
    <c:plotArea>
      <c:layout>
        <c:manualLayout>
          <c:layoutTarget val="inner"/>
          <c:xMode val="edge"/>
          <c:yMode val="edge"/>
          <c:x val="0.16178746198924623"/>
          <c:y val="0.18860920416984489"/>
          <c:w val="0.78920971195736078"/>
          <c:h val="0.52352775125077333"/>
        </c:manualLayout>
      </c:layout>
      <c:scatterChart>
        <c:scatterStyle val="smoothMarker"/>
        <c:varyColors val="0"/>
        <c:ser>
          <c:idx val="0"/>
          <c:order val="0"/>
          <c:tx>
            <c:strRef>
              <c:f>'Curva de calibracion flav'!$E$7</c:f>
              <c:strCache>
                <c:ptCount val="1"/>
                <c:pt idx="0">
                  <c:v>Absorbance </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12404884172087184"/>
                  <c:y val="4.6275108060005081E-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trendlineLbl>
          </c:trendline>
          <c:xVal>
            <c:numRef>
              <c:f>'Curva de calibracion flav'!$D$8:$D$12</c:f>
              <c:numCache>
                <c:formatCode>General</c:formatCode>
                <c:ptCount val="5"/>
                <c:pt idx="0">
                  <c:v>0.02</c:v>
                </c:pt>
                <c:pt idx="1">
                  <c:v>0.04</c:v>
                </c:pt>
                <c:pt idx="2">
                  <c:v>0.06</c:v>
                </c:pt>
                <c:pt idx="3">
                  <c:v>0.08</c:v>
                </c:pt>
                <c:pt idx="4">
                  <c:v>0.1</c:v>
                </c:pt>
              </c:numCache>
            </c:numRef>
          </c:xVal>
          <c:yVal>
            <c:numRef>
              <c:f>'Curva de calibracion flav'!$E$8:$E$12</c:f>
              <c:numCache>
                <c:formatCode>General</c:formatCode>
                <c:ptCount val="5"/>
                <c:pt idx="0">
                  <c:v>0.128</c:v>
                </c:pt>
                <c:pt idx="1">
                  <c:v>0.248</c:v>
                </c:pt>
                <c:pt idx="2">
                  <c:v>0.37</c:v>
                </c:pt>
                <c:pt idx="3">
                  <c:v>0.51700000000000002</c:v>
                </c:pt>
                <c:pt idx="4">
                  <c:v>0.65500000000000003</c:v>
                </c:pt>
              </c:numCache>
            </c:numRef>
          </c:yVal>
          <c:smooth val="1"/>
          <c:extLst>
            <c:ext xmlns:c16="http://schemas.microsoft.com/office/drawing/2014/chart" uri="{C3380CC4-5D6E-409C-BE32-E72D297353CC}">
              <c16:uniqueId val="{00000001-7FCB-4A50-80A9-8FFE800BB6E5}"/>
            </c:ext>
          </c:extLst>
        </c:ser>
        <c:dLbls>
          <c:showLegendKey val="0"/>
          <c:showVal val="0"/>
          <c:showCatName val="0"/>
          <c:showSerName val="0"/>
          <c:showPercent val="0"/>
          <c:showBubbleSize val="0"/>
        </c:dLbls>
        <c:axId val="1603494159"/>
        <c:axId val="1603492719"/>
      </c:scatterChart>
      <c:valAx>
        <c:axId val="160349415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a:t>Concentration (mg/ml)</a:t>
                </a:r>
                <a:r>
                  <a:rPr lang="es-MX" baseline="0"/>
                  <a:t> </a:t>
                </a:r>
              </a:p>
              <a:p>
                <a:pPr>
                  <a:defRPr/>
                </a:pPr>
                <a:endParaRPr lang="es-MX"/>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MX"/>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1603492719"/>
        <c:crosses val="autoZero"/>
        <c:crossBetween val="midCat"/>
      </c:valAx>
      <c:valAx>
        <c:axId val="1603492719"/>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a:t>Absorbance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MX"/>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1603494159"/>
        <c:crosses val="autoZero"/>
        <c:crossBetween val="midCat"/>
      </c:valAx>
      <c:spPr>
        <a:noFill/>
        <a:ln>
          <a:noFill/>
        </a:ln>
        <a:effectLst/>
      </c:spPr>
    </c:plotArea>
    <c:legend>
      <c:legendPos val="r"/>
      <c:layout>
        <c:manualLayout>
          <c:xMode val="edge"/>
          <c:yMode val="edge"/>
          <c:x val="0.64741647703244254"/>
          <c:y val="0.42522127525821285"/>
          <c:w val="0.30143262782689251"/>
          <c:h val="0.2822297098446218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1511</Words>
  <Characters>8311</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Universidad Nacional Autonoma de México</Company>
  <LinksUpToDate>false</LinksUpToDate>
  <CharactersWithSpaces>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5</cp:revision>
  <dcterms:created xsi:type="dcterms:W3CDTF">2025-04-02T19:25:00Z</dcterms:created>
  <dcterms:modified xsi:type="dcterms:W3CDTF">2025-04-04T18:55:00Z</dcterms:modified>
</cp:coreProperties>
</file>