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76A81" w14:textId="77777777" w:rsidR="002179A8" w:rsidRDefault="002179A8" w:rsidP="0033007E">
      <w:pPr>
        <w:spacing w:after="0" w:line="480" w:lineRule="auto"/>
        <w:rPr>
          <w:rFonts w:ascii="Times New Roman" w:hAnsi="Times New Roman" w:cs="Times New Roman"/>
          <w:b/>
          <w:bCs/>
          <w:sz w:val="24"/>
          <w:szCs w:val="24"/>
          <w:lang w:val="en-US"/>
        </w:rPr>
      </w:pPr>
      <w:r w:rsidRPr="002179A8">
        <w:rPr>
          <w:rFonts w:ascii="Times New Roman" w:hAnsi="Times New Roman" w:cs="Times New Roman"/>
          <w:b/>
          <w:bCs/>
          <w:sz w:val="24"/>
          <w:szCs w:val="24"/>
          <w:lang w:val="en-US"/>
        </w:rPr>
        <w:t xml:space="preserve">Materials and Methods </w:t>
      </w:r>
    </w:p>
    <w:p w14:paraId="6204DABA" w14:textId="56E59DE6" w:rsidR="0033007E" w:rsidRPr="00FE3BA1" w:rsidRDefault="0033007E" w:rsidP="0033007E">
      <w:pPr>
        <w:spacing w:after="0" w:line="480" w:lineRule="auto"/>
        <w:rPr>
          <w:rFonts w:ascii="Times New Roman" w:hAnsi="Times New Roman" w:cs="Times New Roman"/>
          <w:b/>
          <w:bCs/>
          <w:sz w:val="24"/>
          <w:szCs w:val="24"/>
          <w:lang w:val="en-US"/>
        </w:rPr>
      </w:pPr>
      <w:r w:rsidRPr="00FE3BA1">
        <w:rPr>
          <w:rFonts w:ascii="Times New Roman" w:hAnsi="Times New Roman" w:cs="Times New Roman"/>
          <w:b/>
          <w:bCs/>
          <w:sz w:val="24"/>
          <w:szCs w:val="24"/>
          <w:lang w:val="en-US"/>
        </w:rPr>
        <w:t xml:space="preserve">Experimental Design </w:t>
      </w:r>
    </w:p>
    <w:p w14:paraId="5674447A" w14:textId="1893FAF5" w:rsidR="0033007E" w:rsidRDefault="007908D7" w:rsidP="0033007E">
      <w:pPr>
        <w:spacing w:after="0" w:line="480" w:lineRule="auto"/>
        <w:rPr>
          <w:rFonts w:ascii="Times New Roman" w:hAnsi="Times New Roman" w:cs="Times New Roman"/>
          <w:sz w:val="24"/>
          <w:szCs w:val="24"/>
          <w:lang w:val="en-US"/>
        </w:rPr>
      </w:pPr>
      <w:r w:rsidRPr="007908D7">
        <w:rPr>
          <w:rFonts w:ascii="Times New Roman" w:hAnsi="Times New Roman" w:cs="Times New Roman"/>
          <w:sz w:val="24"/>
          <w:szCs w:val="24"/>
          <w:lang w:val="en-US"/>
        </w:rPr>
        <w:t>Analyses of total phenolic compounds (Folin</w:t>
      </w:r>
      <w:r w:rsidR="00436BAD">
        <w:rPr>
          <w:rFonts w:ascii="Times New Roman" w:hAnsi="Times New Roman" w:cs="Times New Roman"/>
          <w:sz w:val="24"/>
          <w:szCs w:val="24"/>
          <w:lang w:val="en-US"/>
        </w:rPr>
        <w:t>-</w:t>
      </w:r>
      <w:r w:rsidR="00436BAD" w:rsidRPr="00436BAD">
        <w:t xml:space="preserve"> </w:t>
      </w:r>
      <w:r w:rsidR="00436BAD" w:rsidRPr="00436BAD">
        <w:rPr>
          <w:rFonts w:ascii="Times New Roman" w:hAnsi="Times New Roman" w:cs="Times New Roman"/>
          <w:sz w:val="24"/>
          <w:szCs w:val="24"/>
          <w:lang w:val="en-US"/>
        </w:rPr>
        <w:t>Ciocalteu</w:t>
      </w:r>
      <w:r w:rsidRPr="007908D7">
        <w:rPr>
          <w:rFonts w:ascii="Times New Roman" w:hAnsi="Times New Roman" w:cs="Times New Roman"/>
          <w:sz w:val="24"/>
          <w:szCs w:val="24"/>
          <w:lang w:val="en-US"/>
        </w:rPr>
        <w:t xml:space="preserve">), identification of phenolic compounds (HPLC), antioxidant capacity (ABTS, FRAP, and DPPH), and fatty acid profile were performed on samples of </w:t>
      </w:r>
      <w:r w:rsidR="00D36AFE" w:rsidRPr="00190C9E">
        <w:rPr>
          <w:rFonts w:ascii="Times New Roman" w:hAnsi="Times New Roman" w:cs="Times New Roman"/>
          <w:sz w:val="24"/>
          <w:szCs w:val="24"/>
          <w:lang w:val="en-US"/>
        </w:rPr>
        <w:t>whole chia (WC), whole chia sprout (WCS), ground chia (GC), and ground chia sprout (GCS)</w:t>
      </w:r>
      <w:r w:rsidRPr="00190C9E">
        <w:rPr>
          <w:rFonts w:ascii="Times New Roman" w:hAnsi="Times New Roman" w:cs="Times New Roman"/>
          <w:sz w:val="24"/>
          <w:szCs w:val="24"/>
          <w:lang w:val="en-US"/>
        </w:rPr>
        <w:t>, as shown</w:t>
      </w:r>
      <w:r w:rsidRPr="007908D7">
        <w:rPr>
          <w:rFonts w:ascii="Times New Roman" w:hAnsi="Times New Roman" w:cs="Times New Roman"/>
          <w:sz w:val="24"/>
          <w:szCs w:val="24"/>
          <w:lang w:val="en-US"/>
        </w:rPr>
        <w:t xml:space="preserve"> in the experimental design</w:t>
      </w:r>
      <w:r>
        <w:rPr>
          <w:rFonts w:ascii="Times New Roman" w:hAnsi="Times New Roman" w:cs="Times New Roman"/>
          <w:sz w:val="24"/>
          <w:szCs w:val="24"/>
          <w:lang w:val="en-US"/>
        </w:rPr>
        <w:t xml:space="preserve"> of the stu</w:t>
      </w:r>
      <w:r w:rsidR="00083029">
        <w:rPr>
          <w:rFonts w:ascii="Times New Roman" w:hAnsi="Times New Roman" w:cs="Times New Roman"/>
          <w:sz w:val="24"/>
          <w:szCs w:val="24"/>
          <w:lang w:val="en-US"/>
        </w:rPr>
        <w:t>dy</w:t>
      </w:r>
      <w:r w:rsidRPr="007908D7">
        <w:rPr>
          <w:rFonts w:ascii="Times New Roman" w:hAnsi="Times New Roman" w:cs="Times New Roman"/>
          <w:sz w:val="24"/>
          <w:szCs w:val="24"/>
          <w:lang w:val="en-US"/>
        </w:rPr>
        <w:t xml:space="preserve"> (Fig. 1).</w:t>
      </w:r>
      <w:r w:rsidR="00190C9E" w:rsidRPr="00190C9E">
        <w:rPr>
          <w:lang w:val="en-US"/>
        </w:rPr>
        <w:t xml:space="preserve"> </w:t>
      </w:r>
      <w:r w:rsidR="00190C9E">
        <w:rPr>
          <w:noProof/>
        </w:rPr>
        <w:drawing>
          <wp:inline distT="0" distB="0" distL="0" distR="0" wp14:anchorId="28CE6A3B" wp14:editId="63359E27">
            <wp:extent cx="5400040" cy="3039110"/>
            <wp:effectExtent l="0" t="0" r="0" b="8890"/>
            <wp:docPr id="10780213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3039110"/>
                    </a:xfrm>
                    <a:prstGeom prst="rect">
                      <a:avLst/>
                    </a:prstGeom>
                    <a:noFill/>
                    <a:ln>
                      <a:noFill/>
                    </a:ln>
                  </pic:spPr>
                </pic:pic>
              </a:graphicData>
            </a:graphic>
          </wp:inline>
        </w:drawing>
      </w:r>
      <w:r w:rsidR="00190C9E" w:rsidRPr="0033007E">
        <w:rPr>
          <w:rFonts w:ascii="Times New Roman" w:hAnsi="Times New Roman" w:cs="Times New Roman"/>
          <w:sz w:val="24"/>
          <w:szCs w:val="24"/>
          <w:lang w:val="en-US"/>
        </w:rPr>
        <w:t xml:space="preserve"> </w:t>
      </w:r>
      <w:r w:rsidR="0033007E" w:rsidRPr="0033007E">
        <w:rPr>
          <w:rFonts w:ascii="Times New Roman" w:hAnsi="Times New Roman" w:cs="Times New Roman"/>
          <w:sz w:val="24"/>
          <w:szCs w:val="24"/>
          <w:lang w:val="en-US"/>
        </w:rPr>
        <w:t xml:space="preserve">Figure </w:t>
      </w:r>
      <w:r w:rsidR="00FE3BA1" w:rsidRPr="0033007E">
        <w:rPr>
          <w:rFonts w:ascii="Times New Roman" w:hAnsi="Times New Roman" w:cs="Times New Roman"/>
          <w:sz w:val="24"/>
          <w:szCs w:val="24"/>
          <w:lang w:val="en-US"/>
        </w:rPr>
        <w:t>1</w:t>
      </w:r>
      <w:r w:rsidR="00FE3BA1">
        <w:rPr>
          <w:rFonts w:ascii="Times New Roman" w:hAnsi="Times New Roman" w:cs="Times New Roman"/>
          <w:sz w:val="24"/>
          <w:szCs w:val="24"/>
          <w:lang w:val="en-US"/>
        </w:rPr>
        <w:t>:</w:t>
      </w:r>
      <w:r w:rsidR="00FE3BA1" w:rsidRPr="0033007E">
        <w:rPr>
          <w:rFonts w:ascii="Times New Roman" w:hAnsi="Times New Roman" w:cs="Times New Roman"/>
          <w:sz w:val="24"/>
          <w:szCs w:val="24"/>
          <w:lang w:val="en-US"/>
        </w:rPr>
        <w:t xml:space="preserve"> Experimental</w:t>
      </w:r>
      <w:r w:rsidR="0033007E" w:rsidRPr="0033007E">
        <w:rPr>
          <w:rFonts w:ascii="Times New Roman" w:hAnsi="Times New Roman" w:cs="Times New Roman"/>
          <w:sz w:val="24"/>
          <w:szCs w:val="24"/>
          <w:lang w:val="en-US"/>
        </w:rPr>
        <w:t xml:space="preserve"> </w:t>
      </w:r>
      <w:r w:rsidR="006B2C27">
        <w:rPr>
          <w:rFonts w:ascii="Times New Roman" w:hAnsi="Times New Roman" w:cs="Times New Roman"/>
          <w:sz w:val="24"/>
          <w:szCs w:val="24"/>
          <w:lang w:val="en-US"/>
        </w:rPr>
        <w:t>d</w:t>
      </w:r>
      <w:r w:rsidR="0033007E" w:rsidRPr="0033007E">
        <w:rPr>
          <w:rFonts w:ascii="Times New Roman" w:hAnsi="Times New Roman" w:cs="Times New Roman"/>
          <w:sz w:val="24"/>
          <w:szCs w:val="24"/>
          <w:lang w:val="en-US"/>
        </w:rPr>
        <w:t>esign</w:t>
      </w:r>
      <w:r w:rsidR="00083029">
        <w:rPr>
          <w:rFonts w:ascii="Times New Roman" w:hAnsi="Times New Roman" w:cs="Times New Roman"/>
          <w:sz w:val="24"/>
          <w:szCs w:val="24"/>
          <w:lang w:val="en-US"/>
        </w:rPr>
        <w:t xml:space="preserve"> of the study</w:t>
      </w:r>
    </w:p>
    <w:p w14:paraId="0D2F23BA" w14:textId="77777777" w:rsidR="0033007E" w:rsidRPr="0033007E" w:rsidRDefault="0033007E" w:rsidP="0033007E">
      <w:pPr>
        <w:spacing w:after="0" w:line="480" w:lineRule="auto"/>
        <w:rPr>
          <w:rFonts w:ascii="Times New Roman" w:hAnsi="Times New Roman" w:cs="Times New Roman"/>
          <w:sz w:val="24"/>
          <w:szCs w:val="24"/>
          <w:lang w:val="en-US"/>
        </w:rPr>
      </w:pPr>
    </w:p>
    <w:p w14:paraId="4573DD47" w14:textId="77777777" w:rsidR="0033007E" w:rsidRPr="0033007E" w:rsidRDefault="0033007E" w:rsidP="0033007E">
      <w:pPr>
        <w:spacing w:after="0" w:line="480" w:lineRule="auto"/>
        <w:rPr>
          <w:rFonts w:ascii="Times New Roman" w:hAnsi="Times New Roman" w:cs="Times New Roman"/>
          <w:b/>
          <w:bCs/>
          <w:sz w:val="24"/>
          <w:szCs w:val="24"/>
          <w:lang w:val="en-US"/>
        </w:rPr>
      </w:pPr>
      <w:r w:rsidRPr="0033007E">
        <w:rPr>
          <w:rFonts w:ascii="Times New Roman" w:hAnsi="Times New Roman" w:cs="Times New Roman"/>
          <w:b/>
          <w:bCs/>
          <w:sz w:val="24"/>
          <w:szCs w:val="24"/>
          <w:lang w:val="en-US"/>
        </w:rPr>
        <w:t>Sample Preparation</w:t>
      </w:r>
    </w:p>
    <w:p w14:paraId="0424C4A9" w14:textId="3D24A7E8" w:rsidR="009500BA" w:rsidRPr="00CF6C7C" w:rsidRDefault="009500BA" w:rsidP="009500BA">
      <w:pPr>
        <w:spacing w:after="0" w:line="480" w:lineRule="auto"/>
        <w:rPr>
          <w:rFonts w:ascii="Times New Roman" w:hAnsi="Times New Roman" w:cs="Times New Roman"/>
          <w:sz w:val="24"/>
          <w:szCs w:val="24"/>
          <w:lang w:val="en-US"/>
        </w:rPr>
      </w:pPr>
      <w:r w:rsidRPr="00E7268F">
        <w:rPr>
          <w:rFonts w:ascii="Times New Roman" w:hAnsi="Times New Roman" w:cs="Times New Roman"/>
          <w:sz w:val="24"/>
          <w:szCs w:val="24"/>
          <w:lang w:val="en-US"/>
        </w:rPr>
        <w:t xml:space="preserve">The </w:t>
      </w:r>
      <w:r w:rsidRPr="00A614D8">
        <w:rPr>
          <w:rFonts w:ascii="Times New Roman" w:hAnsi="Times New Roman" w:cs="Times New Roman"/>
          <w:sz w:val="24"/>
          <w:szCs w:val="24"/>
          <w:lang w:val="en-US"/>
        </w:rPr>
        <w:t>chia seeds</w:t>
      </w:r>
      <w:r w:rsidR="00344F38">
        <w:rPr>
          <w:rFonts w:ascii="Times New Roman" w:hAnsi="Times New Roman" w:cs="Times New Roman"/>
          <w:sz w:val="24"/>
          <w:szCs w:val="24"/>
          <w:lang w:val="en-US"/>
        </w:rPr>
        <w:t xml:space="preserve"> (WC)</w:t>
      </w:r>
      <w:r w:rsidRPr="00A614D8">
        <w:rPr>
          <w:rFonts w:ascii="Times New Roman" w:hAnsi="Times New Roman" w:cs="Times New Roman"/>
          <w:sz w:val="24"/>
          <w:szCs w:val="24"/>
          <w:lang w:val="en-US"/>
        </w:rPr>
        <w:t xml:space="preserve"> were purchased from a local store in the municipality of Rio de Janeiro. The germination process was carried out according to Nadtochii et al. [1], with</w:t>
      </w:r>
      <w:r w:rsidRPr="00E7268F">
        <w:rPr>
          <w:rFonts w:ascii="Times New Roman" w:hAnsi="Times New Roman" w:cs="Times New Roman"/>
          <w:sz w:val="24"/>
          <w:szCs w:val="24"/>
          <w:lang w:val="en-US"/>
        </w:rPr>
        <w:t xml:space="preserve"> modifications. Initially, the seeds were soaked in filtered water for 10 minutes to promote complete hydration of the mucilage. Next, the water was drained with the help of a plastic sieve. Subsequently, the seeds were distributed in plastic trays lined with filter paper. Germination occurred at room temperature (20–25 °C) and relative </w:t>
      </w:r>
      <w:r w:rsidRPr="00E7268F">
        <w:rPr>
          <w:rFonts w:ascii="Times New Roman" w:hAnsi="Times New Roman" w:cs="Times New Roman"/>
          <w:sz w:val="24"/>
          <w:szCs w:val="24"/>
          <w:lang w:val="en-US"/>
        </w:rPr>
        <w:lastRenderedPageBreak/>
        <w:t xml:space="preserve">humidity of approximately 70%, under a lighting scheme of 12 hours of light (LED) and 12 hours of darkness. The humidity was maintained by spraying filtered water twice a day (morning and evening). The germination process lasted for 72 hours (3 </w:t>
      </w:r>
      <w:r w:rsidR="00F2118E" w:rsidRPr="00E7268F">
        <w:rPr>
          <w:rFonts w:ascii="Times New Roman" w:hAnsi="Times New Roman" w:cs="Times New Roman"/>
          <w:sz w:val="24"/>
          <w:szCs w:val="24"/>
          <w:lang w:val="en-US"/>
        </w:rPr>
        <w:t>days)</w:t>
      </w:r>
      <w:r w:rsidR="00F2118E">
        <w:rPr>
          <w:rFonts w:ascii="Times New Roman" w:hAnsi="Times New Roman" w:cs="Times New Roman"/>
          <w:sz w:val="24"/>
          <w:szCs w:val="24"/>
          <w:lang w:val="en-US"/>
        </w:rPr>
        <w:t xml:space="preserve"> (</w:t>
      </w:r>
      <w:r w:rsidR="00344F38">
        <w:rPr>
          <w:rFonts w:ascii="Times New Roman" w:hAnsi="Times New Roman" w:cs="Times New Roman"/>
          <w:sz w:val="24"/>
          <w:szCs w:val="24"/>
          <w:lang w:val="en-US"/>
        </w:rPr>
        <w:t>WCS)</w:t>
      </w:r>
      <w:r w:rsidRPr="00E7268F">
        <w:rPr>
          <w:rFonts w:ascii="Times New Roman" w:hAnsi="Times New Roman" w:cs="Times New Roman"/>
          <w:sz w:val="24"/>
          <w:szCs w:val="24"/>
          <w:lang w:val="en-US"/>
        </w:rPr>
        <w:t>. The chia seeds were crushed using a blender with a power of 450 watts until their content was homogeneous and without the presence of whole seeds</w:t>
      </w:r>
      <w:r w:rsidR="00344F38">
        <w:rPr>
          <w:rFonts w:ascii="Times New Roman" w:hAnsi="Times New Roman" w:cs="Times New Roman"/>
          <w:sz w:val="24"/>
          <w:szCs w:val="24"/>
          <w:lang w:val="en-US"/>
        </w:rPr>
        <w:t xml:space="preserve"> (GC)</w:t>
      </w:r>
      <w:r w:rsidRPr="00E7268F">
        <w:rPr>
          <w:rFonts w:ascii="Times New Roman" w:hAnsi="Times New Roman" w:cs="Times New Roman"/>
          <w:sz w:val="24"/>
          <w:szCs w:val="24"/>
          <w:lang w:val="en-US"/>
        </w:rPr>
        <w:t xml:space="preserve">. The chia sprouts were dried in an </w:t>
      </w:r>
      <w:r w:rsidRPr="00CF6C7C">
        <w:rPr>
          <w:rFonts w:ascii="Times New Roman" w:hAnsi="Times New Roman" w:cs="Times New Roman"/>
          <w:sz w:val="24"/>
          <w:szCs w:val="24"/>
          <w:lang w:val="en-US"/>
        </w:rPr>
        <w:t>oven with air circulation and renewal (Tecnal) at 50º C for 8 hours and ground in a blender with a power of 450 watts [2]</w:t>
      </w:r>
      <w:r w:rsidR="00344F38" w:rsidRPr="00CF6C7C">
        <w:rPr>
          <w:rFonts w:ascii="Times New Roman" w:hAnsi="Times New Roman" w:cs="Times New Roman"/>
          <w:sz w:val="24"/>
          <w:szCs w:val="24"/>
          <w:lang w:val="en-US"/>
        </w:rPr>
        <w:t xml:space="preserve"> </w:t>
      </w:r>
      <w:r w:rsidR="00456B63" w:rsidRPr="00CF6C7C">
        <w:rPr>
          <w:rFonts w:ascii="Times New Roman" w:hAnsi="Times New Roman" w:cs="Times New Roman"/>
          <w:sz w:val="24"/>
          <w:szCs w:val="24"/>
          <w:lang w:val="en-US"/>
        </w:rPr>
        <w:t>This sample (GCS) was the only one subjected to oven drying.</w:t>
      </w:r>
      <w:r w:rsidRPr="00CF6C7C">
        <w:rPr>
          <w:rFonts w:ascii="Times New Roman" w:hAnsi="Times New Roman" w:cs="Times New Roman"/>
          <w:sz w:val="24"/>
          <w:szCs w:val="24"/>
          <w:lang w:val="en-US"/>
        </w:rPr>
        <w:t xml:space="preserve"> All samples were stored frozen (-20º C) until the analyzes were conducted.</w:t>
      </w:r>
    </w:p>
    <w:p w14:paraId="0A405739" w14:textId="77777777" w:rsidR="0033007E" w:rsidRPr="00E7268F" w:rsidRDefault="0033007E" w:rsidP="0033007E">
      <w:pPr>
        <w:spacing w:after="0" w:line="480" w:lineRule="auto"/>
        <w:rPr>
          <w:rFonts w:ascii="Times New Roman" w:hAnsi="Times New Roman" w:cs="Times New Roman"/>
          <w:b/>
          <w:bCs/>
          <w:sz w:val="24"/>
          <w:szCs w:val="24"/>
          <w:lang w:val="en-US"/>
        </w:rPr>
      </w:pPr>
    </w:p>
    <w:p w14:paraId="649C43AD" w14:textId="65DA7ED3" w:rsidR="0033007E" w:rsidRPr="00E7268F" w:rsidRDefault="0033007E" w:rsidP="0033007E">
      <w:pPr>
        <w:spacing w:after="0" w:line="480" w:lineRule="auto"/>
        <w:rPr>
          <w:rFonts w:ascii="Times New Roman" w:hAnsi="Times New Roman" w:cs="Times New Roman"/>
          <w:b/>
          <w:bCs/>
          <w:sz w:val="24"/>
          <w:szCs w:val="24"/>
          <w:lang w:val="en-US"/>
        </w:rPr>
      </w:pPr>
      <w:r w:rsidRPr="00E7268F">
        <w:rPr>
          <w:rFonts w:ascii="Times New Roman" w:hAnsi="Times New Roman" w:cs="Times New Roman"/>
          <w:b/>
          <w:bCs/>
          <w:sz w:val="24"/>
          <w:szCs w:val="24"/>
          <w:lang w:val="en-US"/>
        </w:rPr>
        <w:t>Simulated gastrointestinal digestion</w:t>
      </w:r>
    </w:p>
    <w:p w14:paraId="3A8B3823" w14:textId="183F613C" w:rsidR="009500BA" w:rsidRPr="00E7268F" w:rsidRDefault="009500BA" w:rsidP="009500BA">
      <w:pPr>
        <w:spacing w:after="0" w:line="480" w:lineRule="auto"/>
        <w:rPr>
          <w:rFonts w:ascii="Times New Roman" w:hAnsi="Times New Roman" w:cs="Times New Roman"/>
          <w:sz w:val="24"/>
          <w:szCs w:val="24"/>
          <w:lang w:val="en-US"/>
        </w:rPr>
      </w:pPr>
      <w:r w:rsidRPr="00E7268F">
        <w:rPr>
          <w:rFonts w:ascii="Times New Roman" w:hAnsi="Times New Roman" w:cs="Times New Roman"/>
          <w:sz w:val="24"/>
          <w:szCs w:val="24"/>
          <w:lang w:val="en-US"/>
        </w:rPr>
        <w:t xml:space="preserve">The </w:t>
      </w:r>
      <w:r w:rsidRPr="00186E06">
        <w:rPr>
          <w:rFonts w:ascii="Times New Roman" w:hAnsi="Times New Roman" w:cs="Times New Roman"/>
          <w:i/>
          <w:iCs/>
          <w:sz w:val="24"/>
          <w:szCs w:val="24"/>
          <w:lang w:val="en-US"/>
        </w:rPr>
        <w:t>in vitro</w:t>
      </w:r>
      <w:r w:rsidRPr="00E7268F">
        <w:rPr>
          <w:rFonts w:ascii="Times New Roman" w:hAnsi="Times New Roman" w:cs="Times New Roman"/>
          <w:sz w:val="24"/>
          <w:szCs w:val="24"/>
          <w:lang w:val="en-US"/>
        </w:rPr>
        <w:t xml:space="preserve"> </w:t>
      </w:r>
      <w:r w:rsidRPr="00BF520A">
        <w:rPr>
          <w:rFonts w:ascii="Times New Roman" w:hAnsi="Times New Roman" w:cs="Times New Roman"/>
          <w:sz w:val="24"/>
          <w:szCs w:val="24"/>
          <w:lang w:val="en-US"/>
        </w:rPr>
        <w:t xml:space="preserve">gastrointestinal digestion of the </w:t>
      </w:r>
      <w:r w:rsidR="00BF520A" w:rsidRPr="00BF520A">
        <w:rPr>
          <w:rFonts w:ascii="Times New Roman" w:hAnsi="Times New Roman" w:cs="Times New Roman"/>
          <w:sz w:val="24"/>
          <w:szCs w:val="24"/>
          <w:lang w:val="en-US"/>
        </w:rPr>
        <w:t xml:space="preserve">WC, GC, WCS, and GCS </w:t>
      </w:r>
      <w:r w:rsidRPr="00BF520A">
        <w:rPr>
          <w:rFonts w:ascii="Times New Roman" w:hAnsi="Times New Roman" w:cs="Times New Roman"/>
          <w:sz w:val="24"/>
          <w:szCs w:val="24"/>
          <w:lang w:val="en-US"/>
        </w:rPr>
        <w:t>was carried out based on the INFOGEST 2.0 protocol, with</w:t>
      </w:r>
      <w:r w:rsidRPr="00E7268F">
        <w:rPr>
          <w:rFonts w:ascii="Times New Roman" w:hAnsi="Times New Roman" w:cs="Times New Roman"/>
          <w:sz w:val="24"/>
          <w:szCs w:val="24"/>
          <w:lang w:val="en-US"/>
        </w:rPr>
        <w:t xml:space="preserve"> modifications [3]. Initially, the activities of the digestive enzymes (pepsin and pancreatin) and the concentrations of bile salts were determined </w:t>
      </w:r>
      <w:r w:rsidR="00F2118E" w:rsidRPr="00E7268F">
        <w:rPr>
          <w:rFonts w:ascii="Times New Roman" w:hAnsi="Times New Roman" w:cs="Times New Roman"/>
          <w:sz w:val="24"/>
          <w:szCs w:val="24"/>
          <w:lang w:val="en-US"/>
        </w:rPr>
        <w:t>through</w:t>
      </w:r>
      <w:r w:rsidRPr="00E7268F">
        <w:rPr>
          <w:rFonts w:ascii="Times New Roman" w:hAnsi="Times New Roman" w:cs="Times New Roman"/>
          <w:sz w:val="24"/>
          <w:szCs w:val="24"/>
          <w:lang w:val="en-US"/>
        </w:rPr>
        <w:t xml:space="preserve"> standardized tests. Stock solutions of electrolytes for simulated salivary (SSF), gastric (SGF), and intestinal (SIF) fluids were also prepared at a concentration of 1.25x. Gastrointestinal digestion was carried out in three phases: oral, gastric, and intestinal. In the oral phase, 5g of each sample were diluted in SSF, human amylase, and calcium chloride (CaCl</w:t>
      </w:r>
      <w:r w:rsidRPr="00186E06">
        <w:rPr>
          <w:rFonts w:ascii="Times New Roman" w:hAnsi="Times New Roman" w:cs="Times New Roman"/>
          <w:sz w:val="24"/>
          <w:szCs w:val="24"/>
          <w:vertAlign w:val="subscript"/>
          <w:lang w:val="en-US"/>
        </w:rPr>
        <w:t>2</w:t>
      </w:r>
      <w:r w:rsidRPr="00E7268F">
        <w:rPr>
          <w:rFonts w:ascii="Times New Roman" w:hAnsi="Times New Roman" w:cs="Times New Roman"/>
          <w:sz w:val="24"/>
          <w:szCs w:val="24"/>
          <w:lang w:val="en-US"/>
        </w:rPr>
        <w:t xml:space="preserve">) in a 1:1 (w/w) ratio, </w:t>
      </w:r>
      <w:r w:rsidR="008271EA">
        <w:rPr>
          <w:rFonts w:ascii="Times New Roman" w:hAnsi="Times New Roman" w:cs="Times New Roman"/>
          <w:sz w:val="24"/>
          <w:szCs w:val="24"/>
          <w:lang w:val="en-US"/>
        </w:rPr>
        <w:t xml:space="preserve">manually macerated to disrupt the tissue structure </w:t>
      </w:r>
      <w:r w:rsidR="00A46AD2" w:rsidRPr="00A46AD2">
        <w:rPr>
          <w:rFonts w:ascii="Times New Roman" w:hAnsi="Times New Roman" w:cs="Times New Roman"/>
          <w:sz w:val="24"/>
          <w:szCs w:val="24"/>
          <w:lang w:val="en-US"/>
        </w:rPr>
        <w:t>to obtain a swallowable paste</w:t>
      </w:r>
      <w:r w:rsidRPr="00E7268F">
        <w:rPr>
          <w:rFonts w:ascii="Times New Roman" w:hAnsi="Times New Roman" w:cs="Times New Roman"/>
          <w:sz w:val="24"/>
          <w:szCs w:val="24"/>
          <w:lang w:val="en-US"/>
        </w:rPr>
        <w:t>, and incubated at 37ºC in a water bath with agitation for 2 minutes. The resulting oral bolus was diluted in SGF and pepsin in a 1:1 (v/v) ratio and incubated under agitation in a water bath at 37ºC (pH 3) for 2 hours. The gastric chyme was then diluted in a 1:1 (v/v) ratio with SIF, bile salts, and pancreatin and incubated again in a water bath at 37ºC (pH 7) for 2 hours. After digestion, the samples were centrifuged at 21.200 x g, at 4 °C, for 30 minutes to obtain the bioaccessible fraction</w:t>
      </w:r>
      <w:r w:rsidR="00280570">
        <w:rPr>
          <w:rFonts w:ascii="Times New Roman" w:hAnsi="Times New Roman" w:cs="Times New Roman"/>
          <w:sz w:val="24"/>
          <w:szCs w:val="24"/>
          <w:lang w:val="en-US"/>
        </w:rPr>
        <w:t xml:space="preserve"> </w:t>
      </w:r>
      <w:r w:rsidR="0023510C">
        <w:rPr>
          <w:rFonts w:ascii="Times New Roman" w:hAnsi="Times New Roman" w:cs="Times New Roman"/>
          <w:sz w:val="24"/>
          <w:szCs w:val="24"/>
          <w:lang w:val="en-US"/>
        </w:rPr>
        <w:t>[4]</w:t>
      </w:r>
      <w:r w:rsidRPr="00E7268F">
        <w:rPr>
          <w:rFonts w:ascii="Times New Roman" w:hAnsi="Times New Roman" w:cs="Times New Roman"/>
          <w:sz w:val="24"/>
          <w:szCs w:val="24"/>
          <w:lang w:val="en-US"/>
        </w:rPr>
        <w:t>.</w:t>
      </w:r>
    </w:p>
    <w:p w14:paraId="128602C1" w14:textId="77777777" w:rsidR="0033007E" w:rsidRPr="00E7268F" w:rsidRDefault="0033007E" w:rsidP="0033007E">
      <w:pPr>
        <w:spacing w:after="0" w:line="480" w:lineRule="auto"/>
        <w:rPr>
          <w:rFonts w:ascii="Times New Roman" w:hAnsi="Times New Roman" w:cs="Times New Roman"/>
          <w:sz w:val="24"/>
          <w:szCs w:val="24"/>
          <w:lang w:val="en-US"/>
        </w:rPr>
      </w:pPr>
    </w:p>
    <w:p w14:paraId="0393FC4E" w14:textId="50054F13" w:rsidR="009500BA" w:rsidRPr="00E7268F" w:rsidRDefault="009500BA" w:rsidP="009500BA">
      <w:pPr>
        <w:spacing w:after="0" w:line="480" w:lineRule="auto"/>
        <w:rPr>
          <w:rFonts w:ascii="Times New Roman" w:hAnsi="Times New Roman" w:cs="Times New Roman"/>
          <w:b/>
          <w:bCs/>
          <w:sz w:val="24"/>
          <w:szCs w:val="24"/>
          <w:lang w:val="en-US"/>
        </w:rPr>
      </w:pPr>
      <w:r w:rsidRPr="00E7268F">
        <w:rPr>
          <w:rFonts w:ascii="Times New Roman" w:hAnsi="Times New Roman" w:cs="Times New Roman"/>
          <w:b/>
          <w:bCs/>
          <w:sz w:val="24"/>
          <w:szCs w:val="24"/>
          <w:lang w:val="en-US"/>
        </w:rPr>
        <w:t>Bioaccessibility Index</w:t>
      </w:r>
      <w:r w:rsidRPr="00E7268F">
        <w:rPr>
          <w:rFonts w:ascii="Times New Roman" w:hAnsi="Times New Roman" w:cs="Times New Roman"/>
          <w:b/>
          <w:bCs/>
          <w:sz w:val="24"/>
          <w:szCs w:val="24"/>
          <w:lang w:val="en-US"/>
        </w:rPr>
        <w:br/>
      </w:r>
      <w:r w:rsidRPr="00E7268F">
        <w:rPr>
          <w:rFonts w:ascii="Times New Roman" w:hAnsi="Times New Roman" w:cs="Times New Roman"/>
          <w:sz w:val="24"/>
          <w:szCs w:val="24"/>
          <w:lang w:val="en-US"/>
        </w:rPr>
        <w:t xml:space="preserve">The effect of </w:t>
      </w:r>
      <w:r w:rsidRPr="00186E06">
        <w:rPr>
          <w:rFonts w:ascii="Times New Roman" w:hAnsi="Times New Roman" w:cs="Times New Roman"/>
          <w:i/>
          <w:iCs/>
          <w:sz w:val="24"/>
          <w:szCs w:val="24"/>
          <w:lang w:val="en-US"/>
        </w:rPr>
        <w:t>in vitro</w:t>
      </w:r>
      <w:r w:rsidRPr="00E7268F">
        <w:rPr>
          <w:rFonts w:ascii="Times New Roman" w:hAnsi="Times New Roman" w:cs="Times New Roman"/>
          <w:sz w:val="24"/>
          <w:szCs w:val="24"/>
          <w:lang w:val="en-US"/>
        </w:rPr>
        <w:t xml:space="preserve"> gastrointestinal digestion on the phenolic compounds and fatty acids of the samples was evaluated using the bioaccessibility index (BI), according to the following equation:</w:t>
      </w:r>
      <w:r w:rsidRPr="00E7268F">
        <w:rPr>
          <w:rFonts w:ascii="Times New Roman" w:hAnsi="Times New Roman" w:cs="Times New Roman"/>
          <w:b/>
          <w:bCs/>
          <w:sz w:val="24"/>
          <w:szCs w:val="24"/>
          <w:lang w:val="en-US"/>
        </w:rPr>
        <w:br/>
      </w:r>
      <w:r w:rsidRPr="00E7268F">
        <w:rPr>
          <w:rFonts w:ascii="Times New Roman" w:hAnsi="Times New Roman" w:cs="Times New Roman"/>
          <w:b/>
          <w:bCs/>
          <w:sz w:val="24"/>
          <w:szCs w:val="24"/>
          <w:lang w:val="en-US"/>
        </w:rPr>
        <w:br/>
      </w:r>
      <w:r w:rsidRPr="00E7268F">
        <w:rPr>
          <w:rFonts w:ascii="Times New Roman" w:hAnsi="Times New Roman" w:cs="Times New Roman"/>
          <w:sz w:val="24"/>
          <w:szCs w:val="24"/>
          <w:lang w:val="en-US"/>
        </w:rPr>
        <w:t>BI = CD/IC x 100</w:t>
      </w:r>
      <w:r w:rsidRPr="00E7268F">
        <w:rPr>
          <w:rFonts w:ascii="Times New Roman" w:hAnsi="Times New Roman" w:cs="Times New Roman"/>
          <w:sz w:val="24"/>
          <w:szCs w:val="24"/>
          <w:lang w:val="en-US"/>
        </w:rPr>
        <w:br/>
        <w:t>CD = Concentration after digestion</w:t>
      </w:r>
      <w:r w:rsidRPr="00E7268F">
        <w:rPr>
          <w:rFonts w:ascii="Times New Roman" w:hAnsi="Times New Roman" w:cs="Times New Roman"/>
          <w:sz w:val="24"/>
          <w:szCs w:val="24"/>
          <w:lang w:val="en-US"/>
        </w:rPr>
        <w:br/>
        <w:t>IC = Initial concentration</w:t>
      </w:r>
    </w:p>
    <w:p w14:paraId="05FD01E0" w14:textId="77777777" w:rsidR="009500BA" w:rsidRPr="00E7268F" w:rsidRDefault="009500BA" w:rsidP="009500BA">
      <w:pPr>
        <w:spacing w:after="0" w:line="480" w:lineRule="auto"/>
        <w:rPr>
          <w:rFonts w:ascii="Times New Roman" w:hAnsi="Times New Roman" w:cs="Times New Roman"/>
          <w:b/>
          <w:bCs/>
          <w:sz w:val="24"/>
          <w:szCs w:val="24"/>
          <w:lang w:val="en-US"/>
        </w:rPr>
      </w:pPr>
    </w:p>
    <w:p w14:paraId="168DD91F" w14:textId="19C6FD4A" w:rsidR="009500BA" w:rsidRPr="00143318" w:rsidRDefault="009500BA" w:rsidP="009500BA">
      <w:pPr>
        <w:spacing w:after="0" w:line="480" w:lineRule="auto"/>
        <w:rPr>
          <w:rFonts w:ascii="Times New Roman" w:hAnsi="Times New Roman" w:cs="Times New Roman"/>
          <w:b/>
          <w:bCs/>
          <w:sz w:val="24"/>
          <w:szCs w:val="24"/>
          <w:lang w:val="en-US"/>
        </w:rPr>
      </w:pPr>
      <w:r w:rsidRPr="00E7268F">
        <w:rPr>
          <w:rFonts w:ascii="Times New Roman" w:hAnsi="Times New Roman" w:cs="Times New Roman"/>
          <w:b/>
          <w:bCs/>
          <w:sz w:val="24"/>
          <w:szCs w:val="24"/>
          <w:lang w:val="en-US"/>
        </w:rPr>
        <w:t>Extraction of phenolic compounds from undigested samples</w:t>
      </w:r>
      <w:r w:rsidRPr="00E7268F">
        <w:rPr>
          <w:rFonts w:ascii="Times New Roman" w:hAnsi="Times New Roman" w:cs="Times New Roman"/>
          <w:b/>
          <w:bCs/>
          <w:sz w:val="24"/>
          <w:szCs w:val="24"/>
          <w:lang w:val="en-US"/>
        </w:rPr>
        <w:br/>
      </w:r>
      <w:r w:rsidRPr="00E7268F">
        <w:rPr>
          <w:rFonts w:ascii="Times New Roman" w:hAnsi="Times New Roman" w:cs="Times New Roman"/>
          <w:sz w:val="24"/>
          <w:szCs w:val="24"/>
          <w:lang w:val="en-US"/>
        </w:rPr>
        <w:t>The extraction of phenolic compounds was carried out according to the protocol described by Abdel-Aty et al. [</w:t>
      </w:r>
      <w:r w:rsidR="0023510C">
        <w:rPr>
          <w:rFonts w:ascii="Times New Roman" w:hAnsi="Times New Roman" w:cs="Times New Roman"/>
          <w:sz w:val="24"/>
          <w:szCs w:val="24"/>
          <w:lang w:val="en-US"/>
        </w:rPr>
        <w:t>5</w:t>
      </w:r>
      <w:r w:rsidRPr="00E7268F">
        <w:rPr>
          <w:rFonts w:ascii="Times New Roman" w:hAnsi="Times New Roman" w:cs="Times New Roman"/>
          <w:sz w:val="24"/>
          <w:szCs w:val="24"/>
          <w:lang w:val="en-US"/>
        </w:rPr>
        <w:t>], with modifications. One gram of chia (</w:t>
      </w:r>
      <w:r w:rsidR="00BF520A">
        <w:rPr>
          <w:rFonts w:ascii="Times New Roman" w:hAnsi="Times New Roman" w:cs="Times New Roman"/>
          <w:sz w:val="24"/>
          <w:szCs w:val="24"/>
          <w:lang w:val="en-US"/>
        </w:rPr>
        <w:t>GC and GCS</w:t>
      </w:r>
      <w:r w:rsidRPr="00E7268F">
        <w:rPr>
          <w:rFonts w:ascii="Times New Roman" w:hAnsi="Times New Roman" w:cs="Times New Roman"/>
          <w:sz w:val="24"/>
          <w:szCs w:val="24"/>
          <w:lang w:val="en-US"/>
        </w:rPr>
        <w:t xml:space="preserve">) was suspended in 10 mL of a methanol/water solution (80:20, v/v). The samples were kept under agitation for 24 hours at room temperature (20°C – 25°C). Subsequently, the material was centrifuged at 21.200x g at 4 °C for 30 minutes. In the end, the supernatant was collected for the determination of total phenolic content and antioxidant capacity. </w:t>
      </w:r>
      <w:r w:rsidRPr="00143318">
        <w:rPr>
          <w:rFonts w:ascii="Times New Roman" w:hAnsi="Times New Roman" w:cs="Times New Roman"/>
          <w:sz w:val="24"/>
          <w:szCs w:val="24"/>
          <w:lang w:val="en-US"/>
        </w:rPr>
        <w:t>The results were expressed on a dry bas</w:t>
      </w:r>
      <w:r w:rsidR="006560FC">
        <w:rPr>
          <w:rFonts w:ascii="Times New Roman" w:hAnsi="Times New Roman" w:cs="Times New Roman"/>
          <w:sz w:val="24"/>
          <w:szCs w:val="24"/>
          <w:lang w:val="en-US"/>
        </w:rPr>
        <w:t>e</w:t>
      </w:r>
      <w:r w:rsidRPr="00143318">
        <w:rPr>
          <w:rFonts w:ascii="Times New Roman" w:hAnsi="Times New Roman" w:cs="Times New Roman"/>
          <w:sz w:val="24"/>
          <w:szCs w:val="24"/>
          <w:lang w:val="en-US"/>
        </w:rPr>
        <w:t>.</w:t>
      </w:r>
    </w:p>
    <w:p w14:paraId="67153585" w14:textId="77777777" w:rsidR="0033007E" w:rsidRPr="00E7268F" w:rsidRDefault="0033007E" w:rsidP="0033007E">
      <w:pPr>
        <w:spacing w:after="0" w:line="480" w:lineRule="auto"/>
        <w:rPr>
          <w:rFonts w:ascii="Times New Roman" w:hAnsi="Times New Roman" w:cs="Times New Roman"/>
          <w:sz w:val="24"/>
          <w:szCs w:val="24"/>
          <w:lang w:val="en-US"/>
        </w:rPr>
      </w:pPr>
    </w:p>
    <w:p w14:paraId="19762F6B" w14:textId="543096C7" w:rsidR="0033007E" w:rsidRPr="00E7268F" w:rsidRDefault="0033007E" w:rsidP="0033007E">
      <w:pPr>
        <w:spacing w:after="0" w:line="480" w:lineRule="auto"/>
        <w:rPr>
          <w:rFonts w:ascii="Times New Roman" w:hAnsi="Times New Roman" w:cs="Times New Roman"/>
          <w:b/>
          <w:bCs/>
          <w:sz w:val="24"/>
          <w:szCs w:val="24"/>
          <w:lang w:val="en-US"/>
        </w:rPr>
      </w:pPr>
      <w:r w:rsidRPr="00E7268F">
        <w:rPr>
          <w:rFonts w:ascii="Times New Roman" w:hAnsi="Times New Roman" w:cs="Times New Roman"/>
          <w:b/>
          <w:bCs/>
          <w:sz w:val="24"/>
          <w:szCs w:val="24"/>
          <w:lang w:val="en-US"/>
        </w:rPr>
        <w:t xml:space="preserve">Total Phenolic Compounds (TPC) Content </w:t>
      </w:r>
    </w:p>
    <w:p w14:paraId="155B528F" w14:textId="20B085C5" w:rsidR="009500BA" w:rsidRPr="00CF6C7C" w:rsidRDefault="009500BA" w:rsidP="009500BA">
      <w:pPr>
        <w:spacing w:after="0" w:line="480" w:lineRule="auto"/>
        <w:rPr>
          <w:rFonts w:ascii="Times New Roman" w:hAnsi="Times New Roman" w:cs="Times New Roman"/>
          <w:sz w:val="24"/>
          <w:szCs w:val="24"/>
          <w:lang w:val="en-US"/>
        </w:rPr>
      </w:pPr>
      <w:r w:rsidRPr="00E7268F">
        <w:rPr>
          <w:rFonts w:ascii="Times New Roman" w:hAnsi="Times New Roman" w:cs="Times New Roman"/>
          <w:sz w:val="24"/>
          <w:szCs w:val="24"/>
          <w:lang w:val="en-US"/>
        </w:rPr>
        <w:t xml:space="preserve">The determination of TPC for undigested </w:t>
      </w:r>
      <w:bookmarkStart w:id="0" w:name="_Hlk234234081"/>
      <w:r w:rsidRPr="00E7268F">
        <w:rPr>
          <w:rFonts w:ascii="Times New Roman" w:hAnsi="Times New Roman" w:cs="Times New Roman"/>
          <w:sz w:val="24"/>
          <w:szCs w:val="24"/>
          <w:lang w:val="en-US"/>
        </w:rPr>
        <w:t>(</w:t>
      </w:r>
      <w:r w:rsidR="00DA354B">
        <w:rPr>
          <w:rFonts w:ascii="Times New Roman" w:hAnsi="Times New Roman" w:cs="Times New Roman"/>
          <w:sz w:val="24"/>
          <w:szCs w:val="24"/>
          <w:lang w:val="en-US"/>
        </w:rPr>
        <w:t>GC and GCS</w:t>
      </w:r>
      <w:r w:rsidRPr="00E7268F">
        <w:rPr>
          <w:rFonts w:ascii="Times New Roman" w:hAnsi="Times New Roman" w:cs="Times New Roman"/>
          <w:sz w:val="24"/>
          <w:szCs w:val="24"/>
          <w:lang w:val="en-US"/>
        </w:rPr>
        <w:t xml:space="preserve">) </w:t>
      </w:r>
      <w:bookmarkEnd w:id="0"/>
      <w:r w:rsidRPr="00E7268F">
        <w:rPr>
          <w:rFonts w:ascii="Times New Roman" w:hAnsi="Times New Roman" w:cs="Times New Roman"/>
          <w:sz w:val="24"/>
          <w:szCs w:val="24"/>
          <w:lang w:val="en-US"/>
        </w:rPr>
        <w:t>and digested (</w:t>
      </w:r>
      <w:r w:rsidR="00DA354B" w:rsidRPr="00BF520A">
        <w:rPr>
          <w:rFonts w:ascii="Times New Roman" w:hAnsi="Times New Roman" w:cs="Times New Roman"/>
          <w:sz w:val="24"/>
          <w:szCs w:val="24"/>
          <w:lang w:val="en-US"/>
        </w:rPr>
        <w:t>WC, GC, WCS, and GCS</w:t>
      </w:r>
      <w:r w:rsidRPr="00E7268F">
        <w:rPr>
          <w:rFonts w:ascii="Times New Roman" w:hAnsi="Times New Roman" w:cs="Times New Roman"/>
          <w:sz w:val="24"/>
          <w:szCs w:val="24"/>
          <w:lang w:val="en-US"/>
        </w:rPr>
        <w:t>) samples was performed according to the Folin-</w:t>
      </w:r>
      <w:bookmarkStart w:id="1" w:name="_Hlk239872892"/>
      <w:r w:rsidRPr="00E7268F">
        <w:rPr>
          <w:rFonts w:ascii="Times New Roman" w:hAnsi="Times New Roman" w:cs="Times New Roman"/>
          <w:sz w:val="24"/>
          <w:szCs w:val="24"/>
          <w:lang w:val="en-US"/>
        </w:rPr>
        <w:t xml:space="preserve">Ciocalteu </w:t>
      </w:r>
      <w:bookmarkEnd w:id="1"/>
      <w:r w:rsidRPr="00E7268F">
        <w:rPr>
          <w:rFonts w:ascii="Times New Roman" w:hAnsi="Times New Roman" w:cs="Times New Roman"/>
          <w:sz w:val="24"/>
          <w:szCs w:val="24"/>
          <w:lang w:val="en-US"/>
        </w:rPr>
        <w:t>method described by Singleton et al. [</w:t>
      </w:r>
      <w:r w:rsidR="0023510C">
        <w:rPr>
          <w:rFonts w:ascii="Times New Roman" w:hAnsi="Times New Roman" w:cs="Times New Roman"/>
          <w:sz w:val="24"/>
          <w:szCs w:val="24"/>
          <w:lang w:val="en-US"/>
        </w:rPr>
        <w:t>6</w:t>
      </w:r>
      <w:r w:rsidRPr="00E7268F">
        <w:rPr>
          <w:rFonts w:ascii="Times New Roman" w:hAnsi="Times New Roman" w:cs="Times New Roman"/>
          <w:sz w:val="24"/>
          <w:szCs w:val="24"/>
          <w:lang w:val="en-US"/>
        </w:rPr>
        <w:t xml:space="preserve">], with adaptation for microvolumes. In a 96-well microplate, 20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 xml:space="preserve">L of the sample or standard and 100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 xml:space="preserve">L of the 10% Folin-Ciocalteu reagent were added. After 5 minutes, 75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 xml:space="preserve">L of 7.5% sodium carbonate were added. The contents of the microplate were homogenized and kept in the dark for 40 minutes. The absorbance reading was performed at 740 nm, using a microplate reader -Victor X3 (PerkinElmer, Massachusetts, USA). The results </w:t>
      </w:r>
      <w:r w:rsidRPr="00CF6C7C">
        <w:rPr>
          <w:rFonts w:ascii="Times New Roman" w:hAnsi="Times New Roman" w:cs="Times New Roman"/>
          <w:sz w:val="24"/>
          <w:szCs w:val="24"/>
          <w:lang w:val="en-US"/>
        </w:rPr>
        <w:t>were expressed in milligrams of gallic acid equivalents per gram (mg GAE/g) of</w:t>
      </w:r>
      <w:r w:rsidR="006560FC" w:rsidRPr="00CF6C7C">
        <w:rPr>
          <w:rFonts w:ascii="Times New Roman" w:hAnsi="Times New Roman" w:cs="Times New Roman"/>
          <w:sz w:val="24"/>
          <w:szCs w:val="24"/>
          <w:lang w:val="en-US"/>
        </w:rPr>
        <w:t xml:space="preserve"> </w:t>
      </w:r>
      <w:r w:rsidR="006560FC" w:rsidRPr="00CF6C7C">
        <w:rPr>
          <w:rFonts w:ascii="Times New Roman" w:eastAsia="Times New Roman" w:hAnsi="Times New Roman" w:cs="Times New Roman"/>
          <w:sz w:val="24"/>
          <w:szCs w:val="24"/>
          <w:lang w:val="en-US"/>
        </w:rPr>
        <w:t>dry bas</w:t>
      </w:r>
      <w:r w:rsidR="00AA1DCF" w:rsidRPr="00CF6C7C">
        <w:rPr>
          <w:rFonts w:ascii="Times New Roman" w:eastAsia="Times New Roman" w:hAnsi="Times New Roman" w:cs="Times New Roman"/>
          <w:sz w:val="24"/>
          <w:szCs w:val="24"/>
          <w:lang w:val="en-US"/>
        </w:rPr>
        <w:t>is</w:t>
      </w:r>
      <w:r w:rsidR="006560FC" w:rsidRPr="00CF6C7C">
        <w:rPr>
          <w:rFonts w:ascii="Times New Roman" w:eastAsia="Times New Roman" w:hAnsi="Times New Roman" w:cs="Times New Roman"/>
          <w:sz w:val="24"/>
          <w:szCs w:val="24"/>
          <w:lang w:val="en-US"/>
        </w:rPr>
        <w:t xml:space="preserve">. </w:t>
      </w:r>
    </w:p>
    <w:p w14:paraId="7F1BDD0A" w14:textId="77777777" w:rsidR="0033007E" w:rsidRPr="00CF6C7C" w:rsidRDefault="0033007E" w:rsidP="0033007E">
      <w:pPr>
        <w:spacing w:after="0" w:line="480" w:lineRule="auto"/>
        <w:rPr>
          <w:rFonts w:ascii="Times New Roman" w:hAnsi="Times New Roman" w:cs="Times New Roman"/>
          <w:b/>
          <w:bCs/>
          <w:sz w:val="24"/>
          <w:szCs w:val="24"/>
          <w:lang w:val="en-US"/>
        </w:rPr>
      </w:pPr>
    </w:p>
    <w:p w14:paraId="0C31C9FE" w14:textId="18B8A843" w:rsidR="0033007E" w:rsidRPr="00CF6C7C" w:rsidRDefault="0033007E" w:rsidP="0033007E">
      <w:pPr>
        <w:spacing w:after="0" w:line="480" w:lineRule="auto"/>
        <w:rPr>
          <w:rFonts w:ascii="Times New Roman" w:hAnsi="Times New Roman" w:cs="Times New Roman"/>
          <w:b/>
          <w:bCs/>
          <w:sz w:val="24"/>
          <w:szCs w:val="24"/>
          <w:lang w:val="en-US"/>
        </w:rPr>
      </w:pPr>
      <w:r w:rsidRPr="00CF6C7C">
        <w:rPr>
          <w:rFonts w:ascii="Times New Roman" w:hAnsi="Times New Roman" w:cs="Times New Roman"/>
          <w:b/>
          <w:bCs/>
          <w:sz w:val="24"/>
          <w:szCs w:val="24"/>
          <w:lang w:val="en-US"/>
        </w:rPr>
        <w:t xml:space="preserve">Identification of Phenolic Compounds </w:t>
      </w:r>
    </w:p>
    <w:p w14:paraId="57C66C8F" w14:textId="62575747" w:rsidR="00E7268F" w:rsidRDefault="00E7268F" w:rsidP="00FE5C3D">
      <w:pPr>
        <w:spacing w:after="0" w:line="480" w:lineRule="auto"/>
        <w:jc w:val="both"/>
        <w:rPr>
          <w:rFonts w:ascii="Times New Roman" w:hAnsi="Times New Roman" w:cs="Times New Roman"/>
          <w:sz w:val="24"/>
          <w:szCs w:val="24"/>
          <w:lang w:val="en-US"/>
        </w:rPr>
      </w:pPr>
      <w:r w:rsidRPr="00E7268F">
        <w:rPr>
          <w:rFonts w:ascii="Times New Roman" w:hAnsi="Times New Roman" w:cs="Times New Roman"/>
          <w:sz w:val="24"/>
          <w:szCs w:val="24"/>
          <w:lang w:val="en-US"/>
        </w:rPr>
        <w:t xml:space="preserve">The identification of phenolic compounds in undigested </w:t>
      </w:r>
      <w:r w:rsidR="00DA354B" w:rsidRPr="00DA354B">
        <w:rPr>
          <w:rFonts w:ascii="Times New Roman" w:hAnsi="Times New Roman" w:cs="Times New Roman"/>
          <w:sz w:val="24"/>
          <w:szCs w:val="24"/>
          <w:lang w:val="en-US"/>
        </w:rPr>
        <w:t xml:space="preserve">(GC and GCS) </w:t>
      </w:r>
      <w:r w:rsidRPr="00E7268F">
        <w:rPr>
          <w:rFonts w:ascii="Times New Roman" w:hAnsi="Times New Roman" w:cs="Times New Roman"/>
          <w:sz w:val="24"/>
          <w:szCs w:val="24"/>
          <w:lang w:val="en-US"/>
        </w:rPr>
        <w:t>and digested (</w:t>
      </w:r>
      <w:r w:rsidR="00DA354B" w:rsidRPr="00BF520A">
        <w:rPr>
          <w:rFonts w:ascii="Times New Roman" w:hAnsi="Times New Roman" w:cs="Times New Roman"/>
          <w:sz w:val="24"/>
          <w:szCs w:val="24"/>
          <w:lang w:val="en-US"/>
        </w:rPr>
        <w:t>WC, GC, WCS, and GCS</w:t>
      </w:r>
      <w:r w:rsidRPr="00E7268F">
        <w:rPr>
          <w:rFonts w:ascii="Times New Roman" w:hAnsi="Times New Roman" w:cs="Times New Roman"/>
          <w:sz w:val="24"/>
          <w:szCs w:val="24"/>
          <w:lang w:val="en-US"/>
        </w:rPr>
        <w:t xml:space="preserve">) samples was carried out using a high-performance liquid chromatography (HPLC) system (Shimadzu®, Japan), which included two parallel LC-40D XR pumps, an automatic injector SIL-40C XR, a CTO-40C column oven, a CBM-40 system controller, a DGU-405 degasser, and a SPD-M40 diode array detector (DAD). The chromatographic separation of phenolic compounds was performed using a Shim-pack GIST C18 reverse phase column (5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 xml:space="preserve">m, 250 mm × 4.6 mm, Shimadzu®) with a Shim-pack GIST C18 guard column (5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 xml:space="preserve">m, 10 mm × 4.0 mm, Shimadzu®). The mobile phase consisted of a gradient of 1% formic acid in water (eluent A) and acetonitrile (eluent B), at a flow rate of 1.0 mL/min, following a gradient profile of 0−20 min, 5−30% B; 20−30 min, 30−55% B; 30−38 min, 55−90% B; 38−40 min, 90% B; and then returning to initial conditions. The compounds were monitored by DAD from 190 to 600 nm. The temperature was maintained at 40°C, and the injection volume was 10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 xml:space="preserve">L. Before injection, the samples were filtered using a 0.45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m PVDF filter (Filtrilo®, Colombo, Brazil). The identification was performed by comparison with the retention time and the absorption spectrum of the standards (</w:t>
      </w:r>
      <w:r w:rsidR="00D200D9" w:rsidRPr="00D200D9">
        <w:rPr>
          <w:rFonts w:ascii="Times New Roman" w:hAnsi="Times New Roman" w:cs="Times New Roman"/>
          <w:color w:val="EE0000"/>
          <w:sz w:val="24"/>
          <w:szCs w:val="24"/>
          <w:lang w:val="en-US"/>
        </w:rPr>
        <w:t>3-</w:t>
      </w:r>
      <w:r w:rsidR="00D200D9" w:rsidRPr="00D200D9">
        <w:rPr>
          <w:rFonts w:ascii="Times New Roman" w:hAnsi="Times New Roman" w:cs="Times New Roman"/>
          <w:i/>
          <w:iCs/>
          <w:color w:val="EE0000"/>
          <w:sz w:val="24"/>
          <w:szCs w:val="24"/>
          <w:lang w:val="en-US"/>
        </w:rPr>
        <w:t>O</w:t>
      </w:r>
      <w:r w:rsidR="00D200D9" w:rsidRPr="00D200D9">
        <w:rPr>
          <w:rFonts w:ascii="Times New Roman" w:hAnsi="Times New Roman" w:cs="Times New Roman"/>
          <w:color w:val="EE0000"/>
          <w:sz w:val="24"/>
          <w:szCs w:val="24"/>
          <w:lang w:val="en-US"/>
        </w:rPr>
        <w:t>-caffeoylquinic, 5-</w:t>
      </w:r>
      <w:r w:rsidR="00D200D9" w:rsidRPr="00D200D9">
        <w:rPr>
          <w:rFonts w:ascii="Times New Roman" w:hAnsi="Times New Roman" w:cs="Times New Roman"/>
          <w:i/>
          <w:iCs/>
          <w:color w:val="EE0000"/>
          <w:sz w:val="24"/>
          <w:szCs w:val="24"/>
          <w:lang w:val="en-US"/>
        </w:rPr>
        <w:t>O</w:t>
      </w:r>
      <w:r w:rsidR="00D200D9" w:rsidRPr="00D200D9">
        <w:rPr>
          <w:rFonts w:ascii="Times New Roman" w:hAnsi="Times New Roman" w:cs="Times New Roman"/>
          <w:color w:val="EE0000"/>
          <w:sz w:val="24"/>
          <w:szCs w:val="24"/>
          <w:lang w:val="en-US"/>
        </w:rPr>
        <w:t>-caffeoylquinic, caffeic, ferulic, sinapic, rosmarinic, 3,4-dihydroxycinnamic, dihydrocaffeic, p-coumaric, dihydroferulic, trans-cinnamic, 2-hydroxycinnamic, and dihydro-p-coumaric acid</w:t>
      </w:r>
      <w:r w:rsidR="00D200D9">
        <w:rPr>
          <w:rFonts w:ascii="Times New Roman" w:hAnsi="Times New Roman" w:cs="Times New Roman"/>
          <w:color w:val="EE0000"/>
          <w:sz w:val="24"/>
          <w:szCs w:val="24"/>
          <w:lang w:val="en-US"/>
        </w:rPr>
        <w:t>s</w:t>
      </w:r>
      <w:r w:rsidRPr="00E7268F">
        <w:rPr>
          <w:rFonts w:ascii="Times New Roman" w:hAnsi="Times New Roman" w:cs="Times New Roman"/>
          <w:sz w:val="24"/>
          <w:szCs w:val="24"/>
          <w:lang w:val="en-US"/>
        </w:rPr>
        <w:t>) [</w:t>
      </w:r>
      <w:r w:rsidR="0023510C">
        <w:rPr>
          <w:rFonts w:ascii="Times New Roman" w:hAnsi="Times New Roman" w:cs="Times New Roman"/>
          <w:sz w:val="24"/>
          <w:szCs w:val="24"/>
          <w:lang w:val="en-US"/>
        </w:rPr>
        <w:t>5</w:t>
      </w:r>
      <w:r w:rsidRPr="00E7268F">
        <w:rPr>
          <w:rFonts w:ascii="Times New Roman" w:hAnsi="Times New Roman" w:cs="Times New Roman"/>
          <w:sz w:val="24"/>
          <w:szCs w:val="24"/>
          <w:lang w:val="en-US"/>
        </w:rPr>
        <w:t>]. The quantification was performed using calibration curves of the respective standards.</w:t>
      </w:r>
      <w:r w:rsidR="00FE5C3D">
        <w:rPr>
          <w:rFonts w:ascii="Times New Roman" w:hAnsi="Times New Roman" w:cs="Times New Roman"/>
          <w:sz w:val="24"/>
          <w:szCs w:val="24"/>
          <w:lang w:val="en-US"/>
        </w:rPr>
        <w:t xml:space="preserve"> </w:t>
      </w:r>
      <w:r w:rsidR="00FE5C3D" w:rsidRPr="00FE5C3D">
        <w:rPr>
          <w:rFonts w:ascii="Times New Roman" w:hAnsi="Times New Roman" w:cs="Times New Roman"/>
          <w:color w:val="EE0000"/>
          <w:sz w:val="24"/>
          <w:szCs w:val="24"/>
          <w:lang w:val="en-US"/>
        </w:rPr>
        <w:t>Rosmarinic acid glycoside was identified based on its chromatographic and spectrometric characteristics and quantified using the calibration curve of rosmarinic acid, as an authentic standard for the glycosylated derivative was not available.</w:t>
      </w:r>
      <w:r w:rsidRPr="00E7268F">
        <w:rPr>
          <w:rFonts w:ascii="Times New Roman" w:hAnsi="Times New Roman" w:cs="Times New Roman"/>
          <w:sz w:val="24"/>
          <w:szCs w:val="24"/>
          <w:lang w:val="en-US"/>
        </w:rPr>
        <w:t xml:space="preserve"> </w:t>
      </w:r>
      <w:r w:rsidR="004E26A4" w:rsidRPr="004E26A4">
        <w:rPr>
          <w:rFonts w:ascii="Times New Roman" w:hAnsi="Times New Roman" w:cs="Times New Roman"/>
          <w:color w:val="EE0000"/>
          <w:sz w:val="24"/>
          <w:szCs w:val="24"/>
          <w:lang w:val="en-US"/>
        </w:rPr>
        <w:t>Therefore, its concentration was expressed as rosmarinic acid equivalents.</w:t>
      </w:r>
      <w:r w:rsidR="004E26A4">
        <w:rPr>
          <w:rFonts w:ascii="Times New Roman" w:hAnsi="Times New Roman" w:cs="Times New Roman"/>
          <w:color w:val="EE0000"/>
          <w:sz w:val="24"/>
          <w:szCs w:val="24"/>
          <w:lang w:val="en-US"/>
        </w:rPr>
        <w:t xml:space="preserve"> </w:t>
      </w:r>
      <w:r w:rsidRPr="00E7268F">
        <w:rPr>
          <w:rFonts w:ascii="Times New Roman" w:hAnsi="Times New Roman" w:cs="Times New Roman"/>
          <w:sz w:val="24"/>
          <w:szCs w:val="24"/>
          <w:lang w:val="en-US"/>
        </w:rPr>
        <w:t>The data were acquired using Lab Solutions software (Shimadzu Corporation®, version 5.111, 2008–2021).</w:t>
      </w:r>
    </w:p>
    <w:p w14:paraId="6D728B4A" w14:textId="35147B3C" w:rsidR="00D6244D" w:rsidRDefault="00392FE8" w:rsidP="00392FE8">
      <w:pPr>
        <w:spacing w:after="0" w:line="480" w:lineRule="auto"/>
        <w:ind w:firstLine="708"/>
        <w:jc w:val="both"/>
        <w:rPr>
          <w:rFonts w:ascii="Times New Roman" w:hAnsi="Times New Roman" w:cs="Times New Roman"/>
          <w:color w:val="EE0000"/>
          <w:sz w:val="24"/>
          <w:szCs w:val="24"/>
          <w:lang w:val="en-US"/>
        </w:rPr>
      </w:pPr>
      <w:r w:rsidRPr="00392FE8">
        <w:rPr>
          <w:rFonts w:ascii="Times New Roman" w:hAnsi="Times New Roman" w:cs="Times New Roman"/>
          <w:color w:val="EE0000"/>
          <w:sz w:val="24"/>
          <w:szCs w:val="24"/>
          <w:lang w:val="en-US"/>
        </w:rPr>
        <w:t>The limits of detection (LOD) and quantification (LOQ) were estimated from the calibration curves using the residual standard deviation of the regression and the slope, according to LOD = 3.3σ/S and LOQ = 10σ/S, respectively</w:t>
      </w:r>
      <w:r w:rsidR="00737C6E">
        <w:rPr>
          <w:rFonts w:ascii="Times New Roman" w:hAnsi="Times New Roman" w:cs="Times New Roman"/>
          <w:color w:val="EE0000"/>
          <w:sz w:val="24"/>
          <w:szCs w:val="24"/>
          <w:lang w:val="en-US"/>
        </w:rPr>
        <w:t xml:space="preserve"> (</w:t>
      </w:r>
      <w:r w:rsidR="00737C6E" w:rsidRPr="00737C6E">
        <w:rPr>
          <w:rFonts w:ascii="Times New Roman" w:hAnsi="Times New Roman" w:cs="Times New Roman"/>
          <w:color w:val="EE0000"/>
          <w:sz w:val="24"/>
          <w:szCs w:val="24"/>
          <w:lang w:val="en-US"/>
        </w:rPr>
        <w:t>Table S1</w:t>
      </w:r>
      <w:r w:rsidR="00737C6E">
        <w:rPr>
          <w:rFonts w:ascii="Times New Roman" w:hAnsi="Times New Roman" w:cs="Times New Roman"/>
          <w:color w:val="EE0000"/>
          <w:sz w:val="24"/>
          <w:szCs w:val="24"/>
          <w:lang w:val="en-US"/>
        </w:rPr>
        <w:t>)</w:t>
      </w:r>
      <w:r w:rsidRPr="00392FE8">
        <w:rPr>
          <w:rFonts w:ascii="Times New Roman" w:hAnsi="Times New Roman" w:cs="Times New Roman"/>
          <w:color w:val="EE0000"/>
          <w:sz w:val="24"/>
          <w:szCs w:val="24"/>
          <w:lang w:val="en-US"/>
        </w:rPr>
        <w:t xml:space="preserve">. Calibration curves were prepared using caffeic acid and rosmarinic acid standards at a concentration of 30 µg/mL, using injection volumes of 1, 2.5, 5, 10, and 20 µL, corresponding to calibration </w:t>
      </w:r>
      <w:r w:rsidR="000B4810">
        <w:rPr>
          <w:rFonts w:ascii="Times New Roman" w:hAnsi="Times New Roman" w:cs="Times New Roman"/>
          <w:color w:val="EE0000"/>
          <w:sz w:val="24"/>
          <w:szCs w:val="24"/>
          <w:lang w:val="en-US"/>
        </w:rPr>
        <w:t>levels</w:t>
      </w:r>
      <w:r w:rsidRPr="00392FE8">
        <w:rPr>
          <w:rFonts w:ascii="Times New Roman" w:hAnsi="Times New Roman" w:cs="Times New Roman"/>
          <w:color w:val="EE0000"/>
          <w:sz w:val="24"/>
          <w:szCs w:val="24"/>
          <w:lang w:val="en-US"/>
        </w:rPr>
        <w:t xml:space="preserve"> of </w:t>
      </w:r>
      <w:r w:rsidR="000B4810" w:rsidRPr="000B4810">
        <w:rPr>
          <w:rFonts w:ascii="Times New Roman" w:hAnsi="Times New Roman" w:cs="Times New Roman"/>
          <w:color w:val="EE0000"/>
          <w:sz w:val="24"/>
          <w:szCs w:val="24"/>
          <w:lang w:val="en-US"/>
        </w:rPr>
        <w:t>0.03, 0.075, 0.15, 0.30, and 0.60 µg/injection</w:t>
      </w:r>
      <w:r w:rsidRPr="00392FE8">
        <w:rPr>
          <w:rFonts w:ascii="Times New Roman" w:hAnsi="Times New Roman" w:cs="Times New Roman"/>
          <w:color w:val="EE0000"/>
          <w:sz w:val="24"/>
          <w:szCs w:val="24"/>
          <w:lang w:val="en-US"/>
        </w:rPr>
        <w:t xml:space="preserve">. LOD and LOQ values were subsequently expressed as mg/g of dry </w:t>
      </w:r>
      <w:r w:rsidR="00737C6E">
        <w:rPr>
          <w:rFonts w:ascii="Times New Roman" w:hAnsi="Times New Roman" w:cs="Times New Roman"/>
          <w:color w:val="EE0000"/>
          <w:sz w:val="24"/>
          <w:szCs w:val="24"/>
          <w:lang w:val="en-US"/>
        </w:rPr>
        <w:t>weight</w:t>
      </w:r>
      <w:r w:rsidRPr="00392FE8">
        <w:rPr>
          <w:rFonts w:ascii="Times New Roman" w:hAnsi="Times New Roman" w:cs="Times New Roman"/>
          <w:color w:val="EE0000"/>
          <w:sz w:val="24"/>
          <w:szCs w:val="24"/>
          <w:lang w:val="en-US"/>
        </w:rPr>
        <w:t xml:space="preserve"> on the sample preparation procedure (1 g of sample extracted to 10 mL) and a 10-µL injection volume, without further dilution of the extracts.</w:t>
      </w:r>
    </w:p>
    <w:p w14:paraId="2DFABD70" w14:textId="77777777" w:rsidR="00392FE8" w:rsidRDefault="00392FE8" w:rsidP="00392FE8">
      <w:pPr>
        <w:spacing w:after="0" w:line="480" w:lineRule="auto"/>
        <w:ind w:firstLine="708"/>
        <w:jc w:val="both"/>
        <w:rPr>
          <w:rFonts w:ascii="Times New Roman" w:hAnsi="Times New Roman" w:cs="Times New Roman"/>
          <w:color w:val="EE0000"/>
          <w:sz w:val="24"/>
          <w:szCs w:val="24"/>
          <w:lang w:val="en-US"/>
        </w:rPr>
      </w:pPr>
    </w:p>
    <w:p w14:paraId="50700AB8" w14:textId="01359F96" w:rsidR="009E50DC" w:rsidRPr="009E50DC" w:rsidRDefault="00D6244D" w:rsidP="00D6244D">
      <w:pPr>
        <w:spacing w:after="0" w:line="480" w:lineRule="auto"/>
        <w:jc w:val="both"/>
        <w:rPr>
          <w:rFonts w:ascii="Times New Roman" w:hAnsi="Times New Roman" w:cs="Times New Roman"/>
          <w:color w:val="EE0000"/>
          <w:sz w:val="24"/>
          <w:szCs w:val="24"/>
          <w:lang w:val="en-US"/>
        </w:rPr>
      </w:pPr>
      <w:r w:rsidRPr="00D6244D">
        <w:rPr>
          <w:rFonts w:ascii="Times New Roman" w:hAnsi="Times New Roman" w:cs="Times New Roman"/>
          <w:b/>
          <w:bCs/>
          <w:color w:val="EE0000"/>
          <w:sz w:val="24"/>
          <w:szCs w:val="24"/>
          <w:lang w:val="en-US"/>
        </w:rPr>
        <w:t>Table S</w:t>
      </w:r>
      <w:r w:rsidR="00273A06">
        <w:rPr>
          <w:rFonts w:ascii="Times New Roman" w:hAnsi="Times New Roman" w:cs="Times New Roman"/>
          <w:b/>
          <w:bCs/>
          <w:color w:val="EE0000"/>
          <w:sz w:val="24"/>
          <w:szCs w:val="24"/>
          <w:lang w:val="en-US"/>
        </w:rPr>
        <w:t>1</w:t>
      </w:r>
      <w:r>
        <w:rPr>
          <w:rFonts w:ascii="Times New Roman" w:hAnsi="Times New Roman" w:cs="Times New Roman"/>
          <w:b/>
          <w:bCs/>
          <w:color w:val="EE0000"/>
          <w:sz w:val="24"/>
          <w:szCs w:val="24"/>
          <w:lang w:val="en-US"/>
        </w:rPr>
        <w:t xml:space="preserve"> </w:t>
      </w:r>
      <w:r w:rsidRPr="00D6244D">
        <w:rPr>
          <w:rFonts w:ascii="Times New Roman" w:hAnsi="Times New Roman" w:cs="Times New Roman"/>
          <w:color w:val="EE0000"/>
          <w:sz w:val="24"/>
          <w:szCs w:val="24"/>
          <w:lang w:val="en-US"/>
        </w:rPr>
        <w:t>Calibration curve parameters, limits of detection (LOD) and limits of quantification (LOQ) for the phenolic standards used in quantification</w:t>
      </w:r>
      <w:r>
        <w:rPr>
          <w:rFonts w:ascii="Times New Roman" w:hAnsi="Times New Roman" w:cs="Times New Roman"/>
          <w:color w:val="EE0000"/>
          <w:sz w:val="24"/>
          <w:szCs w:val="24"/>
          <w:lang w:val="en-US"/>
        </w:rPr>
        <w:t xml:space="preserve"> by </w:t>
      </w:r>
      <w:r w:rsidRPr="00D6244D">
        <w:rPr>
          <w:rFonts w:ascii="Times New Roman" w:hAnsi="Times New Roman" w:cs="Times New Roman"/>
          <w:color w:val="EE0000"/>
          <w:sz w:val="24"/>
          <w:szCs w:val="24"/>
          <w:lang w:val="en-US"/>
        </w:rPr>
        <w:t>HPLC-DAD.</w:t>
      </w:r>
    </w:p>
    <w:tbl>
      <w:tblPr>
        <w:tblStyle w:val="Tabelacomgrade"/>
        <w:tblW w:w="8500" w:type="dxa"/>
        <w:tblLayout w:type="fixed"/>
        <w:tblLook w:val="04A0" w:firstRow="1" w:lastRow="0" w:firstColumn="1" w:lastColumn="0" w:noHBand="0" w:noVBand="1"/>
      </w:tblPr>
      <w:tblGrid>
        <w:gridCol w:w="1555"/>
        <w:gridCol w:w="1701"/>
        <w:gridCol w:w="2268"/>
        <w:gridCol w:w="992"/>
        <w:gridCol w:w="992"/>
        <w:gridCol w:w="992"/>
      </w:tblGrid>
      <w:tr w:rsidR="00577459" w14:paraId="0BFF8C72" w14:textId="4446F711" w:rsidTr="00577459">
        <w:tc>
          <w:tcPr>
            <w:tcW w:w="1555" w:type="dxa"/>
            <w:vAlign w:val="center"/>
          </w:tcPr>
          <w:p w14:paraId="0B7798A4" w14:textId="6BA3D9D5"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b/>
                <w:bCs/>
                <w:color w:val="EE0000"/>
                <w:sz w:val="20"/>
                <w:szCs w:val="20"/>
                <w:lang w:val="en-US"/>
              </w:rPr>
              <w:t>Compound</w:t>
            </w:r>
          </w:p>
        </w:tc>
        <w:tc>
          <w:tcPr>
            <w:tcW w:w="1701" w:type="dxa"/>
            <w:vAlign w:val="center"/>
          </w:tcPr>
          <w:p w14:paraId="06277D09" w14:textId="1BB3D8A0"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b/>
                <w:bCs/>
                <w:color w:val="EE0000"/>
                <w:sz w:val="20"/>
                <w:szCs w:val="20"/>
                <w:lang w:val="en-US"/>
              </w:rPr>
              <w:t>Calibration range (µg/</w:t>
            </w:r>
            <w:r w:rsidR="00A310FA" w:rsidRPr="00D6244D">
              <w:rPr>
                <w:rFonts w:ascii="Times New Roman" w:hAnsi="Times New Roman" w:cs="Times New Roman"/>
                <w:b/>
                <w:bCs/>
                <w:color w:val="EE0000"/>
                <w:sz w:val="20"/>
                <w:szCs w:val="20"/>
                <w:lang w:val="en-US"/>
              </w:rPr>
              <w:t>injection</w:t>
            </w:r>
            <w:r w:rsidRPr="00D6244D">
              <w:rPr>
                <w:rFonts w:ascii="Times New Roman" w:hAnsi="Times New Roman" w:cs="Times New Roman"/>
                <w:b/>
                <w:bCs/>
                <w:color w:val="EE0000"/>
                <w:sz w:val="20"/>
                <w:szCs w:val="20"/>
                <w:lang w:val="en-US"/>
              </w:rPr>
              <w:t>)</w:t>
            </w:r>
          </w:p>
        </w:tc>
        <w:tc>
          <w:tcPr>
            <w:tcW w:w="2268" w:type="dxa"/>
            <w:vAlign w:val="center"/>
          </w:tcPr>
          <w:p w14:paraId="33F47140" w14:textId="051D1DE1"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b/>
                <w:bCs/>
                <w:color w:val="EE0000"/>
                <w:sz w:val="20"/>
                <w:szCs w:val="20"/>
                <w:lang w:val="en-US"/>
              </w:rPr>
              <w:t>Equation</w:t>
            </w:r>
          </w:p>
        </w:tc>
        <w:tc>
          <w:tcPr>
            <w:tcW w:w="992" w:type="dxa"/>
            <w:vAlign w:val="center"/>
          </w:tcPr>
          <w:p w14:paraId="43A979D1" w14:textId="490FFCD5"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b/>
                <w:bCs/>
                <w:color w:val="EE0000"/>
                <w:sz w:val="20"/>
                <w:szCs w:val="20"/>
                <w:lang w:val="en-US"/>
              </w:rPr>
              <w:t>R²</w:t>
            </w:r>
          </w:p>
        </w:tc>
        <w:tc>
          <w:tcPr>
            <w:tcW w:w="992" w:type="dxa"/>
            <w:vAlign w:val="center"/>
          </w:tcPr>
          <w:p w14:paraId="57F5CE7E" w14:textId="12E4FFFF"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b/>
                <w:bCs/>
                <w:color w:val="EE0000"/>
                <w:sz w:val="20"/>
                <w:szCs w:val="20"/>
                <w:lang w:val="en-US"/>
              </w:rPr>
              <w:t>LOD (mg/g)</w:t>
            </w:r>
          </w:p>
        </w:tc>
        <w:tc>
          <w:tcPr>
            <w:tcW w:w="992" w:type="dxa"/>
            <w:vAlign w:val="center"/>
          </w:tcPr>
          <w:p w14:paraId="71812C7A" w14:textId="763D9008"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b/>
                <w:bCs/>
                <w:color w:val="EE0000"/>
                <w:sz w:val="20"/>
                <w:szCs w:val="20"/>
                <w:lang w:val="en-US"/>
              </w:rPr>
              <w:t>LOQ (mg/g)</w:t>
            </w:r>
          </w:p>
        </w:tc>
      </w:tr>
      <w:tr w:rsidR="00577459" w14:paraId="34D0975B" w14:textId="03943458" w:rsidTr="00577459">
        <w:tc>
          <w:tcPr>
            <w:tcW w:w="1555" w:type="dxa"/>
            <w:vAlign w:val="center"/>
          </w:tcPr>
          <w:p w14:paraId="65BBAEA1" w14:textId="32CB7E2A"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Caffeic acid</w:t>
            </w:r>
          </w:p>
        </w:tc>
        <w:tc>
          <w:tcPr>
            <w:tcW w:w="1701" w:type="dxa"/>
            <w:vAlign w:val="center"/>
          </w:tcPr>
          <w:p w14:paraId="6C273FAF" w14:textId="698858C7"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0.03–0.60</w:t>
            </w:r>
          </w:p>
        </w:tc>
        <w:tc>
          <w:tcPr>
            <w:tcW w:w="2268" w:type="dxa"/>
            <w:vAlign w:val="center"/>
          </w:tcPr>
          <w:p w14:paraId="38C31DAD" w14:textId="6729BCF1"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y = 1,805,286.88x + 2,726.33</w:t>
            </w:r>
          </w:p>
        </w:tc>
        <w:tc>
          <w:tcPr>
            <w:tcW w:w="992" w:type="dxa"/>
            <w:vAlign w:val="center"/>
          </w:tcPr>
          <w:p w14:paraId="30564E7D" w14:textId="390ED03B"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0.9999</w:t>
            </w:r>
          </w:p>
        </w:tc>
        <w:tc>
          <w:tcPr>
            <w:tcW w:w="992" w:type="dxa"/>
            <w:vAlign w:val="center"/>
          </w:tcPr>
          <w:p w14:paraId="6F6946DE" w14:textId="76D24EB0"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0.00844</w:t>
            </w:r>
          </w:p>
        </w:tc>
        <w:tc>
          <w:tcPr>
            <w:tcW w:w="992" w:type="dxa"/>
            <w:vAlign w:val="center"/>
          </w:tcPr>
          <w:p w14:paraId="67A8B65C" w14:textId="7D21BDEE"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0.02558</w:t>
            </w:r>
          </w:p>
        </w:tc>
      </w:tr>
      <w:tr w:rsidR="00577459" w14:paraId="2D940B44" w14:textId="4E68CF92" w:rsidTr="00577459">
        <w:tc>
          <w:tcPr>
            <w:tcW w:w="1555" w:type="dxa"/>
            <w:vAlign w:val="center"/>
          </w:tcPr>
          <w:p w14:paraId="414B4D68" w14:textId="12804761"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Rosmarinic acid</w:t>
            </w:r>
          </w:p>
        </w:tc>
        <w:tc>
          <w:tcPr>
            <w:tcW w:w="1701" w:type="dxa"/>
            <w:vAlign w:val="center"/>
          </w:tcPr>
          <w:p w14:paraId="00E57656" w14:textId="0FB4DD7C" w:rsidR="00577459" w:rsidRPr="00D6244D" w:rsidRDefault="00A310FA"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0.03–0.60</w:t>
            </w:r>
          </w:p>
        </w:tc>
        <w:tc>
          <w:tcPr>
            <w:tcW w:w="2268" w:type="dxa"/>
            <w:vAlign w:val="center"/>
          </w:tcPr>
          <w:p w14:paraId="7DF975C3" w14:textId="3317C927"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y = 3,203,203.85x − 12,704.09</w:t>
            </w:r>
          </w:p>
        </w:tc>
        <w:tc>
          <w:tcPr>
            <w:tcW w:w="992" w:type="dxa"/>
            <w:vAlign w:val="center"/>
          </w:tcPr>
          <w:p w14:paraId="6627C6B4" w14:textId="08573C08"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0.9994</w:t>
            </w:r>
          </w:p>
        </w:tc>
        <w:tc>
          <w:tcPr>
            <w:tcW w:w="992" w:type="dxa"/>
            <w:vAlign w:val="center"/>
          </w:tcPr>
          <w:p w14:paraId="3D1A1B3F" w14:textId="1CC27D6D"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0.02105</w:t>
            </w:r>
          </w:p>
        </w:tc>
        <w:tc>
          <w:tcPr>
            <w:tcW w:w="992" w:type="dxa"/>
            <w:vAlign w:val="center"/>
          </w:tcPr>
          <w:p w14:paraId="25F00050" w14:textId="6C52791D" w:rsidR="00577459" w:rsidRPr="00D6244D" w:rsidRDefault="00577459" w:rsidP="00577459">
            <w:pPr>
              <w:spacing w:line="480" w:lineRule="auto"/>
              <w:jc w:val="center"/>
              <w:rPr>
                <w:rFonts w:ascii="Times New Roman" w:hAnsi="Times New Roman" w:cs="Times New Roman"/>
                <w:b/>
                <w:bCs/>
                <w:color w:val="EE0000"/>
                <w:sz w:val="20"/>
                <w:szCs w:val="20"/>
                <w:lang w:val="en-US"/>
              </w:rPr>
            </w:pPr>
            <w:r w:rsidRPr="00D6244D">
              <w:rPr>
                <w:rFonts w:ascii="Times New Roman" w:hAnsi="Times New Roman" w:cs="Times New Roman"/>
                <w:color w:val="EE0000"/>
                <w:sz w:val="20"/>
                <w:szCs w:val="20"/>
                <w:lang w:val="en-US"/>
              </w:rPr>
              <w:t>0.06380</w:t>
            </w:r>
          </w:p>
        </w:tc>
      </w:tr>
    </w:tbl>
    <w:p w14:paraId="78BA9AF2" w14:textId="3A611C46" w:rsidR="0033007E" w:rsidRPr="00392FE8" w:rsidRDefault="00392FE8" w:rsidP="00392FE8">
      <w:pPr>
        <w:spacing w:after="0" w:line="480" w:lineRule="auto"/>
        <w:jc w:val="both"/>
        <w:rPr>
          <w:rFonts w:ascii="Times New Roman" w:hAnsi="Times New Roman" w:cs="Times New Roman"/>
          <w:color w:val="EE0000"/>
          <w:sz w:val="24"/>
          <w:szCs w:val="24"/>
          <w:lang w:val="en-US"/>
        </w:rPr>
      </w:pPr>
      <w:r w:rsidRPr="00392FE8">
        <w:rPr>
          <w:rFonts w:ascii="Times New Roman" w:hAnsi="Times New Roman" w:cs="Times New Roman"/>
          <w:color w:val="EE0000"/>
          <w:sz w:val="24"/>
          <w:szCs w:val="24"/>
          <w:lang w:val="en-US"/>
        </w:rPr>
        <w:t>*LOD and LOQ values expressed as mg/g dry sample were calculated based on the sample preparation procedure (1 g of sample extracted to 10 mL) and a 10-µL injection volume, without further dilution of the extracts.</w:t>
      </w:r>
    </w:p>
    <w:p w14:paraId="332CD5AE" w14:textId="77777777" w:rsidR="00392FE8" w:rsidRPr="00E7268F" w:rsidRDefault="00392FE8" w:rsidP="0033007E">
      <w:pPr>
        <w:spacing w:after="0" w:line="480" w:lineRule="auto"/>
        <w:rPr>
          <w:rFonts w:ascii="Times New Roman" w:hAnsi="Times New Roman" w:cs="Times New Roman"/>
          <w:b/>
          <w:bCs/>
          <w:sz w:val="24"/>
          <w:szCs w:val="24"/>
          <w:lang w:val="en-US"/>
        </w:rPr>
      </w:pPr>
    </w:p>
    <w:p w14:paraId="529D8D30" w14:textId="33B3185E" w:rsidR="0033007E" w:rsidRPr="00E7268F" w:rsidRDefault="0033007E" w:rsidP="0033007E">
      <w:pPr>
        <w:spacing w:after="0" w:line="480" w:lineRule="auto"/>
        <w:rPr>
          <w:rFonts w:ascii="Times New Roman" w:hAnsi="Times New Roman" w:cs="Times New Roman"/>
          <w:b/>
          <w:bCs/>
          <w:sz w:val="24"/>
          <w:szCs w:val="24"/>
          <w:lang w:val="en-US"/>
        </w:rPr>
      </w:pPr>
      <w:r w:rsidRPr="00E7268F">
        <w:rPr>
          <w:rFonts w:ascii="Times New Roman" w:hAnsi="Times New Roman" w:cs="Times New Roman"/>
          <w:b/>
          <w:bCs/>
          <w:sz w:val="24"/>
          <w:szCs w:val="24"/>
          <w:lang w:val="en-US"/>
        </w:rPr>
        <w:t xml:space="preserve">Antioxidant Capacity </w:t>
      </w:r>
    </w:p>
    <w:p w14:paraId="332698B5" w14:textId="1063C993" w:rsidR="00E7268F" w:rsidRPr="00E7268F" w:rsidRDefault="00E7268F" w:rsidP="00E7268F">
      <w:pPr>
        <w:spacing w:after="0" w:line="480" w:lineRule="auto"/>
        <w:rPr>
          <w:rFonts w:ascii="Times New Roman" w:hAnsi="Times New Roman" w:cs="Times New Roman"/>
          <w:sz w:val="24"/>
          <w:szCs w:val="24"/>
          <w:lang w:val="en-US"/>
        </w:rPr>
      </w:pPr>
      <w:r w:rsidRPr="00E7268F">
        <w:rPr>
          <w:rFonts w:ascii="Times New Roman" w:hAnsi="Times New Roman" w:cs="Times New Roman"/>
          <w:sz w:val="24"/>
          <w:szCs w:val="24"/>
          <w:lang w:val="en-US"/>
        </w:rPr>
        <w:t xml:space="preserve">The antioxidant capacity of the undigested </w:t>
      </w:r>
      <w:r w:rsidR="00DA354B" w:rsidRPr="00DA354B">
        <w:rPr>
          <w:rFonts w:ascii="Times New Roman" w:hAnsi="Times New Roman" w:cs="Times New Roman"/>
          <w:sz w:val="24"/>
          <w:szCs w:val="24"/>
          <w:lang w:val="en-US"/>
        </w:rPr>
        <w:t xml:space="preserve">(GC and GCS) </w:t>
      </w:r>
      <w:r w:rsidRPr="00E7268F">
        <w:rPr>
          <w:rFonts w:ascii="Times New Roman" w:hAnsi="Times New Roman" w:cs="Times New Roman"/>
          <w:sz w:val="24"/>
          <w:szCs w:val="24"/>
          <w:lang w:val="en-US"/>
        </w:rPr>
        <w:t xml:space="preserve">and digested </w:t>
      </w:r>
      <w:r w:rsidR="00DA354B" w:rsidRPr="00DA354B">
        <w:rPr>
          <w:rFonts w:ascii="Times New Roman" w:hAnsi="Times New Roman" w:cs="Times New Roman"/>
          <w:sz w:val="24"/>
          <w:szCs w:val="24"/>
          <w:lang w:val="en-US"/>
        </w:rPr>
        <w:t>(WC, GC, WCS, and GCS)</w:t>
      </w:r>
      <w:r w:rsidR="00DA354B">
        <w:rPr>
          <w:rFonts w:ascii="Times New Roman" w:hAnsi="Times New Roman" w:cs="Times New Roman"/>
          <w:sz w:val="24"/>
          <w:szCs w:val="24"/>
          <w:lang w:val="en-US"/>
        </w:rPr>
        <w:t xml:space="preserve"> </w:t>
      </w:r>
      <w:r w:rsidRPr="00E7268F">
        <w:rPr>
          <w:rFonts w:ascii="Times New Roman" w:hAnsi="Times New Roman" w:cs="Times New Roman"/>
          <w:sz w:val="24"/>
          <w:szCs w:val="24"/>
          <w:lang w:val="en-US"/>
        </w:rPr>
        <w:t xml:space="preserve">samples </w:t>
      </w:r>
      <w:r w:rsidR="00F2118E" w:rsidRPr="00E7268F">
        <w:rPr>
          <w:rFonts w:ascii="Times New Roman" w:hAnsi="Times New Roman" w:cs="Times New Roman"/>
          <w:sz w:val="24"/>
          <w:szCs w:val="24"/>
          <w:lang w:val="en-US"/>
        </w:rPr>
        <w:t>were</w:t>
      </w:r>
      <w:r w:rsidRPr="00E7268F">
        <w:rPr>
          <w:rFonts w:ascii="Times New Roman" w:hAnsi="Times New Roman" w:cs="Times New Roman"/>
          <w:sz w:val="24"/>
          <w:szCs w:val="24"/>
          <w:lang w:val="en-US"/>
        </w:rPr>
        <w:t xml:space="preserve"> determined using three different methods, each based on distinct mechanisms of action. All assays were performed in 96-well microplates, and the absorbance was measured by spectrophotometry using a microplate reader (PerkinElmer, Massachusetts, USA). The antioxidant capacity was determined by the ferric reducing antioxidant power (FRAP) method, as described by Müller et al. [</w:t>
      </w:r>
      <w:r w:rsidR="0023510C">
        <w:rPr>
          <w:rFonts w:ascii="Times New Roman" w:hAnsi="Times New Roman" w:cs="Times New Roman"/>
          <w:sz w:val="24"/>
          <w:szCs w:val="24"/>
          <w:lang w:val="en-US"/>
        </w:rPr>
        <w:t>7</w:t>
      </w:r>
      <w:r w:rsidRPr="00E7268F">
        <w:rPr>
          <w:rFonts w:ascii="Times New Roman" w:hAnsi="Times New Roman" w:cs="Times New Roman"/>
          <w:sz w:val="24"/>
          <w:szCs w:val="24"/>
          <w:lang w:val="en-US"/>
        </w:rPr>
        <w:t>], with readings at 595 nm, and the results were expressed in ferrous sulfate equivalents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M). The antioxidant capacity equivalent to the ABTS+ radical (ABTS) and the effect of eliminating the free radical 1,1-diphenyl-2-picrylhydrazyl (DPPH) were determined according to Al-Duais et al. [</w:t>
      </w:r>
      <w:r w:rsidR="0023510C">
        <w:rPr>
          <w:rFonts w:ascii="Times New Roman" w:hAnsi="Times New Roman" w:cs="Times New Roman"/>
          <w:sz w:val="24"/>
          <w:szCs w:val="24"/>
          <w:lang w:val="en-US"/>
        </w:rPr>
        <w:t>8</w:t>
      </w:r>
      <w:r w:rsidRPr="00E7268F">
        <w:rPr>
          <w:rFonts w:ascii="Times New Roman" w:hAnsi="Times New Roman" w:cs="Times New Roman"/>
          <w:sz w:val="24"/>
          <w:szCs w:val="24"/>
          <w:lang w:val="en-US"/>
        </w:rPr>
        <w:t>], with readings at 730 nm for ABTS and 517 nm for DPPH.</w:t>
      </w:r>
    </w:p>
    <w:p w14:paraId="414F428B" w14:textId="77777777" w:rsidR="0033007E" w:rsidRPr="00E7268F" w:rsidRDefault="0033007E" w:rsidP="0033007E">
      <w:pPr>
        <w:spacing w:after="0" w:line="480" w:lineRule="auto"/>
        <w:rPr>
          <w:rFonts w:ascii="Times New Roman" w:hAnsi="Times New Roman" w:cs="Times New Roman"/>
          <w:b/>
          <w:bCs/>
          <w:sz w:val="24"/>
          <w:szCs w:val="24"/>
          <w:lang w:val="en-US"/>
        </w:rPr>
      </w:pPr>
    </w:p>
    <w:p w14:paraId="4BE833CF" w14:textId="29D73D16" w:rsidR="0033007E" w:rsidRPr="00E7268F" w:rsidRDefault="0033007E" w:rsidP="00B50FDC">
      <w:pPr>
        <w:spacing w:after="0" w:line="480" w:lineRule="auto"/>
        <w:rPr>
          <w:rFonts w:ascii="Times New Roman" w:hAnsi="Times New Roman" w:cs="Times New Roman"/>
          <w:b/>
          <w:bCs/>
          <w:sz w:val="24"/>
          <w:szCs w:val="24"/>
          <w:lang w:val="en-US"/>
        </w:rPr>
      </w:pPr>
      <w:r w:rsidRPr="00E7268F">
        <w:rPr>
          <w:rFonts w:ascii="Times New Roman" w:hAnsi="Times New Roman" w:cs="Times New Roman"/>
          <w:b/>
          <w:bCs/>
          <w:sz w:val="24"/>
          <w:szCs w:val="24"/>
          <w:lang w:val="en-US"/>
        </w:rPr>
        <w:t>Lipid Extraction and Fatty Acid Profile</w:t>
      </w:r>
    </w:p>
    <w:p w14:paraId="56BC18AA" w14:textId="251AAD38" w:rsidR="00E7268F" w:rsidRPr="00E7268F" w:rsidRDefault="00E7268F" w:rsidP="00E7268F">
      <w:pPr>
        <w:spacing w:after="0" w:line="480" w:lineRule="auto"/>
        <w:rPr>
          <w:rFonts w:ascii="Times New Roman" w:hAnsi="Times New Roman" w:cs="Times New Roman"/>
          <w:sz w:val="24"/>
          <w:szCs w:val="24"/>
          <w:lang w:val="en-US"/>
        </w:rPr>
      </w:pPr>
      <w:r w:rsidRPr="00E7268F">
        <w:rPr>
          <w:rFonts w:ascii="Times New Roman" w:hAnsi="Times New Roman" w:cs="Times New Roman"/>
          <w:sz w:val="24"/>
          <w:szCs w:val="24"/>
          <w:lang w:val="en-US"/>
        </w:rPr>
        <w:t xml:space="preserve">The lipids from the undigested samples </w:t>
      </w:r>
      <w:r w:rsidR="00DA354B" w:rsidRPr="00DA354B">
        <w:rPr>
          <w:rFonts w:ascii="Times New Roman" w:hAnsi="Times New Roman" w:cs="Times New Roman"/>
          <w:sz w:val="24"/>
          <w:szCs w:val="24"/>
          <w:lang w:val="en-US"/>
        </w:rPr>
        <w:t xml:space="preserve">(GC and GCS) </w:t>
      </w:r>
      <w:r w:rsidRPr="00E7268F">
        <w:rPr>
          <w:rFonts w:ascii="Times New Roman" w:hAnsi="Times New Roman" w:cs="Times New Roman"/>
          <w:sz w:val="24"/>
          <w:szCs w:val="24"/>
          <w:lang w:val="en-US"/>
        </w:rPr>
        <w:t>were extracted according to the Bligh &amp; Dyer method [</w:t>
      </w:r>
      <w:r w:rsidR="0023510C">
        <w:rPr>
          <w:rFonts w:ascii="Times New Roman" w:hAnsi="Times New Roman" w:cs="Times New Roman"/>
          <w:sz w:val="24"/>
          <w:szCs w:val="24"/>
          <w:lang w:val="en-US"/>
        </w:rPr>
        <w:t>9</w:t>
      </w:r>
      <w:r w:rsidRPr="00E7268F">
        <w:rPr>
          <w:rFonts w:ascii="Times New Roman" w:hAnsi="Times New Roman" w:cs="Times New Roman"/>
          <w:sz w:val="24"/>
          <w:szCs w:val="24"/>
          <w:lang w:val="en-US"/>
        </w:rPr>
        <w:t xml:space="preserve">], with modifications. About 1 g of each sample was subjected to extraction using chloroform (5mL), methanol (10mL), and water (4mL). The tubes were placed in a shaker for 30 minutes. Next, 5mL of chloroform and 5mL of 1.5% sodium sulfate solution were added. The lower phase of the mixture was subjected to evaporation. After the evaporation of the solvent, the extracted fat content was weighed. For the digested samples </w:t>
      </w:r>
      <w:r w:rsidR="00DA354B" w:rsidRPr="00DA354B">
        <w:rPr>
          <w:rFonts w:ascii="Times New Roman" w:hAnsi="Times New Roman" w:cs="Times New Roman"/>
          <w:sz w:val="24"/>
          <w:szCs w:val="24"/>
          <w:lang w:val="en-US"/>
        </w:rPr>
        <w:t>(WC, GC, WCS, and GCS)</w:t>
      </w:r>
      <w:r w:rsidRPr="00E7268F">
        <w:rPr>
          <w:rFonts w:ascii="Times New Roman" w:hAnsi="Times New Roman" w:cs="Times New Roman"/>
          <w:sz w:val="24"/>
          <w:szCs w:val="24"/>
          <w:lang w:val="en-US"/>
        </w:rPr>
        <w:t>, the methodology described by Tormási and Abrankó [</w:t>
      </w:r>
      <w:r w:rsidR="0023510C">
        <w:rPr>
          <w:rFonts w:ascii="Times New Roman" w:hAnsi="Times New Roman" w:cs="Times New Roman"/>
          <w:sz w:val="24"/>
          <w:szCs w:val="24"/>
          <w:lang w:val="en-US"/>
        </w:rPr>
        <w:t>10</w:t>
      </w:r>
      <w:r w:rsidRPr="00E7268F">
        <w:rPr>
          <w:rFonts w:ascii="Times New Roman" w:hAnsi="Times New Roman" w:cs="Times New Roman"/>
          <w:sz w:val="24"/>
          <w:szCs w:val="24"/>
          <w:lang w:val="en-US"/>
        </w:rPr>
        <w:t xml:space="preserve">] was used. In summary, 5 mL aliquots of intestinal fluid were homogenized with 6.25 mL of chloroform. The chloroform phase was transferred to a round-bottom flask and, after the solvent was evaporated, the dry matter content was determined by drying in an oven at 103 ± 1 °C. After extraction, the lipid fraction was subjected to a methylation reaction, and the obtained fatty acid methyl esters (FAMEs) were analyzed by gas chromatography -Thermo Fisher- coupled with a Flame Ionization Detector (FID). A TR-FAME capillary column (120 m in length × 0.25 mm in internal diameter, film thickness of 0.25 </w:t>
      </w:r>
      <w:r w:rsidRPr="00E7268F">
        <w:rPr>
          <w:rFonts w:ascii="Times New Roman" w:hAnsi="Times New Roman" w:cs="Times New Roman"/>
          <w:sz w:val="24"/>
          <w:szCs w:val="24"/>
        </w:rPr>
        <w:t>μ</w:t>
      </w:r>
      <w:r w:rsidRPr="00E7268F">
        <w:rPr>
          <w:rFonts w:ascii="Times New Roman" w:hAnsi="Times New Roman" w:cs="Times New Roman"/>
          <w:sz w:val="24"/>
          <w:szCs w:val="24"/>
          <w:lang w:val="en-US"/>
        </w:rPr>
        <w:t xml:space="preserve">m, part number: 260M166L Thermo Fisher) was used for the </w:t>
      </w:r>
      <w:r w:rsidR="001D626D" w:rsidRPr="00E7268F">
        <w:rPr>
          <w:rFonts w:ascii="Times New Roman" w:hAnsi="Times New Roman" w:cs="Times New Roman"/>
          <w:sz w:val="24"/>
          <w:szCs w:val="24"/>
          <w:lang w:val="en-US"/>
        </w:rPr>
        <w:t>gas chromatography</w:t>
      </w:r>
      <w:r w:rsidRPr="00E7268F">
        <w:rPr>
          <w:rFonts w:ascii="Times New Roman" w:hAnsi="Times New Roman" w:cs="Times New Roman"/>
          <w:sz w:val="24"/>
          <w:szCs w:val="24"/>
          <w:lang w:val="en-US"/>
        </w:rPr>
        <w:t xml:space="preserve"> system. The oven temperature was set as follows: from 100 °C to 240 °C at 3 °C/min. The injector temperature was 225ºC in split mode. Helium was used as the carrier gas at a linear flow rate. The FAMEs were quantitatively measured using the internal standard C11:0. The total fat was calculated as the sum of all fatty acids. Saturated and monounsaturated fats were calculated as the sum of their respective fatty acids. The results of this analysis were expressed in grams of fatty acids per 100g of total fat found individually in each sample (g/100g).</w:t>
      </w:r>
    </w:p>
    <w:p w14:paraId="58E16513" w14:textId="563ACB39" w:rsidR="0033007E" w:rsidRPr="00E46A90" w:rsidRDefault="0033007E" w:rsidP="00B50FDC">
      <w:pPr>
        <w:spacing w:after="0" w:line="480" w:lineRule="auto"/>
        <w:rPr>
          <w:rFonts w:ascii="Times New Roman" w:hAnsi="Times New Roman" w:cs="Times New Roman"/>
          <w:sz w:val="24"/>
          <w:szCs w:val="24"/>
          <w:lang w:val="en-US"/>
        </w:rPr>
      </w:pPr>
      <w:r w:rsidRPr="00E7268F">
        <w:rPr>
          <w:rFonts w:ascii="Times New Roman" w:hAnsi="Times New Roman" w:cs="Times New Roman"/>
          <w:sz w:val="24"/>
          <w:szCs w:val="24"/>
          <w:lang w:val="en-US"/>
        </w:rPr>
        <w:t xml:space="preserve"> </w:t>
      </w:r>
    </w:p>
    <w:p w14:paraId="1468043C" w14:textId="6AFBCC81" w:rsidR="0033007E" w:rsidRPr="00E7268F" w:rsidRDefault="0033007E" w:rsidP="00B50FDC">
      <w:pPr>
        <w:spacing w:after="0" w:line="480" w:lineRule="auto"/>
        <w:rPr>
          <w:rFonts w:ascii="Times New Roman" w:hAnsi="Times New Roman" w:cs="Times New Roman"/>
          <w:b/>
          <w:bCs/>
          <w:sz w:val="24"/>
          <w:szCs w:val="24"/>
          <w:lang w:val="en-US"/>
        </w:rPr>
      </w:pPr>
      <w:r w:rsidRPr="00E7268F">
        <w:rPr>
          <w:rFonts w:ascii="Times New Roman" w:hAnsi="Times New Roman" w:cs="Times New Roman"/>
          <w:b/>
          <w:bCs/>
          <w:sz w:val="24"/>
          <w:szCs w:val="24"/>
          <w:lang w:val="en-US"/>
        </w:rPr>
        <w:t>Statistical Analysis</w:t>
      </w:r>
    </w:p>
    <w:p w14:paraId="6E322CCC" w14:textId="77777777" w:rsidR="00E7268F" w:rsidRPr="00E7268F" w:rsidRDefault="00E7268F" w:rsidP="00E7268F">
      <w:pPr>
        <w:spacing w:after="0" w:line="480" w:lineRule="auto"/>
        <w:rPr>
          <w:rFonts w:ascii="Times New Roman" w:hAnsi="Times New Roman" w:cs="Times New Roman"/>
          <w:sz w:val="24"/>
          <w:szCs w:val="24"/>
          <w:lang w:val="en-US"/>
        </w:rPr>
      </w:pPr>
      <w:r w:rsidRPr="00E7268F">
        <w:rPr>
          <w:rFonts w:ascii="Times New Roman" w:hAnsi="Times New Roman" w:cs="Times New Roman"/>
          <w:sz w:val="24"/>
          <w:szCs w:val="24"/>
          <w:lang w:val="en-US"/>
        </w:rPr>
        <w:t>The analyzes were performed in triplicate for all determinations. The results were presented as mean and standard deviation. The data were statistically analyzed using analysis of variance (ANOVA) and unpaired Student's t-test, employing Tukey's test to verify significant differences. The significance level adopted was 5% (p &lt; 0.05), using the statistical software GraphPad Prism 9.</w:t>
      </w:r>
    </w:p>
    <w:p w14:paraId="6E6A08F6" w14:textId="77777777" w:rsidR="00E7268F" w:rsidRDefault="00E7268F" w:rsidP="00E7268F">
      <w:pPr>
        <w:spacing w:after="0" w:line="480" w:lineRule="auto"/>
        <w:rPr>
          <w:rFonts w:ascii="Times New Roman" w:hAnsi="Times New Roman" w:cs="Times New Roman"/>
          <w:sz w:val="24"/>
          <w:szCs w:val="24"/>
          <w:lang w:val="en-US"/>
        </w:rPr>
      </w:pPr>
    </w:p>
    <w:p w14:paraId="1FA93774" w14:textId="77777777" w:rsidR="003518D2" w:rsidRDefault="003518D2" w:rsidP="00E7268F">
      <w:pPr>
        <w:spacing w:after="0" w:line="480" w:lineRule="auto"/>
        <w:rPr>
          <w:rFonts w:ascii="Times New Roman" w:hAnsi="Times New Roman" w:cs="Times New Roman"/>
          <w:sz w:val="24"/>
          <w:szCs w:val="24"/>
          <w:lang w:val="en-US"/>
        </w:rPr>
      </w:pPr>
    </w:p>
    <w:p w14:paraId="587E23B8" w14:textId="77777777" w:rsidR="003518D2" w:rsidRDefault="003518D2" w:rsidP="00E7268F">
      <w:pPr>
        <w:spacing w:after="0" w:line="480" w:lineRule="auto"/>
        <w:rPr>
          <w:rFonts w:ascii="Times New Roman" w:hAnsi="Times New Roman" w:cs="Times New Roman"/>
          <w:sz w:val="24"/>
          <w:szCs w:val="24"/>
          <w:lang w:val="en-US"/>
        </w:rPr>
      </w:pPr>
    </w:p>
    <w:p w14:paraId="6953368F" w14:textId="77777777" w:rsidR="003518D2" w:rsidRPr="00E7268F" w:rsidRDefault="003518D2" w:rsidP="00E7268F">
      <w:pPr>
        <w:spacing w:after="0" w:line="480" w:lineRule="auto"/>
        <w:rPr>
          <w:rFonts w:ascii="Times New Roman" w:hAnsi="Times New Roman" w:cs="Times New Roman"/>
          <w:sz w:val="24"/>
          <w:szCs w:val="24"/>
          <w:lang w:val="en-US"/>
        </w:rPr>
      </w:pPr>
    </w:p>
    <w:p w14:paraId="7587AF7D" w14:textId="4F460219" w:rsidR="0033007E" w:rsidRPr="00FE3BA1" w:rsidRDefault="0033007E" w:rsidP="00B50FDC">
      <w:pPr>
        <w:spacing w:after="0" w:line="480" w:lineRule="auto"/>
        <w:rPr>
          <w:rFonts w:ascii="Times New Roman" w:hAnsi="Times New Roman" w:cs="Times New Roman"/>
          <w:b/>
          <w:bCs/>
          <w:sz w:val="24"/>
          <w:szCs w:val="24"/>
          <w:lang w:val="en-US"/>
        </w:rPr>
      </w:pPr>
      <w:r w:rsidRPr="00FE3BA1">
        <w:rPr>
          <w:rFonts w:ascii="Times New Roman" w:hAnsi="Times New Roman" w:cs="Times New Roman"/>
          <w:b/>
          <w:bCs/>
        </w:rPr>
        <w:t>R</w:t>
      </w:r>
      <w:r w:rsidR="00FE3BA1" w:rsidRPr="00FE3BA1">
        <w:rPr>
          <w:rFonts w:ascii="Times New Roman" w:hAnsi="Times New Roman" w:cs="Times New Roman"/>
          <w:b/>
          <w:bCs/>
        </w:rPr>
        <w:t>eferences</w:t>
      </w:r>
    </w:p>
    <w:p w14:paraId="716445EB" w14:textId="77777777" w:rsidR="0033007E" w:rsidRPr="0033007E" w:rsidRDefault="0033007E" w:rsidP="00B50FDC">
      <w:pPr>
        <w:numPr>
          <w:ilvl w:val="0"/>
          <w:numId w:val="1"/>
        </w:numPr>
        <w:spacing w:after="0" w:line="480" w:lineRule="auto"/>
        <w:ind w:left="0" w:firstLine="0"/>
        <w:rPr>
          <w:rFonts w:ascii="Times New Roman" w:eastAsia="Times New Roman" w:hAnsi="Times New Roman" w:cs="Times New Roman"/>
          <w:sz w:val="24"/>
          <w:szCs w:val="24"/>
          <w:lang w:val="en-US"/>
        </w:rPr>
      </w:pPr>
      <w:r w:rsidRPr="0033007E">
        <w:rPr>
          <w:rFonts w:ascii="Times New Roman" w:eastAsia="Times New Roman" w:hAnsi="Times New Roman" w:cs="Times New Roman"/>
          <w:sz w:val="24"/>
          <w:szCs w:val="24"/>
          <w:lang w:val="en-US"/>
        </w:rPr>
        <w:t xml:space="preserve">Nadtochii LA, </w:t>
      </w:r>
      <w:hyperlink r:id="rId8" w:history="1">
        <w:r w:rsidRPr="0033007E">
          <w:rPr>
            <w:rStyle w:val="Hyperlink"/>
            <w:rFonts w:ascii="Times New Roman" w:eastAsia="Times New Roman" w:hAnsi="Times New Roman" w:cs="Times New Roman"/>
            <w:color w:val="auto"/>
            <w:sz w:val="24"/>
            <w:szCs w:val="24"/>
            <w:u w:val="none"/>
            <w:lang w:val="en-US"/>
          </w:rPr>
          <w:t>Kuznetcova DV</w:t>
        </w:r>
      </w:hyperlink>
      <w:r w:rsidRPr="0033007E">
        <w:rPr>
          <w:rFonts w:ascii="Times New Roman" w:eastAsia="Times New Roman" w:hAnsi="Times New Roman" w:cs="Times New Roman"/>
          <w:sz w:val="24"/>
          <w:szCs w:val="24"/>
          <w:lang w:val="en-US"/>
        </w:rPr>
        <w:t xml:space="preserve">, </w:t>
      </w:r>
      <w:hyperlink r:id="rId9" w:history="1">
        <w:r w:rsidRPr="0033007E">
          <w:rPr>
            <w:rStyle w:val="Hyperlink"/>
            <w:rFonts w:ascii="Times New Roman" w:eastAsia="Times New Roman" w:hAnsi="Times New Roman" w:cs="Times New Roman"/>
            <w:color w:val="auto"/>
            <w:sz w:val="24"/>
            <w:szCs w:val="24"/>
            <w:u w:val="none"/>
            <w:lang w:val="en-US"/>
          </w:rPr>
          <w:t xml:space="preserve">Proskura AV </w:t>
        </w:r>
      </w:hyperlink>
      <w:r w:rsidRPr="0033007E">
        <w:rPr>
          <w:rFonts w:ascii="Times New Roman" w:eastAsia="Times New Roman" w:hAnsi="Times New Roman" w:cs="Times New Roman"/>
          <w:sz w:val="24"/>
          <w:szCs w:val="24"/>
          <w:lang w:val="en-US"/>
        </w:rPr>
        <w:t>et al (2019) Investigation of various factors in sprout germination of chia (Salvia hispanica L.) seeds. Agric Res 17:1390–1400.</w:t>
      </w:r>
      <w:r w:rsidRPr="0033007E">
        <w:rPr>
          <w:rFonts w:ascii="Times New Roman" w:hAnsi="Times New Roman" w:cs="Times New Roman"/>
          <w:sz w:val="24"/>
          <w:szCs w:val="24"/>
          <w:lang w:val="en-US"/>
        </w:rPr>
        <w:t xml:space="preserve"> </w:t>
      </w:r>
      <w:hyperlink r:id="rId10" w:history="1">
        <w:r w:rsidRPr="0033007E">
          <w:rPr>
            <w:rStyle w:val="Hyperlink"/>
            <w:rFonts w:ascii="Times New Roman" w:eastAsia="Times New Roman" w:hAnsi="Times New Roman" w:cs="Times New Roman"/>
            <w:color w:val="auto"/>
            <w:sz w:val="24"/>
            <w:szCs w:val="24"/>
            <w:lang w:val="en-US"/>
          </w:rPr>
          <w:t>https://doi.org/10.15159/ar.19.128</w:t>
        </w:r>
      </w:hyperlink>
      <w:r w:rsidRPr="0033007E">
        <w:rPr>
          <w:rFonts w:ascii="Times New Roman" w:eastAsia="Times New Roman" w:hAnsi="Times New Roman" w:cs="Times New Roman"/>
          <w:sz w:val="24"/>
          <w:szCs w:val="24"/>
          <w:lang w:val="en-US"/>
        </w:rPr>
        <w:t xml:space="preserve"> </w:t>
      </w:r>
    </w:p>
    <w:p w14:paraId="2EDB3DC9" w14:textId="77777777" w:rsidR="0033007E" w:rsidRPr="0033007E" w:rsidRDefault="0033007E" w:rsidP="00B50FDC">
      <w:pPr>
        <w:numPr>
          <w:ilvl w:val="0"/>
          <w:numId w:val="1"/>
        </w:numPr>
        <w:spacing w:after="0" w:line="480" w:lineRule="auto"/>
        <w:ind w:left="0" w:firstLine="0"/>
        <w:rPr>
          <w:rFonts w:ascii="Times New Roman" w:eastAsia="Times New Roman" w:hAnsi="Times New Roman" w:cs="Times New Roman"/>
          <w:sz w:val="24"/>
          <w:szCs w:val="24"/>
          <w:lang w:val="en-US"/>
        </w:rPr>
      </w:pPr>
      <w:r w:rsidRPr="0033007E">
        <w:rPr>
          <w:rFonts w:ascii="Times New Roman" w:eastAsia="Times New Roman" w:hAnsi="Times New Roman" w:cs="Times New Roman"/>
          <w:sz w:val="24"/>
          <w:szCs w:val="24"/>
          <w:lang w:val="en-US"/>
        </w:rPr>
        <w:t>Gómez-Favela MA,</w:t>
      </w:r>
      <w:r w:rsidRPr="0033007E">
        <w:rPr>
          <w:rFonts w:ascii="Times New Roman" w:eastAsiaTheme="minorHAnsi" w:hAnsi="Times New Roman" w:cs="Times New Roman"/>
          <w:sz w:val="24"/>
          <w:szCs w:val="24"/>
          <w:lang w:val="en-US" w:eastAsia="en-US"/>
          <w14:ligatures w14:val="standardContextual"/>
        </w:rPr>
        <w:t xml:space="preserve"> </w:t>
      </w:r>
      <w:r w:rsidRPr="0033007E">
        <w:rPr>
          <w:rFonts w:ascii="Times New Roman" w:eastAsia="Times New Roman" w:hAnsi="Times New Roman" w:cs="Times New Roman"/>
          <w:sz w:val="24"/>
          <w:szCs w:val="24"/>
          <w:lang w:val="en-US"/>
        </w:rPr>
        <w:t>Gutiérrez-Dorado R, Cuevas-Rodríguez EO et al (2017) Improvement of chia seeds with antioxidant activity, GABA, essential amino acids, and dietary fiber by controlled germination bioprocess. Plant Foods Hum Nutr 72:345–352.</w:t>
      </w:r>
      <w:r w:rsidRPr="0033007E">
        <w:rPr>
          <w:rFonts w:ascii="Times New Roman" w:eastAsiaTheme="minorHAnsi" w:hAnsi="Times New Roman" w:cs="Times New Roman"/>
          <w:sz w:val="24"/>
          <w:szCs w:val="24"/>
          <w:lang w:eastAsia="en-US"/>
          <w14:ligatures w14:val="standardContextual"/>
        </w:rPr>
        <w:t xml:space="preserve"> </w:t>
      </w:r>
      <w:r w:rsidRPr="0033007E">
        <w:rPr>
          <w:rFonts w:ascii="Times New Roman" w:eastAsia="Times New Roman" w:hAnsi="Times New Roman" w:cs="Times New Roman"/>
          <w:sz w:val="24"/>
          <w:szCs w:val="24"/>
        </w:rPr>
        <w:t>https://doi.org/10.1007/s11130-017-0631-4</w:t>
      </w:r>
    </w:p>
    <w:p w14:paraId="2BDE13C6" w14:textId="2EC486E9" w:rsidR="0033007E" w:rsidRPr="00186E06" w:rsidRDefault="0033007E" w:rsidP="00B50FDC">
      <w:pPr>
        <w:numPr>
          <w:ilvl w:val="0"/>
          <w:numId w:val="1"/>
        </w:numPr>
        <w:spacing w:after="0" w:line="480" w:lineRule="auto"/>
        <w:ind w:left="0" w:firstLine="0"/>
        <w:rPr>
          <w:rFonts w:ascii="Times New Roman" w:eastAsia="Times New Roman" w:hAnsi="Times New Roman" w:cs="Times New Roman"/>
          <w:sz w:val="24"/>
          <w:szCs w:val="24"/>
          <w:lang w:val="en-US"/>
        </w:rPr>
      </w:pPr>
      <w:r w:rsidRPr="0033007E">
        <w:rPr>
          <w:rFonts w:ascii="Times New Roman" w:eastAsia="Times New Roman" w:hAnsi="Times New Roman" w:cs="Times New Roman"/>
          <w:sz w:val="24"/>
          <w:szCs w:val="24"/>
          <w:lang w:val="en-US"/>
        </w:rPr>
        <w:t xml:space="preserve">Brodkorb A, Egger L, Alminger M et al (2019) INFOGEST static in vitro </w:t>
      </w:r>
      <w:r w:rsidRPr="00186E06">
        <w:rPr>
          <w:rFonts w:ascii="Times New Roman" w:eastAsia="Times New Roman" w:hAnsi="Times New Roman" w:cs="Times New Roman"/>
          <w:sz w:val="24"/>
          <w:szCs w:val="24"/>
          <w:lang w:val="en-US"/>
        </w:rPr>
        <w:t xml:space="preserve">simulation of gastrointestinal food digestion. </w:t>
      </w:r>
      <w:r w:rsidRPr="00186E06">
        <w:rPr>
          <w:rFonts w:ascii="Times New Roman" w:eastAsia="Times New Roman" w:hAnsi="Times New Roman" w:cs="Times New Roman"/>
          <w:sz w:val="24"/>
          <w:szCs w:val="24"/>
        </w:rPr>
        <w:t>Nat Protoc 14:991–1014.</w:t>
      </w:r>
      <w:r w:rsidRPr="00186E06">
        <w:rPr>
          <w:rFonts w:ascii="Times New Roman" w:hAnsi="Times New Roman" w:cs="Times New Roman"/>
          <w:sz w:val="24"/>
          <w:szCs w:val="24"/>
          <w:shd w:val="clear" w:color="auto" w:fill="FFFFFF"/>
        </w:rPr>
        <w:t xml:space="preserve"> </w:t>
      </w:r>
      <w:hyperlink r:id="rId11" w:history="1">
        <w:r w:rsidR="00280570" w:rsidRPr="00186E06">
          <w:rPr>
            <w:rStyle w:val="Hyperlink"/>
            <w:rFonts w:ascii="Times New Roman" w:eastAsia="Times New Roman" w:hAnsi="Times New Roman" w:cs="Times New Roman"/>
            <w:color w:val="auto"/>
            <w:sz w:val="24"/>
            <w:szCs w:val="24"/>
            <w:u w:val="none"/>
          </w:rPr>
          <w:t>https://doi.org/10.1038/s41596-018-0119-1</w:t>
        </w:r>
      </w:hyperlink>
    </w:p>
    <w:p w14:paraId="48B74357" w14:textId="485A0511" w:rsidR="00280570" w:rsidRPr="0033007E" w:rsidRDefault="00280570" w:rsidP="00B50FDC">
      <w:pPr>
        <w:numPr>
          <w:ilvl w:val="0"/>
          <w:numId w:val="1"/>
        </w:numPr>
        <w:spacing w:after="0" w:line="480" w:lineRule="auto"/>
        <w:ind w:left="0" w:firstLine="0"/>
        <w:rPr>
          <w:rFonts w:ascii="Times New Roman" w:eastAsia="Times New Roman" w:hAnsi="Times New Roman" w:cs="Times New Roman"/>
          <w:sz w:val="24"/>
          <w:szCs w:val="24"/>
          <w:lang w:val="en-US"/>
        </w:rPr>
      </w:pPr>
      <w:r w:rsidRPr="00186E06">
        <w:rPr>
          <w:rFonts w:ascii="Times New Roman" w:eastAsia="Times New Roman" w:hAnsi="Times New Roman" w:cs="Times New Roman"/>
          <w:sz w:val="24"/>
          <w:szCs w:val="24"/>
          <w:lang w:val="en-US"/>
        </w:rPr>
        <w:t xml:space="preserve">Corte-Real </w:t>
      </w:r>
      <w:r w:rsidRPr="00280570">
        <w:rPr>
          <w:rFonts w:ascii="Times New Roman" w:eastAsia="Times New Roman" w:hAnsi="Times New Roman" w:cs="Times New Roman"/>
          <w:sz w:val="24"/>
          <w:szCs w:val="24"/>
          <w:lang w:val="en-US"/>
        </w:rPr>
        <w:t>J, Richling E, Hoffmann L, Bohn T</w:t>
      </w:r>
      <w:r>
        <w:rPr>
          <w:rFonts w:ascii="Times New Roman" w:eastAsia="Times New Roman" w:hAnsi="Times New Roman" w:cs="Times New Roman"/>
          <w:sz w:val="24"/>
          <w:szCs w:val="24"/>
          <w:lang w:val="en-US"/>
        </w:rPr>
        <w:t xml:space="preserve"> (2014)</w:t>
      </w:r>
      <w:r w:rsidRPr="00280570">
        <w:rPr>
          <w:rFonts w:ascii="Times New Roman" w:eastAsia="Times New Roman" w:hAnsi="Times New Roman" w:cs="Times New Roman"/>
          <w:sz w:val="24"/>
          <w:szCs w:val="24"/>
          <w:lang w:val="en-US"/>
        </w:rPr>
        <w:t xml:space="preserve"> Selective factors governing in vitro β-carotene bioaccessibility: negative influence of low filtration cutoffs and alterations by emulsifiers and food matrices. Nutr Res</w:t>
      </w:r>
      <w:r>
        <w:rPr>
          <w:rFonts w:ascii="Times New Roman" w:eastAsia="Times New Roman" w:hAnsi="Times New Roman" w:cs="Times New Roman"/>
          <w:sz w:val="24"/>
          <w:szCs w:val="24"/>
          <w:lang w:val="en-US"/>
        </w:rPr>
        <w:t xml:space="preserve"> </w:t>
      </w:r>
      <w:r w:rsidRPr="00280570">
        <w:rPr>
          <w:rFonts w:ascii="Times New Roman" w:eastAsia="Times New Roman" w:hAnsi="Times New Roman" w:cs="Times New Roman"/>
          <w:sz w:val="24"/>
          <w:szCs w:val="24"/>
          <w:lang w:val="en-US"/>
        </w:rPr>
        <w:t>34(12):1101-10.</w:t>
      </w:r>
      <w:r>
        <w:rPr>
          <w:rFonts w:ascii="Times New Roman" w:eastAsia="Times New Roman" w:hAnsi="Times New Roman" w:cs="Times New Roman"/>
          <w:sz w:val="24"/>
          <w:szCs w:val="24"/>
          <w:lang w:val="en-US"/>
        </w:rPr>
        <w:t xml:space="preserve"> </w:t>
      </w:r>
      <w:r w:rsidRPr="00280570">
        <w:rPr>
          <w:rFonts w:ascii="Times New Roman" w:eastAsia="Times New Roman" w:hAnsi="Times New Roman" w:cs="Times New Roman"/>
          <w:sz w:val="24"/>
          <w:szCs w:val="24"/>
        </w:rPr>
        <w:t>https://doi.org/10.1016/j.nutres.2014.04.010</w:t>
      </w:r>
    </w:p>
    <w:p w14:paraId="01A95EE9" w14:textId="77777777" w:rsidR="0033007E" w:rsidRPr="0033007E" w:rsidRDefault="0033007E" w:rsidP="00B50FDC">
      <w:pPr>
        <w:numPr>
          <w:ilvl w:val="0"/>
          <w:numId w:val="1"/>
        </w:numPr>
        <w:spacing w:after="0" w:line="480" w:lineRule="auto"/>
        <w:ind w:left="0" w:firstLine="0"/>
        <w:rPr>
          <w:rFonts w:ascii="Times New Roman" w:eastAsia="Times New Roman" w:hAnsi="Times New Roman" w:cs="Times New Roman"/>
          <w:sz w:val="24"/>
          <w:szCs w:val="24"/>
          <w:lang w:val="en-US"/>
        </w:rPr>
      </w:pPr>
      <w:r w:rsidRPr="0033007E">
        <w:rPr>
          <w:rFonts w:ascii="Times New Roman" w:eastAsia="Times New Roman" w:hAnsi="Times New Roman" w:cs="Times New Roman"/>
          <w:sz w:val="24"/>
          <w:szCs w:val="24"/>
          <w:lang w:val="en-US"/>
        </w:rPr>
        <w:t>Abdel-Aty AM, Elsayed AM, Salah HA et al (2021) Egyptian chia seeds (Salvia hispanica L.) during germination: upgrading of phenolic profile, antioxidant, antibacterial properties and relevant enzymes activities. Food Sci Biotechnol 30:723–34.</w:t>
      </w:r>
      <w:r w:rsidRPr="0033007E">
        <w:rPr>
          <w:rFonts w:ascii="Times New Roman" w:hAnsi="Times New Roman" w:cs="Times New Roman"/>
          <w:sz w:val="24"/>
          <w:szCs w:val="24"/>
          <w:shd w:val="clear" w:color="auto" w:fill="FFFFFF"/>
          <w:lang w:val="en-US"/>
        </w:rPr>
        <w:t xml:space="preserve"> </w:t>
      </w:r>
      <w:r w:rsidRPr="0033007E">
        <w:rPr>
          <w:rFonts w:ascii="Times New Roman" w:eastAsia="Times New Roman" w:hAnsi="Times New Roman" w:cs="Times New Roman"/>
          <w:sz w:val="24"/>
          <w:szCs w:val="24"/>
          <w:lang w:val="en-US"/>
        </w:rPr>
        <w:t>https://doi.org/10.1007/s10068-021-00902-2</w:t>
      </w:r>
    </w:p>
    <w:p w14:paraId="59AACB2A" w14:textId="77777777" w:rsidR="0033007E" w:rsidRPr="0033007E" w:rsidRDefault="0033007E" w:rsidP="00B50FDC">
      <w:pPr>
        <w:numPr>
          <w:ilvl w:val="0"/>
          <w:numId w:val="1"/>
        </w:numPr>
        <w:spacing w:after="0" w:line="480" w:lineRule="auto"/>
        <w:ind w:left="0" w:firstLine="0"/>
        <w:rPr>
          <w:rFonts w:ascii="Times New Roman" w:eastAsia="Times New Roman" w:hAnsi="Times New Roman" w:cs="Times New Roman"/>
          <w:sz w:val="24"/>
          <w:szCs w:val="24"/>
        </w:rPr>
      </w:pPr>
      <w:r w:rsidRPr="0033007E">
        <w:rPr>
          <w:rFonts w:ascii="Times New Roman" w:eastAsia="Times New Roman" w:hAnsi="Times New Roman" w:cs="Times New Roman"/>
          <w:sz w:val="24"/>
          <w:szCs w:val="24"/>
          <w:lang w:val="en-US"/>
        </w:rPr>
        <w:t xml:space="preserve">Singleton VL, Orthofer R, Lamuela-Raventós RM (1999) Analysis of total phenols and other oxidation substrates and antioxidants by means of Folin-Ciocalteu reagent. </w:t>
      </w:r>
      <w:r w:rsidRPr="0033007E">
        <w:rPr>
          <w:rFonts w:ascii="Times New Roman" w:eastAsia="Times New Roman" w:hAnsi="Times New Roman" w:cs="Times New Roman"/>
          <w:sz w:val="24"/>
          <w:szCs w:val="24"/>
        </w:rPr>
        <w:t xml:space="preserve">Methods Enzymol 299:152–178. </w:t>
      </w:r>
      <w:r w:rsidRPr="0033007E">
        <w:rPr>
          <w:rFonts w:ascii="Times New Roman" w:eastAsia="Times New Roman" w:hAnsi="Times New Roman" w:cs="Times New Roman"/>
          <w:sz w:val="24"/>
          <w:szCs w:val="24"/>
          <w:lang w:val="en-US"/>
        </w:rPr>
        <w:t>https://doi.org</w:t>
      </w:r>
      <w:r w:rsidRPr="0033007E">
        <w:rPr>
          <w:rFonts w:ascii="Times New Roman" w:eastAsia="Times New Roman" w:hAnsi="Times New Roman" w:cs="Times New Roman"/>
          <w:sz w:val="24"/>
          <w:szCs w:val="24"/>
        </w:rPr>
        <w:t>/10.1016/S0076-6879(99)99017-1</w:t>
      </w:r>
    </w:p>
    <w:p w14:paraId="0840DEC8" w14:textId="77777777" w:rsidR="0033007E" w:rsidRPr="0033007E" w:rsidRDefault="0033007E" w:rsidP="00B50FDC">
      <w:pPr>
        <w:numPr>
          <w:ilvl w:val="0"/>
          <w:numId w:val="1"/>
        </w:numPr>
        <w:spacing w:after="0" w:line="480" w:lineRule="auto"/>
        <w:ind w:left="0" w:firstLine="0"/>
        <w:rPr>
          <w:rFonts w:ascii="Times New Roman" w:eastAsia="Times New Roman" w:hAnsi="Times New Roman" w:cs="Times New Roman"/>
          <w:sz w:val="24"/>
          <w:szCs w:val="24"/>
          <w:lang w:val="en-US"/>
        </w:rPr>
      </w:pPr>
      <w:r w:rsidRPr="0033007E">
        <w:rPr>
          <w:rFonts w:ascii="Times New Roman" w:eastAsia="Times New Roman" w:hAnsi="Times New Roman" w:cs="Times New Roman"/>
          <w:sz w:val="24"/>
          <w:szCs w:val="24"/>
          <w:lang w:val="en-US"/>
        </w:rPr>
        <w:t>Müller L, Gnoyke S, Popken AM et al (2010) Antioxidant capacity and related parameters of different fruit formulations. LWT - Food Sci Technol 43:992–999. https://doi.org/10.1016/J.LWT.2010.02.004</w:t>
      </w:r>
    </w:p>
    <w:p w14:paraId="3827F449" w14:textId="5E487D0E" w:rsidR="00143318" w:rsidRPr="003518D2" w:rsidRDefault="0033007E" w:rsidP="00B50FDC">
      <w:pPr>
        <w:numPr>
          <w:ilvl w:val="0"/>
          <w:numId w:val="1"/>
        </w:numPr>
        <w:spacing w:after="0" w:line="480" w:lineRule="auto"/>
        <w:ind w:left="0" w:firstLine="0"/>
        <w:rPr>
          <w:rFonts w:ascii="Times New Roman" w:eastAsia="Times New Roman" w:hAnsi="Times New Roman" w:cs="Times New Roman"/>
          <w:sz w:val="24"/>
          <w:szCs w:val="24"/>
        </w:rPr>
      </w:pPr>
      <w:r w:rsidRPr="00143318">
        <w:rPr>
          <w:rFonts w:ascii="Times New Roman" w:eastAsia="Times New Roman" w:hAnsi="Times New Roman" w:cs="Times New Roman"/>
          <w:sz w:val="24"/>
          <w:szCs w:val="24"/>
          <w:lang w:val="en-US"/>
        </w:rPr>
        <w:t>Al-Duais M,</w:t>
      </w:r>
      <w:r w:rsidRPr="00143318">
        <w:rPr>
          <w:rFonts w:ascii="Times New Roman" w:hAnsi="Times New Roman" w:cs="Times New Roman"/>
          <w:sz w:val="24"/>
          <w:szCs w:val="24"/>
          <w:shd w:val="clear" w:color="auto" w:fill="FFFFFF"/>
          <w:lang w:val="en-US"/>
        </w:rPr>
        <w:t xml:space="preserve"> </w:t>
      </w:r>
      <w:r w:rsidRPr="00143318">
        <w:rPr>
          <w:rFonts w:ascii="Times New Roman" w:eastAsia="Times New Roman" w:hAnsi="Times New Roman" w:cs="Times New Roman"/>
          <w:sz w:val="24"/>
          <w:szCs w:val="24"/>
          <w:lang w:val="en-US"/>
        </w:rPr>
        <w:t>Müller L, Böhm V et al (2009) Antioxidant capacity and total phenolics of Cyphostemma digitatum before and after processing: use of different assays. Eur Food Res Technol 228:813–821.</w:t>
      </w:r>
      <w:r w:rsidRPr="00143318">
        <w:rPr>
          <w:rFonts w:ascii="Times New Roman" w:hAnsi="Times New Roman" w:cs="Times New Roman"/>
          <w:sz w:val="24"/>
          <w:szCs w:val="24"/>
          <w:lang w:val="en-US"/>
        </w:rPr>
        <w:t xml:space="preserve"> </w:t>
      </w:r>
      <w:hyperlink r:id="rId12" w:history="1">
        <w:r w:rsidR="00143318" w:rsidRPr="003518D2">
          <w:rPr>
            <w:rStyle w:val="Hyperlink"/>
            <w:rFonts w:ascii="Times New Roman" w:eastAsia="Times New Roman" w:hAnsi="Times New Roman" w:cs="Times New Roman"/>
            <w:color w:val="auto"/>
            <w:sz w:val="24"/>
            <w:szCs w:val="24"/>
            <w:u w:val="none"/>
            <w:lang w:val="en-US"/>
          </w:rPr>
          <w:t>https://doi.org/10.1007/s00217-008-0994-8</w:t>
        </w:r>
      </w:hyperlink>
    </w:p>
    <w:p w14:paraId="5105877A" w14:textId="2356131D" w:rsidR="0033007E" w:rsidRPr="00143318" w:rsidRDefault="0033007E" w:rsidP="00B50FDC">
      <w:pPr>
        <w:numPr>
          <w:ilvl w:val="0"/>
          <w:numId w:val="1"/>
        </w:numPr>
        <w:spacing w:after="0" w:line="480" w:lineRule="auto"/>
        <w:ind w:left="0" w:firstLine="0"/>
        <w:rPr>
          <w:rFonts w:ascii="Times New Roman" w:eastAsia="Times New Roman" w:hAnsi="Times New Roman" w:cs="Times New Roman"/>
          <w:sz w:val="24"/>
          <w:szCs w:val="24"/>
          <w:lang w:val="en-US"/>
        </w:rPr>
      </w:pPr>
      <w:r w:rsidRPr="00143318">
        <w:rPr>
          <w:rFonts w:ascii="Times New Roman" w:eastAsia="Times New Roman" w:hAnsi="Times New Roman" w:cs="Times New Roman"/>
          <w:sz w:val="24"/>
          <w:szCs w:val="24"/>
          <w:lang w:val="en-US"/>
        </w:rPr>
        <w:t>Bligh EG, Dyer WJ (1959) A rapid method of total lipid extraction and purification. Can J Biochem Physiol 37:911–917.</w:t>
      </w:r>
      <w:r w:rsidRPr="00143318">
        <w:rPr>
          <w:rFonts w:ascii="Times New Roman" w:hAnsi="Times New Roman" w:cs="Times New Roman"/>
          <w:sz w:val="24"/>
          <w:szCs w:val="24"/>
          <w:shd w:val="clear" w:color="auto" w:fill="FFFFFF"/>
          <w:lang w:val="en-US"/>
        </w:rPr>
        <w:t xml:space="preserve"> </w:t>
      </w:r>
      <w:r w:rsidRPr="00143318">
        <w:rPr>
          <w:rFonts w:ascii="Times New Roman" w:eastAsia="Times New Roman" w:hAnsi="Times New Roman" w:cs="Times New Roman"/>
          <w:sz w:val="24"/>
          <w:szCs w:val="24"/>
          <w:lang w:val="en-US"/>
        </w:rPr>
        <w:t>https://doi.org/10.1139/o59-099</w:t>
      </w:r>
    </w:p>
    <w:p w14:paraId="5C2B42F6" w14:textId="77777777" w:rsidR="0033007E" w:rsidRPr="003518D2" w:rsidRDefault="0033007E" w:rsidP="00B50FDC">
      <w:pPr>
        <w:numPr>
          <w:ilvl w:val="0"/>
          <w:numId w:val="1"/>
        </w:numPr>
        <w:spacing w:after="0" w:line="480" w:lineRule="auto"/>
        <w:ind w:left="0" w:firstLine="0"/>
        <w:rPr>
          <w:rFonts w:ascii="Times New Roman" w:eastAsia="Times New Roman" w:hAnsi="Times New Roman" w:cs="Times New Roman"/>
          <w:sz w:val="24"/>
          <w:szCs w:val="24"/>
        </w:rPr>
      </w:pPr>
      <w:r w:rsidRPr="0033007E">
        <w:rPr>
          <w:rFonts w:ascii="Times New Roman" w:eastAsia="Times New Roman" w:hAnsi="Times New Roman" w:cs="Times New Roman"/>
          <w:sz w:val="24"/>
          <w:szCs w:val="24"/>
          <w:lang w:val="en-US"/>
        </w:rPr>
        <w:t xml:space="preserve">Tormási J, Abrankó L (2021) Assessment </w:t>
      </w:r>
      <w:r w:rsidRPr="003518D2">
        <w:rPr>
          <w:rFonts w:ascii="Times New Roman" w:eastAsia="Times New Roman" w:hAnsi="Times New Roman" w:cs="Times New Roman"/>
          <w:sz w:val="24"/>
          <w:szCs w:val="24"/>
          <w:lang w:val="en-US"/>
        </w:rPr>
        <w:t xml:space="preserve">of fatty acid-specific lipolysis by in vitro digestion and GC-FID. </w:t>
      </w:r>
      <w:r w:rsidRPr="003518D2">
        <w:rPr>
          <w:rFonts w:ascii="Times New Roman" w:eastAsia="Times New Roman" w:hAnsi="Times New Roman" w:cs="Times New Roman"/>
          <w:sz w:val="24"/>
          <w:szCs w:val="24"/>
        </w:rPr>
        <w:t xml:space="preserve">Nutrients 13:3889. </w:t>
      </w:r>
      <w:hyperlink r:id="rId13" w:history="1">
        <w:r w:rsidRPr="003518D2">
          <w:rPr>
            <w:rStyle w:val="Hyperlink"/>
            <w:rFonts w:ascii="Times New Roman" w:eastAsia="Times New Roman" w:hAnsi="Times New Roman" w:cs="Times New Roman"/>
            <w:color w:val="auto"/>
            <w:sz w:val="24"/>
            <w:szCs w:val="24"/>
            <w:u w:val="none"/>
          </w:rPr>
          <w:t>https://doi.org/10.3390/nu13113889</w:t>
        </w:r>
      </w:hyperlink>
    </w:p>
    <w:p w14:paraId="79A68B01" w14:textId="77777777" w:rsidR="00CF0240" w:rsidRPr="003518D2" w:rsidRDefault="00CF0240" w:rsidP="0033007E"/>
    <w:sectPr w:rsidR="00CF0240" w:rsidRPr="003518D2" w:rsidSect="003518D2">
      <w:headerReference w:type="default" r:id="rId14"/>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85943" w14:textId="77777777" w:rsidR="003C3216" w:rsidRDefault="003C3216" w:rsidP="00C0686B">
      <w:pPr>
        <w:spacing w:after="0" w:line="240" w:lineRule="auto"/>
      </w:pPr>
      <w:r>
        <w:separator/>
      </w:r>
    </w:p>
  </w:endnote>
  <w:endnote w:type="continuationSeparator" w:id="0">
    <w:p w14:paraId="2AE3125A" w14:textId="77777777" w:rsidR="003C3216" w:rsidRDefault="003C3216" w:rsidP="00C06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AA3D5" w14:textId="77777777" w:rsidR="003C3216" w:rsidRDefault="003C3216" w:rsidP="00C0686B">
      <w:pPr>
        <w:spacing w:after="0" w:line="240" w:lineRule="auto"/>
      </w:pPr>
      <w:r>
        <w:separator/>
      </w:r>
    </w:p>
  </w:footnote>
  <w:footnote w:type="continuationSeparator" w:id="0">
    <w:p w14:paraId="0D2A3611" w14:textId="77777777" w:rsidR="003C3216" w:rsidRDefault="003C3216" w:rsidP="00C06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478422"/>
      <w:docPartObj>
        <w:docPartGallery w:val="Page Numbers (Top of Page)"/>
        <w:docPartUnique/>
      </w:docPartObj>
    </w:sdtPr>
    <w:sdtContent>
      <w:p w14:paraId="6C48FD47" w14:textId="6F1629C0" w:rsidR="00C0686B" w:rsidRDefault="00C0686B">
        <w:pPr>
          <w:pStyle w:val="Cabealho"/>
          <w:jc w:val="right"/>
        </w:pPr>
        <w:r>
          <w:fldChar w:fldCharType="begin"/>
        </w:r>
        <w:r>
          <w:instrText>PAGE   \* MERGEFORMAT</w:instrText>
        </w:r>
        <w:r>
          <w:fldChar w:fldCharType="separate"/>
        </w:r>
        <w:r>
          <w:t>2</w:t>
        </w:r>
        <w:r>
          <w:fldChar w:fldCharType="end"/>
        </w:r>
      </w:p>
    </w:sdtContent>
  </w:sdt>
  <w:p w14:paraId="4E130EF7" w14:textId="77777777" w:rsidR="00C0686B" w:rsidRDefault="00C0686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2439A"/>
    <w:multiLevelType w:val="multilevel"/>
    <w:tmpl w:val="576AD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2234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07E"/>
    <w:rsid w:val="00083029"/>
    <w:rsid w:val="000B4802"/>
    <w:rsid w:val="000B4810"/>
    <w:rsid w:val="000C70E7"/>
    <w:rsid w:val="000D15A5"/>
    <w:rsid w:val="000E2C23"/>
    <w:rsid w:val="00126E1E"/>
    <w:rsid w:val="00143318"/>
    <w:rsid w:val="0014778B"/>
    <w:rsid w:val="00166630"/>
    <w:rsid w:val="00186E06"/>
    <w:rsid w:val="001909AA"/>
    <w:rsid w:val="00190C9E"/>
    <w:rsid w:val="001D626D"/>
    <w:rsid w:val="002179A8"/>
    <w:rsid w:val="0023510C"/>
    <w:rsid w:val="00273A06"/>
    <w:rsid w:val="00280570"/>
    <w:rsid w:val="00292A34"/>
    <w:rsid w:val="00326B3A"/>
    <w:rsid w:val="0033007E"/>
    <w:rsid w:val="00330183"/>
    <w:rsid w:val="00344F38"/>
    <w:rsid w:val="003518D2"/>
    <w:rsid w:val="00392FE8"/>
    <w:rsid w:val="00393E7C"/>
    <w:rsid w:val="003C3216"/>
    <w:rsid w:val="003E5B4F"/>
    <w:rsid w:val="00411326"/>
    <w:rsid w:val="00436BAD"/>
    <w:rsid w:val="00456B63"/>
    <w:rsid w:val="00482456"/>
    <w:rsid w:val="004E26A4"/>
    <w:rsid w:val="00546ED2"/>
    <w:rsid w:val="00577459"/>
    <w:rsid w:val="006560FC"/>
    <w:rsid w:val="00681E72"/>
    <w:rsid w:val="006B2C27"/>
    <w:rsid w:val="006B6AA7"/>
    <w:rsid w:val="00737C6E"/>
    <w:rsid w:val="007908D7"/>
    <w:rsid w:val="00794D87"/>
    <w:rsid w:val="007D1967"/>
    <w:rsid w:val="008271EA"/>
    <w:rsid w:val="00831704"/>
    <w:rsid w:val="00842AD4"/>
    <w:rsid w:val="00851E16"/>
    <w:rsid w:val="008B7D8D"/>
    <w:rsid w:val="009013FB"/>
    <w:rsid w:val="00933F97"/>
    <w:rsid w:val="009500BA"/>
    <w:rsid w:val="00955175"/>
    <w:rsid w:val="00956B58"/>
    <w:rsid w:val="009E50DC"/>
    <w:rsid w:val="00A10298"/>
    <w:rsid w:val="00A124F4"/>
    <w:rsid w:val="00A308E2"/>
    <w:rsid w:val="00A310FA"/>
    <w:rsid w:val="00A45F6A"/>
    <w:rsid w:val="00A46AD2"/>
    <w:rsid w:val="00A555AC"/>
    <w:rsid w:val="00A614D8"/>
    <w:rsid w:val="00A653EC"/>
    <w:rsid w:val="00AA1DCF"/>
    <w:rsid w:val="00AC3469"/>
    <w:rsid w:val="00AE623B"/>
    <w:rsid w:val="00B50FDC"/>
    <w:rsid w:val="00BB2C46"/>
    <w:rsid w:val="00BC2B4B"/>
    <w:rsid w:val="00BF520A"/>
    <w:rsid w:val="00C043FD"/>
    <w:rsid w:val="00C0686B"/>
    <w:rsid w:val="00CA65EB"/>
    <w:rsid w:val="00CF0240"/>
    <w:rsid w:val="00CF6C7C"/>
    <w:rsid w:val="00D200D9"/>
    <w:rsid w:val="00D264A6"/>
    <w:rsid w:val="00D36AFE"/>
    <w:rsid w:val="00D6244D"/>
    <w:rsid w:val="00D7442A"/>
    <w:rsid w:val="00DA354B"/>
    <w:rsid w:val="00E41190"/>
    <w:rsid w:val="00E46A90"/>
    <w:rsid w:val="00E65177"/>
    <w:rsid w:val="00E7268F"/>
    <w:rsid w:val="00E8174E"/>
    <w:rsid w:val="00ED3D8D"/>
    <w:rsid w:val="00EE44B9"/>
    <w:rsid w:val="00F2118E"/>
    <w:rsid w:val="00FA685F"/>
    <w:rsid w:val="00FE3BA1"/>
    <w:rsid w:val="00FE5C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5C164"/>
  <w15:chartTrackingRefBased/>
  <w15:docId w15:val="{4E479A23-1C68-4022-8BB1-145C04668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07E"/>
    <w:rPr>
      <w:rFonts w:ascii="Aptos" w:eastAsia="Aptos" w:hAnsi="Aptos" w:cs="Aptos"/>
      <w:kern w:val="0"/>
      <w:lang w:eastAsia="pt-BR"/>
      <w14:ligatures w14:val="none"/>
    </w:rPr>
  </w:style>
  <w:style w:type="paragraph" w:styleId="Ttulo1">
    <w:name w:val="heading 1"/>
    <w:basedOn w:val="Normal"/>
    <w:next w:val="Normal"/>
    <w:link w:val="Ttulo1Char"/>
    <w:uiPriority w:val="9"/>
    <w:qFormat/>
    <w:rsid w:val="00330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30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300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300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300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300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300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300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3007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3007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3007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3007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3007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3007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3007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3007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3007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3007E"/>
    <w:rPr>
      <w:rFonts w:eastAsiaTheme="majorEastAsia" w:cstheme="majorBidi"/>
      <w:color w:val="272727" w:themeColor="text1" w:themeTint="D8"/>
    </w:rPr>
  </w:style>
  <w:style w:type="paragraph" w:styleId="Ttulo">
    <w:name w:val="Title"/>
    <w:basedOn w:val="Normal"/>
    <w:next w:val="Normal"/>
    <w:link w:val="TtuloChar"/>
    <w:uiPriority w:val="10"/>
    <w:qFormat/>
    <w:rsid w:val="00330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300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3007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3007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3007E"/>
    <w:pPr>
      <w:spacing w:before="160"/>
      <w:jc w:val="center"/>
    </w:pPr>
    <w:rPr>
      <w:i/>
      <w:iCs/>
      <w:color w:val="404040" w:themeColor="text1" w:themeTint="BF"/>
    </w:rPr>
  </w:style>
  <w:style w:type="character" w:customStyle="1" w:styleId="CitaoChar">
    <w:name w:val="Citação Char"/>
    <w:basedOn w:val="Fontepargpadro"/>
    <w:link w:val="Citao"/>
    <w:uiPriority w:val="29"/>
    <w:rsid w:val="0033007E"/>
    <w:rPr>
      <w:i/>
      <w:iCs/>
      <w:color w:val="404040" w:themeColor="text1" w:themeTint="BF"/>
    </w:rPr>
  </w:style>
  <w:style w:type="paragraph" w:styleId="PargrafodaLista">
    <w:name w:val="List Paragraph"/>
    <w:basedOn w:val="Normal"/>
    <w:uiPriority w:val="34"/>
    <w:qFormat/>
    <w:rsid w:val="0033007E"/>
    <w:pPr>
      <w:ind w:left="720"/>
      <w:contextualSpacing/>
    </w:pPr>
  </w:style>
  <w:style w:type="character" w:styleId="nfaseIntensa">
    <w:name w:val="Intense Emphasis"/>
    <w:basedOn w:val="Fontepargpadro"/>
    <w:uiPriority w:val="21"/>
    <w:qFormat/>
    <w:rsid w:val="0033007E"/>
    <w:rPr>
      <w:i/>
      <w:iCs/>
      <w:color w:val="0F4761" w:themeColor="accent1" w:themeShade="BF"/>
    </w:rPr>
  </w:style>
  <w:style w:type="paragraph" w:styleId="CitaoIntensa">
    <w:name w:val="Intense Quote"/>
    <w:basedOn w:val="Normal"/>
    <w:next w:val="Normal"/>
    <w:link w:val="CitaoIntensaChar"/>
    <w:uiPriority w:val="30"/>
    <w:qFormat/>
    <w:rsid w:val="00330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3007E"/>
    <w:rPr>
      <w:i/>
      <w:iCs/>
      <w:color w:val="0F4761" w:themeColor="accent1" w:themeShade="BF"/>
    </w:rPr>
  </w:style>
  <w:style w:type="character" w:styleId="RefernciaIntensa">
    <w:name w:val="Intense Reference"/>
    <w:basedOn w:val="Fontepargpadro"/>
    <w:uiPriority w:val="32"/>
    <w:qFormat/>
    <w:rsid w:val="0033007E"/>
    <w:rPr>
      <w:b/>
      <w:bCs/>
      <w:smallCaps/>
      <w:color w:val="0F4761" w:themeColor="accent1" w:themeShade="BF"/>
      <w:spacing w:val="5"/>
    </w:rPr>
  </w:style>
  <w:style w:type="character" w:styleId="Hyperlink">
    <w:name w:val="Hyperlink"/>
    <w:basedOn w:val="Fontepargpadro"/>
    <w:uiPriority w:val="99"/>
    <w:unhideWhenUsed/>
    <w:rsid w:val="0033007E"/>
    <w:rPr>
      <w:color w:val="467886" w:themeColor="hyperlink"/>
      <w:u w:val="single"/>
    </w:rPr>
  </w:style>
  <w:style w:type="character" w:styleId="Refdecomentrio">
    <w:name w:val="annotation reference"/>
    <w:basedOn w:val="Fontepargpadro"/>
    <w:uiPriority w:val="99"/>
    <w:semiHidden/>
    <w:unhideWhenUsed/>
    <w:rsid w:val="00E7268F"/>
    <w:rPr>
      <w:sz w:val="16"/>
      <w:szCs w:val="16"/>
    </w:rPr>
  </w:style>
  <w:style w:type="paragraph" w:styleId="Textodecomentrio">
    <w:name w:val="annotation text"/>
    <w:basedOn w:val="Normal"/>
    <w:link w:val="TextodecomentrioChar"/>
    <w:uiPriority w:val="99"/>
    <w:unhideWhenUsed/>
    <w:rsid w:val="00E7268F"/>
    <w:pPr>
      <w:spacing w:line="240" w:lineRule="auto"/>
    </w:pPr>
    <w:rPr>
      <w:sz w:val="20"/>
      <w:szCs w:val="20"/>
    </w:rPr>
  </w:style>
  <w:style w:type="character" w:customStyle="1" w:styleId="TextodecomentrioChar">
    <w:name w:val="Texto de comentário Char"/>
    <w:basedOn w:val="Fontepargpadro"/>
    <w:link w:val="Textodecomentrio"/>
    <w:uiPriority w:val="99"/>
    <w:rsid w:val="00E7268F"/>
    <w:rPr>
      <w:rFonts w:ascii="Aptos" w:eastAsia="Aptos" w:hAnsi="Aptos" w:cs="Aptos"/>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E7268F"/>
    <w:rPr>
      <w:b/>
      <w:bCs/>
    </w:rPr>
  </w:style>
  <w:style w:type="character" w:customStyle="1" w:styleId="AssuntodocomentrioChar">
    <w:name w:val="Assunto do comentário Char"/>
    <w:basedOn w:val="TextodecomentrioChar"/>
    <w:link w:val="Assuntodocomentrio"/>
    <w:uiPriority w:val="99"/>
    <w:semiHidden/>
    <w:rsid w:val="00E7268F"/>
    <w:rPr>
      <w:rFonts w:ascii="Aptos" w:eastAsia="Aptos" w:hAnsi="Aptos" w:cs="Aptos"/>
      <w:b/>
      <w:bCs/>
      <w:kern w:val="0"/>
      <w:sz w:val="20"/>
      <w:szCs w:val="20"/>
      <w:lang w:eastAsia="pt-BR"/>
      <w14:ligatures w14:val="none"/>
    </w:rPr>
  </w:style>
  <w:style w:type="character" w:styleId="MenoPendente">
    <w:name w:val="Unresolved Mention"/>
    <w:basedOn w:val="Fontepargpadro"/>
    <w:uiPriority w:val="99"/>
    <w:semiHidden/>
    <w:unhideWhenUsed/>
    <w:rsid w:val="00143318"/>
    <w:rPr>
      <w:color w:val="605E5C"/>
      <w:shd w:val="clear" w:color="auto" w:fill="E1DFDD"/>
    </w:rPr>
  </w:style>
  <w:style w:type="character" w:styleId="Nmerodelinha">
    <w:name w:val="line number"/>
    <w:basedOn w:val="Fontepargpadro"/>
    <w:uiPriority w:val="99"/>
    <w:semiHidden/>
    <w:unhideWhenUsed/>
    <w:rsid w:val="003518D2"/>
  </w:style>
  <w:style w:type="paragraph" w:styleId="Reviso">
    <w:name w:val="Revision"/>
    <w:hidden/>
    <w:uiPriority w:val="99"/>
    <w:semiHidden/>
    <w:rsid w:val="00A308E2"/>
    <w:pPr>
      <w:spacing w:after="0" w:line="240" w:lineRule="auto"/>
    </w:pPr>
    <w:rPr>
      <w:rFonts w:ascii="Aptos" w:eastAsia="Aptos" w:hAnsi="Aptos" w:cs="Aptos"/>
      <w:kern w:val="0"/>
      <w:lang w:eastAsia="pt-BR"/>
      <w14:ligatures w14:val="none"/>
    </w:rPr>
  </w:style>
  <w:style w:type="table" w:styleId="Tabelacomgrade">
    <w:name w:val="Table Grid"/>
    <w:basedOn w:val="Tabelanormal"/>
    <w:uiPriority w:val="39"/>
    <w:rsid w:val="00577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C0686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0686B"/>
    <w:rPr>
      <w:rFonts w:ascii="Aptos" w:eastAsia="Aptos" w:hAnsi="Aptos" w:cs="Aptos"/>
      <w:kern w:val="0"/>
      <w:lang w:eastAsia="pt-BR"/>
      <w14:ligatures w14:val="none"/>
    </w:rPr>
  </w:style>
  <w:style w:type="paragraph" w:styleId="Rodap">
    <w:name w:val="footer"/>
    <w:basedOn w:val="Normal"/>
    <w:link w:val="RodapChar"/>
    <w:uiPriority w:val="99"/>
    <w:unhideWhenUsed/>
    <w:rsid w:val="00C0686B"/>
    <w:pPr>
      <w:tabs>
        <w:tab w:val="center" w:pos="4252"/>
        <w:tab w:val="right" w:pos="8504"/>
      </w:tabs>
      <w:spacing w:after="0" w:line="240" w:lineRule="auto"/>
    </w:pPr>
  </w:style>
  <w:style w:type="character" w:customStyle="1" w:styleId="RodapChar">
    <w:name w:val="Rodapé Char"/>
    <w:basedOn w:val="Fontepargpadro"/>
    <w:link w:val="Rodap"/>
    <w:uiPriority w:val="99"/>
    <w:rsid w:val="00C0686B"/>
    <w:rPr>
      <w:rFonts w:ascii="Aptos" w:eastAsia="Aptos" w:hAnsi="Aptos" w:cs="Aptos"/>
      <w:kern w:val="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pace.emu.ee/browse/author?startsWith=Kuznetcova,%20D.V." TargetMode="External"/><Relationship Id="rId13" Type="http://schemas.openxmlformats.org/officeDocument/2006/relationships/hyperlink" Target="https://doi.org/10.3390/nu1311388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i.org/10.1007/s00217-008-0994-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s41596-018-0119-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5159/ar.19.128" TargetMode="External"/><Relationship Id="rId4" Type="http://schemas.openxmlformats.org/officeDocument/2006/relationships/webSettings" Target="webSettings.xml"/><Relationship Id="rId9" Type="http://schemas.openxmlformats.org/officeDocument/2006/relationships/hyperlink" Target="https://dspace.emu.ee/browse/author?startsWith=Proskura,%20A.V." TargetMode="External"/><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2143</Words>
  <Characters>11578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Flavia Brito</dc:creator>
  <cp:keywords/>
  <dc:description/>
  <cp:lastModifiedBy>Roberta Miyahira</cp:lastModifiedBy>
  <cp:revision>6</cp:revision>
  <dcterms:created xsi:type="dcterms:W3CDTF">2026-10-05T17:05:00Z</dcterms:created>
  <dcterms:modified xsi:type="dcterms:W3CDTF">2026-10-06T15:09:00Z</dcterms:modified>
</cp:coreProperties>
</file>