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0A61F" w14:textId="2D4420D1" w:rsidR="009C2BF6" w:rsidRPr="00630370" w:rsidRDefault="008B693D" w:rsidP="00630370">
      <w:pPr>
        <w:spacing w:line="360" w:lineRule="auto"/>
        <w:jc w:val="center"/>
        <w:rPr>
          <w:b/>
          <w:bCs/>
          <w:iCs/>
        </w:rPr>
      </w:pPr>
      <w:r w:rsidRPr="00630370">
        <w:rPr>
          <w:b/>
          <w:bCs/>
        </w:rPr>
        <w:t>Mind the</w:t>
      </w:r>
      <w:r w:rsidR="00BB4EE0" w:rsidRPr="00630370">
        <w:rPr>
          <w:b/>
          <w:bCs/>
        </w:rPr>
        <w:t xml:space="preserve"> </w:t>
      </w:r>
      <w:r w:rsidRPr="00630370">
        <w:rPr>
          <w:b/>
          <w:bCs/>
        </w:rPr>
        <w:t xml:space="preserve">moves: </w:t>
      </w:r>
      <w:r w:rsidR="00BB4EE0" w:rsidRPr="00630370">
        <w:rPr>
          <w:b/>
          <w:bCs/>
        </w:rPr>
        <w:t xml:space="preserve">case-intimacy and </w:t>
      </w:r>
      <w:r w:rsidRPr="00630370">
        <w:rPr>
          <w:b/>
          <w:bCs/>
        </w:rPr>
        <w:t>face-to-face interviews in Qualitative Comparative Analysis (QCA)</w:t>
      </w:r>
    </w:p>
    <w:p w14:paraId="37B1E561" w14:textId="6635D197" w:rsidR="009C2BF6" w:rsidRPr="00630370" w:rsidRDefault="00BB4EE0" w:rsidP="00630370">
      <w:pPr>
        <w:spacing w:line="360" w:lineRule="auto"/>
        <w:ind w:hanging="284"/>
        <w:jc w:val="center"/>
        <w:rPr>
          <w:b/>
        </w:rPr>
      </w:pPr>
      <w:r w:rsidRPr="00630370">
        <w:rPr>
          <w:b/>
        </w:rPr>
        <w:t xml:space="preserve">Online </w:t>
      </w:r>
      <w:r w:rsidR="009C2BF6" w:rsidRPr="00630370">
        <w:rPr>
          <w:b/>
        </w:rPr>
        <w:t>Appendix.</w:t>
      </w:r>
    </w:p>
    <w:p w14:paraId="3EB98637" w14:textId="77777777" w:rsidR="009C2BF6" w:rsidRPr="00630370" w:rsidRDefault="009C2BF6" w:rsidP="00630370">
      <w:pPr>
        <w:spacing w:line="360" w:lineRule="auto"/>
        <w:ind w:hanging="284"/>
      </w:pPr>
    </w:p>
    <w:p w14:paraId="6E5ECCDC" w14:textId="77777777" w:rsidR="009C2BF6" w:rsidRPr="00630370" w:rsidRDefault="009C2BF6" w:rsidP="00630370">
      <w:pPr>
        <w:spacing w:line="360" w:lineRule="auto"/>
        <w:ind w:hanging="284"/>
      </w:pPr>
    </w:p>
    <w:tbl>
      <w:tblPr>
        <w:tblStyle w:val="TableGrid"/>
        <w:tblW w:w="5000" w:type="pct"/>
        <w:tblLook w:val="04A0" w:firstRow="1" w:lastRow="0" w:firstColumn="1" w:lastColumn="0" w:noHBand="0" w:noVBand="1"/>
      </w:tblPr>
      <w:tblGrid>
        <w:gridCol w:w="1508"/>
        <w:gridCol w:w="2955"/>
        <w:gridCol w:w="4457"/>
        <w:gridCol w:w="5868"/>
      </w:tblGrid>
      <w:tr w:rsidR="009C2BF6" w:rsidRPr="00630370" w14:paraId="00A7E1A1" w14:textId="77777777" w:rsidTr="00630370">
        <w:tc>
          <w:tcPr>
            <w:tcW w:w="510" w:type="pct"/>
          </w:tcPr>
          <w:p w14:paraId="45E60ECE" w14:textId="77777777" w:rsidR="009C2BF6" w:rsidRPr="00630370" w:rsidRDefault="009C2BF6" w:rsidP="00630370">
            <w:pPr>
              <w:spacing w:line="360" w:lineRule="auto"/>
              <w:rPr>
                <w:b/>
                <w:sz w:val="20"/>
                <w:szCs w:val="20"/>
              </w:rPr>
            </w:pPr>
            <w:r w:rsidRPr="00630370">
              <w:rPr>
                <w:b/>
                <w:sz w:val="20"/>
                <w:szCs w:val="20"/>
              </w:rPr>
              <w:t>Study</w:t>
            </w:r>
          </w:p>
        </w:tc>
        <w:tc>
          <w:tcPr>
            <w:tcW w:w="999" w:type="pct"/>
          </w:tcPr>
          <w:p w14:paraId="25D2CA7B" w14:textId="77777777" w:rsidR="009C2BF6" w:rsidRPr="00630370" w:rsidRDefault="009C2BF6" w:rsidP="00630370">
            <w:pPr>
              <w:spacing w:line="360" w:lineRule="auto"/>
              <w:rPr>
                <w:b/>
                <w:sz w:val="20"/>
                <w:szCs w:val="20"/>
              </w:rPr>
            </w:pPr>
            <w:r w:rsidRPr="00630370">
              <w:rPr>
                <w:b/>
                <w:sz w:val="20"/>
                <w:szCs w:val="20"/>
              </w:rPr>
              <w:t>Performed interviews</w:t>
            </w:r>
          </w:p>
        </w:tc>
        <w:tc>
          <w:tcPr>
            <w:tcW w:w="1507" w:type="pct"/>
          </w:tcPr>
          <w:p w14:paraId="22AE9BC4" w14:textId="77777777" w:rsidR="009C2BF6" w:rsidRPr="00630370" w:rsidRDefault="009C2BF6" w:rsidP="00630370">
            <w:pPr>
              <w:spacing w:line="360" w:lineRule="auto"/>
              <w:rPr>
                <w:b/>
                <w:sz w:val="20"/>
                <w:szCs w:val="20"/>
              </w:rPr>
            </w:pPr>
            <w:r w:rsidRPr="00630370">
              <w:rPr>
                <w:b/>
                <w:sz w:val="20"/>
                <w:szCs w:val="20"/>
              </w:rPr>
              <w:t>Analysis prior to calibration</w:t>
            </w:r>
          </w:p>
        </w:tc>
        <w:tc>
          <w:tcPr>
            <w:tcW w:w="1984" w:type="pct"/>
          </w:tcPr>
          <w:p w14:paraId="1F9A61D5" w14:textId="77777777" w:rsidR="009C2BF6" w:rsidRPr="00630370" w:rsidRDefault="009C2BF6" w:rsidP="00630370">
            <w:pPr>
              <w:spacing w:line="360" w:lineRule="auto"/>
              <w:rPr>
                <w:b/>
                <w:sz w:val="20"/>
                <w:szCs w:val="20"/>
              </w:rPr>
            </w:pPr>
            <w:r w:rsidRPr="00630370">
              <w:rPr>
                <w:b/>
                <w:sz w:val="20"/>
                <w:szCs w:val="20"/>
              </w:rPr>
              <w:t>Calibration</w:t>
            </w:r>
          </w:p>
        </w:tc>
      </w:tr>
      <w:tr w:rsidR="009C2BF6" w:rsidRPr="00630370" w14:paraId="28D5F7A8" w14:textId="77777777" w:rsidTr="00630370">
        <w:tc>
          <w:tcPr>
            <w:tcW w:w="510" w:type="pct"/>
          </w:tcPr>
          <w:p w14:paraId="43878846" w14:textId="77777777" w:rsidR="009C2BF6" w:rsidRPr="00630370" w:rsidRDefault="009C2BF6" w:rsidP="00630370">
            <w:pPr>
              <w:spacing w:line="360" w:lineRule="auto"/>
              <w:rPr>
                <w:b/>
                <w:sz w:val="20"/>
                <w:szCs w:val="20"/>
              </w:rPr>
            </w:pPr>
            <w:proofErr w:type="spellStart"/>
            <w:r w:rsidRPr="00630370">
              <w:rPr>
                <w:b/>
                <w:sz w:val="20"/>
                <w:szCs w:val="20"/>
              </w:rPr>
              <w:t>Basurto</w:t>
            </w:r>
            <w:proofErr w:type="spellEnd"/>
            <w:r w:rsidRPr="00630370">
              <w:rPr>
                <w:b/>
                <w:sz w:val="20"/>
                <w:szCs w:val="20"/>
              </w:rPr>
              <w:t xml:space="preserve"> and Speer 2012</w:t>
            </w:r>
          </w:p>
        </w:tc>
        <w:tc>
          <w:tcPr>
            <w:tcW w:w="999" w:type="pct"/>
          </w:tcPr>
          <w:p w14:paraId="4183B468" w14:textId="77777777" w:rsidR="009C2BF6" w:rsidRPr="00630370" w:rsidRDefault="009C2BF6" w:rsidP="00630370">
            <w:pPr>
              <w:widowControl w:val="0"/>
              <w:autoSpaceDE w:val="0"/>
              <w:autoSpaceDN w:val="0"/>
              <w:adjustRightInd w:val="0"/>
              <w:spacing w:line="360" w:lineRule="auto"/>
              <w:rPr>
                <w:rFonts w:cs="Times Roman"/>
                <w:color w:val="000000"/>
                <w:sz w:val="20"/>
                <w:szCs w:val="20"/>
              </w:rPr>
            </w:pPr>
            <w:r w:rsidRPr="00630370">
              <w:rPr>
                <w:rFonts w:cs="Times Roman"/>
                <w:color w:val="000000"/>
                <w:sz w:val="20"/>
                <w:szCs w:val="20"/>
              </w:rPr>
              <w:t>88 semi-structured interviews to stakeholders and 11 to experts.</w:t>
            </w:r>
          </w:p>
          <w:p w14:paraId="74ACC9F4" w14:textId="77777777" w:rsidR="009C2BF6" w:rsidRPr="00630370" w:rsidRDefault="009C2BF6" w:rsidP="00630370">
            <w:pPr>
              <w:widowControl w:val="0"/>
              <w:autoSpaceDE w:val="0"/>
              <w:autoSpaceDN w:val="0"/>
              <w:adjustRightInd w:val="0"/>
              <w:spacing w:line="360" w:lineRule="auto"/>
              <w:rPr>
                <w:rFonts w:cs="Times Roman"/>
                <w:color w:val="000000"/>
                <w:sz w:val="20"/>
                <w:szCs w:val="20"/>
              </w:rPr>
            </w:pPr>
            <w:r w:rsidRPr="00630370">
              <w:rPr>
                <w:rFonts w:cs="Times Roman"/>
                <w:color w:val="000000"/>
                <w:sz w:val="20"/>
                <w:szCs w:val="20"/>
              </w:rPr>
              <w:t xml:space="preserve">The interview begins with an open question, and later a series of (structured?) sub-questions and, if needed, specifying questions are carried out for each condition and the outcome. </w:t>
            </w:r>
          </w:p>
        </w:tc>
        <w:tc>
          <w:tcPr>
            <w:tcW w:w="1507" w:type="pct"/>
          </w:tcPr>
          <w:p w14:paraId="23CC7D1E" w14:textId="77777777" w:rsidR="009C2BF6" w:rsidRPr="00630370" w:rsidRDefault="009C2BF6" w:rsidP="00630370">
            <w:pPr>
              <w:spacing w:line="360" w:lineRule="auto"/>
              <w:rPr>
                <w:sz w:val="20"/>
                <w:szCs w:val="20"/>
              </w:rPr>
            </w:pPr>
            <w:r w:rsidRPr="00630370">
              <w:rPr>
                <w:sz w:val="20"/>
                <w:szCs w:val="20"/>
              </w:rPr>
              <w:t>Step 1: preliminary list of theoretical dimensions for conditions and outcome</w:t>
            </w:r>
          </w:p>
          <w:p w14:paraId="76E8BBE4" w14:textId="77777777" w:rsidR="009C2BF6" w:rsidRPr="00630370" w:rsidRDefault="009C2BF6" w:rsidP="00630370">
            <w:pPr>
              <w:spacing w:line="360" w:lineRule="auto"/>
              <w:rPr>
                <w:rFonts w:cs="Times Roman"/>
                <w:color w:val="000000"/>
                <w:sz w:val="20"/>
                <w:szCs w:val="20"/>
              </w:rPr>
            </w:pPr>
            <w:r w:rsidRPr="00630370">
              <w:rPr>
                <w:sz w:val="20"/>
                <w:szCs w:val="20"/>
              </w:rPr>
              <w:t xml:space="preserve">Step 2: list of anchor points developed </w:t>
            </w:r>
            <w:r w:rsidRPr="00630370">
              <w:rPr>
                <w:i/>
                <w:sz w:val="20"/>
                <w:szCs w:val="20"/>
              </w:rPr>
              <w:t>prior</w:t>
            </w:r>
            <w:r w:rsidRPr="00630370">
              <w:rPr>
                <w:sz w:val="20"/>
                <w:szCs w:val="20"/>
              </w:rPr>
              <w:t xml:space="preserve"> to the interviews; the list is modifiable, but this list ensure validity and reliability of results as interviewees' replies are 'fitted into' the previously developed fuzzy-set scale. The interview guideline is purposely developed to obtain responses to match fuzzy sets, and the researcher judges </w:t>
            </w:r>
            <w:r w:rsidRPr="00630370">
              <w:rPr>
                <w:i/>
                <w:sz w:val="20"/>
                <w:szCs w:val="20"/>
              </w:rPr>
              <w:t>during</w:t>
            </w:r>
            <w:r w:rsidRPr="00630370">
              <w:rPr>
                <w:sz w:val="20"/>
                <w:szCs w:val="20"/>
              </w:rPr>
              <w:t xml:space="preserve"> the interview </w:t>
            </w:r>
            <w:r w:rsidRPr="00630370">
              <w:rPr>
                <w:rFonts w:cs="Times Roman"/>
                <w:color w:val="000000"/>
                <w:sz w:val="20"/>
                <w:szCs w:val="20"/>
              </w:rPr>
              <w:t xml:space="preserve">'whether an interviewee’s answer is detailed enough for measuring the fuzzy-set values of the cases and for elaborating the specifying questions in the interview guideline' (p. 161). </w:t>
            </w:r>
          </w:p>
          <w:p w14:paraId="597D0B6B" w14:textId="77777777" w:rsidR="009C2BF6" w:rsidRPr="00630370" w:rsidRDefault="009C2BF6" w:rsidP="00630370">
            <w:pPr>
              <w:spacing w:line="360" w:lineRule="auto"/>
              <w:rPr>
                <w:sz w:val="20"/>
                <w:szCs w:val="20"/>
              </w:rPr>
            </w:pPr>
            <w:r w:rsidRPr="00630370">
              <w:rPr>
                <w:sz w:val="20"/>
                <w:szCs w:val="20"/>
              </w:rPr>
              <w:t>Step 3: interview coding and content analysis of the interview transcripts.</w:t>
            </w:r>
          </w:p>
          <w:p w14:paraId="099B3C7B" w14:textId="186C61CC" w:rsidR="009C2BF6" w:rsidRPr="00630370" w:rsidRDefault="009C2BF6" w:rsidP="00630370">
            <w:pPr>
              <w:spacing w:line="360" w:lineRule="auto"/>
              <w:rPr>
                <w:sz w:val="20"/>
                <w:szCs w:val="20"/>
              </w:rPr>
            </w:pPr>
            <w:r w:rsidRPr="00630370">
              <w:rPr>
                <w:sz w:val="20"/>
                <w:szCs w:val="20"/>
              </w:rPr>
              <w:t xml:space="preserve">Step 4: analysis of all the quotes for each defined </w:t>
            </w:r>
            <w:proofErr w:type="gramStart"/>
            <w:r w:rsidRPr="00630370">
              <w:rPr>
                <w:sz w:val="20"/>
                <w:szCs w:val="20"/>
              </w:rPr>
              <w:t>code, and</w:t>
            </w:r>
            <w:proofErr w:type="gramEnd"/>
            <w:r w:rsidRPr="00630370">
              <w:rPr>
                <w:sz w:val="20"/>
                <w:szCs w:val="20"/>
              </w:rPr>
              <w:t xml:space="preserve"> writing of a summary or of a meaningful statement</w:t>
            </w:r>
            <w:r w:rsidR="00630370">
              <w:rPr>
                <w:sz w:val="20"/>
                <w:szCs w:val="20"/>
              </w:rPr>
              <w:t xml:space="preserve">. </w:t>
            </w:r>
          </w:p>
        </w:tc>
        <w:tc>
          <w:tcPr>
            <w:tcW w:w="1984" w:type="pct"/>
          </w:tcPr>
          <w:p w14:paraId="236BE638" w14:textId="77777777" w:rsidR="009C2BF6" w:rsidRPr="00630370" w:rsidRDefault="009C2BF6" w:rsidP="00630370">
            <w:pPr>
              <w:spacing w:line="360" w:lineRule="auto"/>
              <w:rPr>
                <w:sz w:val="20"/>
                <w:szCs w:val="20"/>
              </w:rPr>
            </w:pPr>
            <w:r w:rsidRPr="00630370">
              <w:rPr>
                <w:sz w:val="20"/>
                <w:szCs w:val="20"/>
              </w:rPr>
              <w:t xml:space="preserve">Step 5: selection of four or six fuzzy-set scale to represent membership, and comparison across 'context-based cases' (p. 165) to define fuzzy-set membership scores. The definition of an ideal and deviant case - both of them non-observable - provides a compass on how to carry our case </w:t>
            </w:r>
            <w:proofErr w:type="gramStart"/>
            <w:r w:rsidRPr="00630370">
              <w:rPr>
                <w:sz w:val="20"/>
                <w:szCs w:val="20"/>
              </w:rPr>
              <w:t>comparison, and</w:t>
            </w:r>
            <w:proofErr w:type="gramEnd"/>
            <w:r w:rsidRPr="00630370">
              <w:rPr>
                <w:sz w:val="20"/>
                <w:szCs w:val="20"/>
              </w:rPr>
              <w:t xml:space="preserve"> maintains a conceptual link with the theories employed.</w:t>
            </w:r>
          </w:p>
          <w:p w14:paraId="7D6BBA46" w14:textId="77777777" w:rsidR="009C2BF6" w:rsidRPr="00630370" w:rsidRDefault="009C2BF6" w:rsidP="00630370">
            <w:pPr>
              <w:spacing w:line="360" w:lineRule="auto"/>
              <w:rPr>
                <w:sz w:val="20"/>
                <w:szCs w:val="20"/>
              </w:rPr>
            </w:pPr>
            <w:r w:rsidRPr="00630370">
              <w:rPr>
                <w:sz w:val="20"/>
                <w:szCs w:val="20"/>
              </w:rPr>
              <w:t xml:space="preserve">Step 6: iteratively assign and revise fuzzy-set membership scores. </w:t>
            </w:r>
          </w:p>
        </w:tc>
      </w:tr>
      <w:tr w:rsidR="009C2BF6" w:rsidRPr="00630370" w14:paraId="3D65B75A" w14:textId="77777777" w:rsidTr="00630370">
        <w:tc>
          <w:tcPr>
            <w:tcW w:w="510" w:type="pct"/>
          </w:tcPr>
          <w:p w14:paraId="338AB4FC" w14:textId="77777777" w:rsidR="009C2BF6" w:rsidRPr="00630370" w:rsidRDefault="009C2BF6" w:rsidP="00630370">
            <w:pPr>
              <w:spacing w:line="360" w:lineRule="auto"/>
              <w:rPr>
                <w:b/>
                <w:sz w:val="20"/>
                <w:szCs w:val="20"/>
              </w:rPr>
            </w:pPr>
            <w:proofErr w:type="spellStart"/>
            <w:r w:rsidRPr="00630370">
              <w:rPr>
                <w:b/>
                <w:sz w:val="20"/>
                <w:szCs w:val="20"/>
              </w:rPr>
              <w:t>Tóth</w:t>
            </w:r>
            <w:proofErr w:type="spellEnd"/>
            <w:r w:rsidRPr="00630370">
              <w:rPr>
                <w:b/>
                <w:sz w:val="20"/>
                <w:szCs w:val="20"/>
              </w:rPr>
              <w:t xml:space="preserve">, </w:t>
            </w:r>
            <w:proofErr w:type="spellStart"/>
            <w:r w:rsidRPr="00630370">
              <w:rPr>
                <w:b/>
                <w:sz w:val="20"/>
                <w:szCs w:val="20"/>
              </w:rPr>
              <w:t>Henneberg</w:t>
            </w:r>
            <w:proofErr w:type="spellEnd"/>
            <w:r w:rsidRPr="00630370">
              <w:rPr>
                <w:b/>
                <w:sz w:val="20"/>
                <w:szCs w:val="20"/>
              </w:rPr>
              <w:t xml:space="preserve"> </w:t>
            </w:r>
            <w:r w:rsidRPr="00630370">
              <w:rPr>
                <w:b/>
                <w:sz w:val="20"/>
                <w:szCs w:val="20"/>
              </w:rPr>
              <w:lastRenderedPageBreak/>
              <w:t xml:space="preserve">and </w:t>
            </w:r>
            <w:proofErr w:type="spellStart"/>
            <w:r w:rsidRPr="00630370">
              <w:rPr>
                <w:b/>
                <w:sz w:val="20"/>
                <w:szCs w:val="20"/>
              </w:rPr>
              <w:t>Naudé</w:t>
            </w:r>
            <w:proofErr w:type="spellEnd"/>
            <w:r w:rsidRPr="00630370">
              <w:rPr>
                <w:b/>
                <w:sz w:val="20"/>
                <w:szCs w:val="20"/>
              </w:rPr>
              <w:t xml:space="preserve"> 2017</w:t>
            </w:r>
          </w:p>
        </w:tc>
        <w:tc>
          <w:tcPr>
            <w:tcW w:w="999" w:type="pct"/>
          </w:tcPr>
          <w:p w14:paraId="6B4DEFED" w14:textId="77777777" w:rsidR="009C2BF6" w:rsidRPr="00630370" w:rsidRDefault="009C2BF6" w:rsidP="00630370">
            <w:pPr>
              <w:spacing w:line="360" w:lineRule="auto"/>
              <w:rPr>
                <w:sz w:val="20"/>
                <w:szCs w:val="20"/>
              </w:rPr>
            </w:pPr>
            <w:r w:rsidRPr="00630370">
              <w:rPr>
                <w:sz w:val="20"/>
                <w:szCs w:val="20"/>
              </w:rPr>
              <w:lastRenderedPageBreak/>
              <w:t>28 in-depth interviews</w:t>
            </w:r>
          </w:p>
          <w:p w14:paraId="27FA42C5" w14:textId="77777777" w:rsidR="009C2BF6" w:rsidRPr="00630370" w:rsidRDefault="009C2BF6" w:rsidP="00630370">
            <w:pPr>
              <w:spacing w:line="360" w:lineRule="auto"/>
              <w:rPr>
                <w:sz w:val="20"/>
                <w:szCs w:val="20"/>
              </w:rPr>
            </w:pPr>
            <w:r w:rsidRPr="00630370">
              <w:rPr>
                <w:sz w:val="20"/>
                <w:szCs w:val="20"/>
              </w:rPr>
              <w:t xml:space="preserve">Purposely theoretical sampling </w:t>
            </w:r>
            <w:r w:rsidRPr="00630370">
              <w:rPr>
                <w:sz w:val="20"/>
                <w:szCs w:val="20"/>
              </w:rPr>
              <w:lastRenderedPageBreak/>
              <w:t>(no snowball technique used)</w:t>
            </w:r>
          </w:p>
        </w:tc>
        <w:tc>
          <w:tcPr>
            <w:tcW w:w="1507" w:type="pct"/>
          </w:tcPr>
          <w:p w14:paraId="46E05A28" w14:textId="77777777" w:rsidR="009C2BF6" w:rsidRPr="00630370" w:rsidRDefault="009C2BF6" w:rsidP="00630370">
            <w:pPr>
              <w:spacing w:line="360" w:lineRule="auto"/>
              <w:rPr>
                <w:sz w:val="20"/>
                <w:szCs w:val="20"/>
              </w:rPr>
            </w:pPr>
            <w:r w:rsidRPr="00630370">
              <w:rPr>
                <w:sz w:val="20"/>
                <w:szCs w:val="20"/>
              </w:rPr>
              <w:lastRenderedPageBreak/>
              <w:t xml:space="preserve">Coding scheme developed by </w:t>
            </w:r>
            <w:proofErr w:type="spellStart"/>
            <w:r w:rsidRPr="00630370">
              <w:rPr>
                <w:sz w:val="20"/>
                <w:szCs w:val="20"/>
              </w:rPr>
              <w:t>Tóth</w:t>
            </w:r>
            <w:proofErr w:type="spellEnd"/>
            <w:r w:rsidRPr="00630370">
              <w:rPr>
                <w:sz w:val="20"/>
                <w:szCs w:val="20"/>
              </w:rPr>
              <w:t xml:space="preserve">, </w:t>
            </w:r>
            <w:proofErr w:type="spellStart"/>
            <w:r w:rsidRPr="00630370">
              <w:rPr>
                <w:sz w:val="20"/>
                <w:szCs w:val="20"/>
              </w:rPr>
              <w:t>Thiesbrummel</w:t>
            </w:r>
            <w:proofErr w:type="spellEnd"/>
            <w:r w:rsidRPr="00630370">
              <w:rPr>
                <w:sz w:val="20"/>
                <w:szCs w:val="20"/>
              </w:rPr>
              <w:t xml:space="preserve">, </w:t>
            </w:r>
            <w:proofErr w:type="spellStart"/>
            <w:r w:rsidRPr="00630370">
              <w:rPr>
                <w:sz w:val="20"/>
                <w:szCs w:val="20"/>
              </w:rPr>
              <w:t>Henneberg</w:t>
            </w:r>
            <w:proofErr w:type="spellEnd"/>
            <w:r w:rsidRPr="00630370">
              <w:rPr>
                <w:sz w:val="20"/>
                <w:szCs w:val="20"/>
              </w:rPr>
              <w:t xml:space="preserve"> and </w:t>
            </w:r>
            <w:proofErr w:type="spellStart"/>
            <w:r w:rsidRPr="00630370">
              <w:rPr>
                <w:sz w:val="20"/>
                <w:szCs w:val="20"/>
              </w:rPr>
              <w:t>Naudé</w:t>
            </w:r>
            <w:proofErr w:type="spellEnd"/>
            <w:r w:rsidRPr="00630370">
              <w:rPr>
                <w:sz w:val="20"/>
                <w:szCs w:val="20"/>
              </w:rPr>
              <w:t xml:space="preserve"> (2015) </w:t>
            </w:r>
            <w:r w:rsidRPr="00630370">
              <w:rPr>
                <w:sz w:val="20"/>
                <w:szCs w:val="20"/>
              </w:rPr>
              <w:lastRenderedPageBreak/>
              <w:t xml:space="preserve">provided a template to </w:t>
            </w:r>
            <w:proofErr w:type="spellStart"/>
            <w:r w:rsidRPr="00630370">
              <w:rPr>
                <w:sz w:val="20"/>
                <w:szCs w:val="20"/>
              </w:rPr>
              <w:t>analyze</w:t>
            </w:r>
            <w:proofErr w:type="spellEnd"/>
            <w:r w:rsidRPr="00630370">
              <w:rPr>
                <w:sz w:val="20"/>
                <w:szCs w:val="20"/>
              </w:rPr>
              <w:t xml:space="preserve"> the interview transcripts and identify conditions for subsequent QCA: 'Open coding with line-by-line analysis might provide a more detailed view on the data, but re- searchers interested in a combination of case- and condition-oriented approaches, probably find template coding useful in practice, and aligned with the aims of a </w:t>
            </w:r>
            <w:proofErr w:type="spellStart"/>
            <w:r w:rsidRPr="00630370">
              <w:rPr>
                <w:sz w:val="20"/>
                <w:szCs w:val="20"/>
              </w:rPr>
              <w:t>fsQCA</w:t>
            </w:r>
            <w:proofErr w:type="spellEnd"/>
            <w:r w:rsidRPr="00630370">
              <w:rPr>
                <w:sz w:val="20"/>
                <w:szCs w:val="20"/>
              </w:rPr>
              <w:t xml:space="preserve"> study. (...) We believe that researchers should be cognizant of the advantages of using a template for the coding (and the risks of not having one), but at the same time be prepared to make amendments to it, based on their in-depth understanding of the qualitative data.' (p. 195)</w:t>
            </w:r>
          </w:p>
        </w:tc>
        <w:tc>
          <w:tcPr>
            <w:tcW w:w="1984" w:type="pct"/>
          </w:tcPr>
          <w:p w14:paraId="27EF7B29" w14:textId="77777777" w:rsidR="009C2BF6" w:rsidRPr="00630370" w:rsidRDefault="009C2BF6" w:rsidP="00630370">
            <w:pPr>
              <w:spacing w:line="360" w:lineRule="auto"/>
              <w:rPr>
                <w:sz w:val="20"/>
                <w:szCs w:val="20"/>
              </w:rPr>
            </w:pPr>
            <w:r w:rsidRPr="00630370">
              <w:rPr>
                <w:sz w:val="20"/>
                <w:szCs w:val="20"/>
              </w:rPr>
              <w:lastRenderedPageBreak/>
              <w:t xml:space="preserve">Identification of the best fuzzy-set membership scales in terms of the qualitative knowledge of the cases. </w:t>
            </w:r>
          </w:p>
          <w:p w14:paraId="2954AA70" w14:textId="77777777" w:rsidR="009C2BF6" w:rsidRPr="00630370" w:rsidRDefault="009C2BF6" w:rsidP="00630370">
            <w:pPr>
              <w:spacing w:line="360" w:lineRule="auto"/>
              <w:rPr>
                <w:sz w:val="20"/>
                <w:szCs w:val="20"/>
              </w:rPr>
            </w:pPr>
            <w:r w:rsidRPr="00630370">
              <w:rPr>
                <w:sz w:val="20"/>
                <w:szCs w:val="20"/>
              </w:rPr>
              <w:lastRenderedPageBreak/>
              <w:t xml:space="preserve">The General Membership Evaluation Template (GMET) is a grid that allows the inclusion of qualitative information from the interviews, interviews' quotes, information on how the data have been interpreted by the researchers (i.e. positive/negative direction/effect on membership, intensity/relative importance), and a minimal explanation of why a certain case has been assigned to a certain set membership score for each condition and the outcome (i.e. qualitative assessment by the researcher). In this way, when there are no anchor points available, the GMET allows systematize qualitative information to inductively define, but in a theory-driven way, the differences in degree and in kind across the cases. The GMET has been developed to be more attuned with qualitative information from semi-structured interviews than </w:t>
            </w:r>
            <w:proofErr w:type="spellStart"/>
            <w:r w:rsidRPr="00630370">
              <w:rPr>
                <w:sz w:val="20"/>
                <w:szCs w:val="20"/>
              </w:rPr>
              <w:t>Basurto</w:t>
            </w:r>
            <w:proofErr w:type="spellEnd"/>
            <w:r w:rsidRPr="00630370">
              <w:rPr>
                <w:sz w:val="20"/>
                <w:szCs w:val="20"/>
              </w:rPr>
              <w:t xml:space="preserve"> and Speer's (2012) six-step procedure. </w:t>
            </w:r>
          </w:p>
          <w:p w14:paraId="24BE8E4C" w14:textId="73F3DD41" w:rsidR="009C2BF6" w:rsidRPr="00630370" w:rsidRDefault="009C2BF6" w:rsidP="00630370">
            <w:pPr>
              <w:spacing w:line="360" w:lineRule="auto"/>
              <w:rPr>
                <w:sz w:val="20"/>
                <w:szCs w:val="20"/>
              </w:rPr>
            </w:pPr>
            <w:r w:rsidRPr="00630370">
              <w:rPr>
                <w:sz w:val="20"/>
                <w:szCs w:val="20"/>
              </w:rPr>
              <w:t>'The GMET is tailored primarily for the analysis of qualitative data in cases where quantitative anchors are not available. It can be combined seamlessly with thematic coding and the template analysis for the codes, especially if the sample is small or medium-sized. The GMET should be applied to each case (in this research example for each inter- view) and to each condition and outcome using the following procedure. This procedure aims at offering some ‘qualitative anchors’ for the calibration.' (p. 196)</w:t>
            </w:r>
          </w:p>
        </w:tc>
      </w:tr>
      <w:tr w:rsidR="009C2BF6" w:rsidRPr="00630370" w14:paraId="71175664" w14:textId="77777777" w:rsidTr="00630370">
        <w:tc>
          <w:tcPr>
            <w:tcW w:w="510" w:type="pct"/>
          </w:tcPr>
          <w:p w14:paraId="0237C4F3" w14:textId="77777777" w:rsidR="009C2BF6" w:rsidRPr="00630370" w:rsidRDefault="009C2BF6" w:rsidP="00630370">
            <w:pPr>
              <w:spacing w:line="360" w:lineRule="auto"/>
              <w:rPr>
                <w:b/>
                <w:sz w:val="20"/>
                <w:szCs w:val="20"/>
              </w:rPr>
            </w:pPr>
            <w:proofErr w:type="spellStart"/>
            <w:r w:rsidRPr="00630370">
              <w:rPr>
                <w:b/>
                <w:sz w:val="20"/>
                <w:szCs w:val="20"/>
              </w:rPr>
              <w:lastRenderedPageBreak/>
              <w:t>Legewie</w:t>
            </w:r>
            <w:proofErr w:type="spellEnd"/>
            <w:r w:rsidRPr="00630370">
              <w:rPr>
                <w:b/>
                <w:sz w:val="20"/>
                <w:szCs w:val="20"/>
              </w:rPr>
              <w:t xml:space="preserve"> 2017 </w:t>
            </w:r>
          </w:p>
        </w:tc>
        <w:tc>
          <w:tcPr>
            <w:tcW w:w="999" w:type="pct"/>
          </w:tcPr>
          <w:p w14:paraId="308B5C2B" w14:textId="77777777" w:rsidR="009C2BF6" w:rsidRPr="00630370" w:rsidRDefault="009C2BF6" w:rsidP="00630370">
            <w:pPr>
              <w:spacing w:line="360" w:lineRule="auto"/>
              <w:rPr>
                <w:sz w:val="20"/>
                <w:szCs w:val="20"/>
              </w:rPr>
            </w:pPr>
            <w:r w:rsidRPr="00630370">
              <w:rPr>
                <w:sz w:val="20"/>
                <w:szCs w:val="20"/>
              </w:rPr>
              <w:t xml:space="preserve">Narrative interviews providing stories (earlier research work by the Author). </w:t>
            </w:r>
          </w:p>
        </w:tc>
        <w:tc>
          <w:tcPr>
            <w:tcW w:w="1507" w:type="pct"/>
          </w:tcPr>
          <w:p w14:paraId="6D5BB8CF" w14:textId="77777777" w:rsidR="009C2BF6" w:rsidRPr="00630370" w:rsidRDefault="009C2BF6" w:rsidP="00630370">
            <w:pPr>
              <w:spacing w:line="360" w:lineRule="auto"/>
              <w:rPr>
                <w:sz w:val="20"/>
                <w:szCs w:val="20"/>
              </w:rPr>
            </w:pPr>
            <w:r w:rsidRPr="00630370">
              <w:rPr>
                <w:sz w:val="20"/>
                <w:szCs w:val="20"/>
              </w:rPr>
              <w:t xml:space="preserve">Content analysis and coding of interview transcripts. </w:t>
            </w:r>
          </w:p>
        </w:tc>
        <w:tc>
          <w:tcPr>
            <w:tcW w:w="1984" w:type="pct"/>
          </w:tcPr>
          <w:p w14:paraId="72CDD036" w14:textId="77777777" w:rsidR="009C2BF6" w:rsidRPr="00630370" w:rsidRDefault="009C2BF6" w:rsidP="00630370">
            <w:pPr>
              <w:spacing w:line="360" w:lineRule="auto"/>
              <w:jc w:val="both"/>
              <w:rPr>
                <w:sz w:val="20"/>
                <w:szCs w:val="20"/>
              </w:rPr>
            </w:pPr>
            <w:r w:rsidRPr="00630370">
              <w:rPr>
                <w:sz w:val="20"/>
                <w:szCs w:val="20"/>
              </w:rPr>
              <w:t xml:space="preserve">Anchored calibration (AC) is proposed to conceptualize fuzzy-set scales and assign set membership scores from qualitative data from narrative interviews or 'stories'. Anchored calibration has been developed to be attuned with qualitative information from narrative interviews than </w:t>
            </w:r>
            <w:proofErr w:type="spellStart"/>
            <w:r w:rsidRPr="00630370">
              <w:rPr>
                <w:sz w:val="20"/>
                <w:szCs w:val="20"/>
              </w:rPr>
              <w:t>Basurto</w:t>
            </w:r>
            <w:proofErr w:type="spellEnd"/>
            <w:r w:rsidRPr="00630370">
              <w:rPr>
                <w:sz w:val="20"/>
                <w:szCs w:val="20"/>
              </w:rPr>
              <w:t xml:space="preserve"> and Speer's (2012) six-step </w:t>
            </w:r>
            <w:r w:rsidRPr="00630370">
              <w:rPr>
                <w:sz w:val="20"/>
                <w:szCs w:val="20"/>
              </w:rPr>
              <w:lastRenderedPageBreak/>
              <w:t xml:space="preserve">procedure. </w:t>
            </w:r>
          </w:p>
          <w:p w14:paraId="5CB9A0ED" w14:textId="77777777" w:rsidR="009C2BF6" w:rsidRPr="00630370" w:rsidRDefault="009C2BF6" w:rsidP="00630370">
            <w:pPr>
              <w:spacing w:line="360" w:lineRule="auto"/>
              <w:jc w:val="both"/>
              <w:rPr>
                <w:sz w:val="20"/>
                <w:szCs w:val="20"/>
              </w:rPr>
            </w:pPr>
            <w:r w:rsidRPr="00630370">
              <w:rPr>
                <w:sz w:val="20"/>
                <w:szCs w:val="20"/>
              </w:rPr>
              <w:t xml:space="preserve">Step 1: Constructing a calibration framework. This step involves a clear conceptualization of conditions and outcome based on concept trees and multi-level concepts as proposed by Goertz (2006). Step 1 involves: 1.1 the formulation of concept trees along a conceptual continuum; 1.2 the determination of meaningful variation; 1.3 the definition of 'core/border' characteristics per each condition and outcome. Each concept forming dimensions and sub-dimensions of the conditions and the outcome is graded conceptually (e.g. low/high) </w:t>
            </w:r>
            <w:proofErr w:type="gramStart"/>
            <w:r w:rsidRPr="00630370">
              <w:rPr>
                <w:sz w:val="20"/>
                <w:szCs w:val="20"/>
              </w:rPr>
              <w:t>and also</w:t>
            </w:r>
            <w:proofErr w:type="gramEnd"/>
            <w:r w:rsidRPr="00630370">
              <w:rPr>
                <w:sz w:val="20"/>
                <w:szCs w:val="20"/>
              </w:rPr>
              <w:t xml:space="preserve"> numerically (e.g. 0, 0.25, 0.75, 1). The purpose is to identify reference points in a conceptual continuum to then calibrate data in Step 2.</w:t>
            </w:r>
          </w:p>
          <w:p w14:paraId="585F80EF" w14:textId="77777777" w:rsidR="009C2BF6" w:rsidRPr="00630370" w:rsidRDefault="009C2BF6" w:rsidP="00630370">
            <w:pPr>
              <w:spacing w:line="360" w:lineRule="auto"/>
              <w:jc w:val="both"/>
              <w:rPr>
                <w:sz w:val="20"/>
                <w:szCs w:val="20"/>
              </w:rPr>
            </w:pPr>
            <w:r w:rsidRPr="00630370">
              <w:rPr>
                <w:sz w:val="20"/>
                <w:szCs w:val="20"/>
              </w:rPr>
              <w:t>Step 2: Applying the calibration framework to the data. Step 2 involves: 2.1 'data pieces' (e.g. coded segments and quotes) are assigned (also through software by creating a 'calibration' code family) to each reference point identified in Step 1; 2.2 identify 'data anchors', i.e. the best 'data pieces' that represent core/border characteristics, and display these in a table; 2.3 revising ambiguous data pieces.</w:t>
            </w:r>
          </w:p>
          <w:p w14:paraId="62E22CAF" w14:textId="77777777" w:rsidR="009C2BF6" w:rsidRPr="00630370" w:rsidRDefault="009C2BF6" w:rsidP="00630370">
            <w:pPr>
              <w:spacing w:line="360" w:lineRule="auto"/>
              <w:jc w:val="both"/>
              <w:rPr>
                <w:sz w:val="20"/>
                <w:szCs w:val="20"/>
              </w:rPr>
            </w:pPr>
            <w:r w:rsidRPr="00630370">
              <w:rPr>
                <w:sz w:val="20"/>
                <w:szCs w:val="20"/>
              </w:rPr>
              <w:t xml:space="preserve">Step 3: Assigning fuzzy-set membership scores to each case for conditions and outcome. Step 3 involves: 3.1 Based on the evidence and its assignment to core/border characteristics, set membership scores are assigned to cases. The calibration framework can also be revised. 3.2 Scoring decisions - especially to ambiguous cases - should be documented. 3.3 Rules of aggregation can be defined to combine indicator-level dimensions into higher-level attributes (AND/OR, see Goertz 2006). </w:t>
            </w:r>
          </w:p>
          <w:p w14:paraId="19D929F1" w14:textId="77777777" w:rsidR="009C2BF6" w:rsidRPr="00630370" w:rsidRDefault="009C2BF6" w:rsidP="00630370">
            <w:pPr>
              <w:spacing w:line="360" w:lineRule="auto"/>
              <w:jc w:val="both"/>
              <w:rPr>
                <w:sz w:val="20"/>
                <w:szCs w:val="20"/>
              </w:rPr>
            </w:pPr>
            <w:r w:rsidRPr="00630370">
              <w:rPr>
                <w:sz w:val="20"/>
                <w:szCs w:val="20"/>
              </w:rPr>
              <w:lastRenderedPageBreak/>
              <w:t>In synthesis, Anchored Calibration (AC) 'focuses specifically on conceptualization and the capture of semantic qualitative concepts. (...) Anchored calibration can be incorporated into the iterative process of qualitative research as an addition, after traditional data coding and before running QCA.' (online).</w:t>
            </w:r>
          </w:p>
          <w:p w14:paraId="3B2AB966" w14:textId="77777777" w:rsidR="009C2BF6" w:rsidRPr="00630370" w:rsidRDefault="009C2BF6" w:rsidP="00630370">
            <w:pPr>
              <w:spacing w:line="360" w:lineRule="auto"/>
              <w:jc w:val="both"/>
              <w:rPr>
                <w:sz w:val="20"/>
                <w:szCs w:val="20"/>
              </w:rPr>
            </w:pPr>
            <w:r w:rsidRPr="00630370">
              <w:rPr>
                <w:sz w:val="20"/>
                <w:szCs w:val="20"/>
              </w:rPr>
              <w:t>'As good practice, authors should provide 1. concept trees, including rules of aggregation, 2. tables showing each indicator- level dimensions' membership scores, characteristics, and data anchors, as well as (3) a list of ambiguous coding decisions and tiebreaker rules. This material can be published as an online appendix or offered to interested readers upon request.' (online)</w:t>
            </w:r>
          </w:p>
        </w:tc>
      </w:tr>
      <w:tr w:rsidR="00BB4EE0" w:rsidRPr="00630370" w14:paraId="1F96534F" w14:textId="77777777" w:rsidTr="00630370">
        <w:tc>
          <w:tcPr>
            <w:tcW w:w="510" w:type="pct"/>
          </w:tcPr>
          <w:p w14:paraId="7A7E6EAC" w14:textId="4A1D3377" w:rsidR="00BB4EE0" w:rsidRPr="00630370" w:rsidRDefault="00BB4EE0" w:rsidP="00630370">
            <w:pPr>
              <w:spacing w:line="360" w:lineRule="auto"/>
              <w:rPr>
                <w:b/>
                <w:sz w:val="20"/>
                <w:szCs w:val="20"/>
              </w:rPr>
            </w:pPr>
            <w:r w:rsidRPr="00630370">
              <w:rPr>
                <w:b/>
                <w:sz w:val="20"/>
                <w:szCs w:val="20"/>
              </w:rPr>
              <w:lastRenderedPageBreak/>
              <w:t>Jopke and Gerrits 2019</w:t>
            </w:r>
          </w:p>
        </w:tc>
        <w:tc>
          <w:tcPr>
            <w:tcW w:w="999" w:type="pct"/>
          </w:tcPr>
          <w:p w14:paraId="5F68BC16" w14:textId="274944CA" w:rsidR="00BB4EE0" w:rsidRPr="00630370" w:rsidRDefault="00630370" w:rsidP="00630370">
            <w:pPr>
              <w:spacing w:line="360" w:lineRule="auto"/>
              <w:jc w:val="both"/>
              <w:rPr>
                <w:sz w:val="20"/>
                <w:szCs w:val="20"/>
              </w:rPr>
            </w:pPr>
            <w:r w:rsidRPr="00630370">
              <w:rPr>
                <w:sz w:val="20"/>
                <w:szCs w:val="20"/>
              </w:rPr>
              <w:t xml:space="preserve">No interview has been used in this </w:t>
            </w:r>
            <w:proofErr w:type="gramStart"/>
            <w:r w:rsidRPr="00630370">
              <w:rPr>
                <w:sz w:val="20"/>
                <w:szCs w:val="20"/>
              </w:rPr>
              <w:t>article</w:t>
            </w:r>
            <w:proofErr w:type="gramEnd"/>
            <w:r w:rsidRPr="00630370">
              <w:rPr>
                <w:sz w:val="20"/>
                <w:szCs w:val="20"/>
              </w:rPr>
              <w:t xml:space="preserve"> but the authors have based their study on previous work (e.g. Gerrits &amp; Verweij, 2013, 2018; Verweij, 2015)</w:t>
            </w:r>
          </w:p>
        </w:tc>
        <w:tc>
          <w:tcPr>
            <w:tcW w:w="1507" w:type="pct"/>
          </w:tcPr>
          <w:p w14:paraId="4A204618" w14:textId="77777777" w:rsidR="00BB4EE0" w:rsidRPr="00630370" w:rsidRDefault="00BB4EE0" w:rsidP="00630370">
            <w:pPr>
              <w:spacing w:line="360" w:lineRule="auto"/>
              <w:jc w:val="both"/>
              <w:rPr>
                <w:sz w:val="20"/>
                <w:szCs w:val="20"/>
              </w:rPr>
            </w:pPr>
            <w:r w:rsidRPr="00630370">
              <w:rPr>
                <w:sz w:val="20"/>
                <w:szCs w:val="20"/>
              </w:rPr>
              <w:t xml:space="preserve">The authors combine routines from a Grounded Theory (GT) approach with QCA procedures. </w:t>
            </w:r>
          </w:p>
          <w:p w14:paraId="580EBECC" w14:textId="77777777" w:rsidR="00BB4EE0" w:rsidRPr="00630370" w:rsidRDefault="00BB4EE0" w:rsidP="00630370">
            <w:pPr>
              <w:spacing w:line="360" w:lineRule="auto"/>
              <w:jc w:val="both"/>
              <w:rPr>
                <w:sz w:val="20"/>
                <w:szCs w:val="20"/>
              </w:rPr>
            </w:pPr>
            <w:r w:rsidRPr="00630370">
              <w:rPr>
                <w:sz w:val="20"/>
                <w:szCs w:val="20"/>
              </w:rPr>
              <w:t xml:space="preserve">Step 1: Definition of a research question </w:t>
            </w:r>
          </w:p>
          <w:p w14:paraId="23E6EA49" w14:textId="4ABC4904" w:rsidR="00BB4EE0" w:rsidRPr="00630370" w:rsidRDefault="00BB4EE0" w:rsidP="00630370">
            <w:pPr>
              <w:spacing w:line="360" w:lineRule="auto"/>
              <w:jc w:val="both"/>
              <w:rPr>
                <w:sz w:val="20"/>
                <w:szCs w:val="20"/>
              </w:rPr>
            </w:pPr>
            <w:r w:rsidRPr="00630370">
              <w:rPr>
                <w:sz w:val="20"/>
                <w:szCs w:val="20"/>
              </w:rPr>
              <w:t xml:space="preserve">Step 2: Sampling of cases, and data collection so that interview questions can allow for the exploration of the object of analysis (the ‘problem’) within its context. </w:t>
            </w:r>
          </w:p>
          <w:p w14:paraId="344A04EB" w14:textId="7E15DB30" w:rsidR="00BB4EE0" w:rsidRPr="00630370" w:rsidRDefault="00BB4EE0" w:rsidP="00630370">
            <w:pPr>
              <w:spacing w:line="360" w:lineRule="auto"/>
              <w:jc w:val="both"/>
              <w:rPr>
                <w:sz w:val="20"/>
                <w:szCs w:val="20"/>
              </w:rPr>
            </w:pPr>
            <w:r w:rsidRPr="00630370">
              <w:rPr>
                <w:sz w:val="20"/>
                <w:szCs w:val="20"/>
              </w:rPr>
              <w:t xml:space="preserve">Step 3: Following GT routines, </w:t>
            </w:r>
            <w:r w:rsidR="00630370" w:rsidRPr="00630370">
              <w:rPr>
                <w:sz w:val="20"/>
                <w:szCs w:val="20"/>
              </w:rPr>
              <w:t>researchers perform o</w:t>
            </w:r>
            <w:r w:rsidRPr="00630370">
              <w:rPr>
                <w:sz w:val="20"/>
                <w:szCs w:val="20"/>
              </w:rPr>
              <w:t>pen coding</w:t>
            </w:r>
            <w:r w:rsidR="00630370" w:rsidRPr="00630370">
              <w:rPr>
                <w:sz w:val="20"/>
                <w:szCs w:val="20"/>
              </w:rPr>
              <w:t xml:space="preserve"> of interviews</w:t>
            </w:r>
            <w:r w:rsidRPr="00630370">
              <w:rPr>
                <w:sz w:val="20"/>
                <w:szCs w:val="20"/>
              </w:rPr>
              <w:t xml:space="preserve">, </w:t>
            </w:r>
            <w:r w:rsidR="00630370" w:rsidRPr="00630370">
              <w:rPr>
                <w:sz w:val="20"/>
                <w:szCs w:val="20"/>
              </w:rPr>
              <w:t xml:space="preserve">where they make </w:t>
            </w:r>
            <w:r w:rsidRPr="00630370">
              <w:rPr>
                <w:sz w:val="20"/>
                <w:szCs w:val="20"/>
              </w:rPr>
              <w:t>use of memos</w:t>
            </w:r>
            <w:r w:rsidR="00630370" w:rsidRPr="00630370">
              <w:rPr>
                <w:sz w:val="20"/>
                <w:szCs w:val="20"/>
              </w:rPr>
              <w:t xml:space="preserve"> and</w:t>
            </w:r>
            <w:r w:rsidRPr="00630370">
              <w:rPr>
                <w:sz w:val="20"/>
                <w:szCs w:val="20"/>
              </w:rPr>
              <w:t xml:space="preserve"> </w:t>
            </w:r>
            <w:r w:rsidR="00630370" w:rsidRPr="00630370">
              <w:rPr>
                <w:sz w:val="20"/>
                <w:szCs w:val="20"/>
              </w:rPr>
              <w:t xml:space="preserve">follow a </w:t>
            </w:r>
            <w:r w:rsidRPr="00630370">
              <w:rPr>
                <w:sz w:val="20"/>
                <w:szCs w:val="20"/>
              </w:rPr>
              <w:t>constant comparison</w:t>
            </w:r>
            <w:r w:rsidR="00630370" w:rsidRPr="00630370">
              <w:rPr>
                <w:sz w:val="20"/>
                <w:szCs w:val="20"/>
              </w:rPr>
              <w:t xml:space="preserve"> method (CCM). This process leads to the </w:t>
            </w:r>
            <w:r w:rsidRPr="00630370">
              <w:rPr>
                <w:sz w:val="20"/>
                <w:szCs w:val="20"/>
              </w:rPr>
              <w:t>definition of categories and their subdimensions, as well as the relationship among them (three-level coding)</w:t>
            </w:r>
            <w:r w:rsidR="00630370" w:rsidRPr="00630370">
              <w:rPr>
                <w:sz w:val="20"/>
                <w:szCs w:val="20"/>
              </w:rPr>
              <w:t xml:space="preserve">. </w:t>
            </w:r>
          </w:p>
          <w:p w14:paraId="50047EB8" w14:textId="07B8EA15" w:rsidR="00BB4EE0" w:rsidRPr="00630370" w:rsidRDefault="00630370" w:rsidP="00630370">
            <w:pPr>
              <w:spacing w:line="360" w:lineRule="auto"/>
              <w:jc w:val="both"/>
              <w:rPr>
                <w:sz w:val="20"/>
                <w:szCs w:val="20"/>
              </w:rPr>
            </w:pPr>
            <w:r w:rsidRPr="00630370">
              <w:rPr>
                <w:sz w:val="20"/>
                <w:szCs w:val="20"/>
              </w:rPr>
              <w:t xml:space="preserve">Step 4: Called ‘theoretical coding’ this step connects the GT-based open coding with a more </w:t>
            </w:r>
            <w:r w:rsidRPr="00630370">
              <w:rPr>
                <w:sz w:val="20"/>
                <w:szCs w:val="20"/>
              </w:rPr>
              <w:lastRenderedPageBreak/>
              <w:t xml:space="preserve">QCA-oriented definition of conditions for later performance of QCA. A compass used in this step are GT-based routines of theoretical sampling and saturation. </w:t>
            </w:r>
          </w:p>
        </w:tc>
        <w:tc>
          <w:tcPr>
            <w:tcW w:w="1984" w:type="pct"/>
          </w:tcPr>
          <w:p w14:paraId="577E33CE" w14:textId="6876ADEF" w:rsidR="00BB4EE0" w:rsidRPr="00630370" w:rsidRDefault="00630370" w:rsidP="00630370">
            <w:pPr>
              <w:spacing w:line="360" w:lineRule="auto"/>
              <w:jc w:val="both"/>
              <w:rPr>
                <w:sz w:val="20"/>
                <w:szCs w:val="20"/>
              </w:rPr>
            </w:pPr>
            <w:r w:rsidRPr="00630370">
              <w:rPr>
                <w:sz w:val="20"/>
                <w:szCs w:val="20"/>
              </w:rPr>
              <w:lastRenderedPageBreak/>
              <w:t xml:space="preserve">Step 5: Closely related to step 4, Step 5 refers to the actual calibration of conditions, which are however re-checked with the coded data (i.e. dialogue between data and theory). </w:t>
            </w:r>
          </w:p>
        </w:tc>
      </w:tr>
    </w:tbl>
    <w:p w14:paraId="275A4074" w14:textId="77777777" w:rsidR="009C2BF6" w:rsidRPr="00630370" w:rsidRDefault="009C2BF6" w:rsidP="00630370">
      <w:pPr>
        <w:spacing w:line="360" w:lineRule="auto"/>
        <w:ind w:hanging="284"/>
        <w:jc w:val="both"/>
      </w:pPr>
    </w:p>
    <w:p w14:paraId="4C675B03" w14:textId="77777777" w:rsidR="00DB4EF4" w:rsidRPr="00630370" w:rsidRDefault="00DB4EF4" w:rsidP="00630370">
      <w:pPr>
        <w:spacing w:line="360" w:lineRule="auto"/>
        <w:jc w:val="both"/>
      </w:pPr>
    </w:p>
    <w:sectPr w:rsidR="00DB4EF4" w:rsidRPr="00630370" w:rsidSect="00BB4EE0">
      <w:footerReference w:type="even" r:id="rId6"/>
      <w:footerReference w:type="default" r:id="rId7"/>
      <w:pgSz w:w="16840" w:h="11900" w:orient="landscape"/>
      <w:pgMar w:top="1021"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8619EA" w14:textId="77777777" w:rsidR="00AB37AF" w:rsidRDefault="00AB37AF">
      <w:r>
        <w:separator/>
      </w:r>
    </w:p>
  </w:endnote>
  <w:endnote w:type="continuationSeparator" w:id="0">
    <w:p w14:paraId="69C2B403" w14:textId="77777777" w:rsidR="00AB37AF" w:rsidRDefault="00AB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F8C0E" w14:textId="77777777" w:rsidR="005D165D" w:rsidRDefault="009C2BF6" w:rsidP="00F372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9CD2AC" w14:textId="77777777" w:rsidR="005D165D" w:rsidRDefault="009E4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BAC7D" w14:textId="77777777" w:rsidR="005D165D" w:rsidRPr="00672BD5" w:rsidRDefault="009C2BF6" w:rsidP="00F3720F">
    <w:pPr>
      <w:pStyle w:val="Footer"/>
      <w:framePr w:wrap="around" w:vAnchor="text" w:hAnchor="margin" w:xAlign="center" w:y="1"/>
      <w:rPr>
        <w:rStyle w:val="PageNumber"/>
        <w:sz w:val="18"/>
        <w:szCs w:val="18"/>
      </w:rPr>
    </w:pPr>
    <w:r w:rsidRPr="00672BD5">
      <w:rPr>
        <w:rStyle w:val="PageNumber"/>
        <w:sz w:val="18"/>
        <w:szCs w:val="18"/>
      </w:rPr>
      <w:fldChar w:fldCharType="begin"/>
    </w:r>
    <w:r w:rsidRPr="00672BD5">
      <w:rPr>
        <w:rStyle w:val="PageNumber"/>
        <w:sz w:val="18"/>
        <w:szCs w:val="18"/>
      </w:rPr>
      <w:instrText xml:space="preserve">PAGE  </w:instrText>
    </w:r>
    <w:r w:rsidRPr="00672BD5">
      <w:rPr>
        <w:rStyle w:val="PageNumber"/>
        <w:sz w:val="18"/>
        <w:szCs w:val="18"/>
      </w:rPr>
      <w:fldChar w:fldCharType="separate"/>
    </w:r>
    <w:r>
      <w:rPr>
        <w:rStyle w:val="PageNumber"/>
        <w:noProof/>
        <w:sz w:val="18"/>
        <w:szCs w:val="18"/>
      </w:rPr>
      <w:t>5</w:t>
    </w:r>
    <w:r w:rsidRPr="00672BD5">
      <w:rPr>
        <w:rStyle w:val="PageNumber"/>
        <w:sz w:val="18"/>
        <w:szCs w:val="18"/>
      </w:rPr>
      <w:fldChar w:fldCharType="end"/>
    </w:r>
  </w:p>
  <w:p w14:paraId="1B251872" w14:textId="77777777" w:rsidR="005D165D" w:rsidRPr="00672BD5" w:rsidRDefault="009E4246">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F2B5C" w14:textId="77777777" w:rsidR="00AB37AF" w:rsidRDefault="00AB37AF">
      <w:r>
        <w:separator/>
      </w:r>
    </w:p>
  </w:footnote>
  <w:footnote w:type="continuationSeparator" w:id="0">
    <w:p w14:paraId="048340A3" w14:textId="77777777" w:rsidR="00AB37AF" w:rsidRDefault="00AB37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BF6"/>
    <w:rsid w:val="005E0FB8"/>
    <w:rsid w:val="00630370"/>
    <w:rsid w:val="008B693D"/>
    <w:rsid w:val="009C2BF6"/>
    <w:rsid w:val="009E4246"/>
    <w:rsid w:val="00AB37AF"/>
    <w:rsid w:val="00BB4EE0"/>
    <w:rsid w:val="00BC01C2"/>
    <w:rsid w:val="00C900D7"/>
    <w:rsid w:val="00DB4EF4"/>
    <w:rsid w:val="00FF7B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BC7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BF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C2BF6"/>
    <w:pPr>
      <w:tabs>
        <w:tab w:val="center" w:pos="4536"/>
        <w:tab w:val="right" w:pos="9072"/>
      </w:tabs>
    </w:pPr>
  </w:style>
  <w:style w:type="character" w:customStyle="1" w:styleId="FooterChar">
    <w:name w:val="Footer Char"/>
    <w:basedOn w:val="DefaultParagraphFont"/>
    <w:link w:val="Footer"/>
    <w:uiPriority w:val="99"/>
    <w:rsid w:val="009C2BF6"/>
    <w:rPr>
      <w:lang w:val="en-GB"/>
    </w:rPr>
  </w:style>
  <w:style w:type="character" w:styleId="PageNumber">
    <w:name w:val="page number"/>
    <w:basedOn w:val="DefaultParagraphFont"/>
    <w:uiPriority w:val="99"/>
    <w:semiHidden/>
    <w:unhideWhenUsed/>
    <w:rsid w:val="009C2BF6"/>
  </w:style>
  <w:style w:type="paragraph" w:styleId="BalloonText">
    <w:name w:val="Balloon Text"/>
    <w:basedOn w:val="Normal"/>
    <w:link w:val="BalloonTextChar"/>
    <w:uiPriority w:val="99"/>
    <w:semiHidden/>
    <w:unhideWhenUsed/>
    <w:rsid w:val="00BB4E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EE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6795</Characters>
  <Application>Microsoft Office Word</Application>
  <DocSecurity>0</DocSecurity>
  <Lines>56</Lines>
  <Paragraphs>15</Paragraphs>
  <ScaleCrop>false</ScaleCrop>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2020-06-10T07:28:00Z</dcterms:created>
  <dcterms:modified xsi:type="dcterms:W3CDTF">2020-10-26T14:06:00Z</dcterms:modified>
</cp:coreProperties>
</file>