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FE085A" w14:textId="3170FDAE" w:rsidR="003A0A66" w:rsidRPr="003A0A66" w:rsidRDefault="00737559" w:rsidP="003A0A66">
      <w:pPr>
        <w:pStyle w:val="Koptekst"/>
        <w:rPr>
          <w:color w:val="222222"/>
          <w:sz w:val="24"/>
          <w:szCs w:val="24"/>
          <w:shd w:val="clear" w:color="auto" w:fill="FFFFFF"/>
        </w:rPr>
      </w:pPr>
      <w:r>
        <w:rPr>
          <w:b/>
          <w:sz w:val="24"/>
          <w:szCs w:val="24"/>
        </w:rPr>
        <w:t xml:space="preserve">Appendix </w:t>
      </w:r>
      <w:r w:rsidR="003A0A66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>. Glossary</w:t>
      </w:r>
      <w:r w:rsidR="003A0A66">
        <w:rPr>
          <w:b/>
          <w:sz w:val="24"/>
          <w:szCs w:val="24"/>
        </w:rPr>
        <w:br/>
      </w:r>
      <w:bookmarkStart w:id="0" w:name="_GoBack"/>
      <w:r w:rsidR="003A0A66" w:rsidRPr="003A0A66">
        <w:rPr>
          <w:color w:val="222222"/>
          <w:sz w:val="24"/>
          <w:szCs w:val="24"/>
          <w:shd w:val="clear" w:color="auto" w:fill="FFFFFF"/>
        </w:rPr>
        <w:t>“Guidelines for reporting research using Systematic Coding of Observed human Behaviour (SCOBe)</w:t>
      </w:r>
      <w:r w:rsidR="003A0A66" w:rsidRPr="003A0A66">
        <w:rPr>
          <w:color w:val="222222"/>
          <w:sz w:val="24"/>
          <w:szCs w:val="24"/>
          <w:shd w:val="clear" w:color="auto" w:fill="FFFFFF"/>
        </w:rPr>
        <w:t xml:space="preserve">”; Hillen et al.; Quality and Quantity </w:t>
      </w:r>
      <w:r w:rsidR="003A0A66" w:rsidRPr="003A0A66">
        <w:rPr>
          <w:color w:val="222222"/>
          <w:sz w:val="24"/>
          <w:szCs w:val="24"/>
          <w:shd w:val="clear" w:color="auto" w:fill="FFFFFF"/>
        </w:rPr>
        <w:t xml:space="preserve"> </w:t>
      </w:r>
    </w:p>
    <w:p w14:paraId="658A7CE3" w14:textId="5C25C781" w:rsidR="003A0A66" w:rsidRPr="003A0A66" w:rsidRDefault="003A0A66" w:rsidP="003A0A66">
      <w:pPr>
        <w:pStyle w:val="Koptekst"/>
        <w:rPr>
          <w:color w:val="222222"/>
          <w:sz w:val="24"/>
          <w:szCs w:val="24"/>
          <w:shd w:val="clear" w:color="auto" w:fill="FFFFFF"/>
        </w:rPr>
      </w:pPr>
      <w:r w:rsidRPr="003A0A66">
        <w:rPr>
          <w:color w:val="222222"/>
          <w:sz w:val="24"/>
          <w:szCs w:val="24"/>
          <w:shd w:val="clear" w:color="auto" w:fill="FFFFFF"/>
        </w:rPr>
        <w:t xml:space="preserve">Corresponding author affiliation: Dr. M.A. Hillen; </w:t>
      </w:r>
      <w:r w:rsidRPr="003A0A66">
        <w:rPr>
          <w:color w:val="222222"/>
          <w:sz w:val="24"/>
          <w:szCs w:val="24"/>
          <w:shd w:val="clear" w:color="auto" w:fill="FFFFFF"/>
        </w:rPr>
        <w:t>Dep</w:t>
      </w:r>
      <w:r w:rsidRPr="003A0A66">
        <w:rPr>
          <w:color w:val="222222"/>
          <w:sz w:val="24"/>
          <w:szCs w:val="24"/>
          <w:shd w:val="clear" w:color="auto" w:fill="FFFFFF"/>
        </w:rPr>
        <w:t>.</w:t>
      </w:r>
      <w:r w:rsidRPr="003A0A66">
        <w:rPr>
          <w:color w:val="222222"/>
          <w:sz w:val="24"/>
          <w:szCs w:val="24"/>
          <w:shd w:val="clear" w:color="auto" w:fill="FFFFFF"/>
        </w:rPr>
        <w:t xml:space="preserve"> Medical Psychology, Amsterdam Public Health, Amsterdam UMC, Amsterdam, the Netherlands; </w:t>
      </w:r>
      <w:hyperlink r:id="rId6" w:history="1">
        <w:r w:rsidRPr="003A0A66">
          <w:rPr>
            <w:rStyle w:val="Hyperlink"/>
            <w:sz w:val="24"/>
            <w:szCs w:val="24"/>
            <w:shd w:val="clear" w:color="auto" w:fill="FFFFFF"/>
          </w:rPr>
          <w:t>m.a.hillen@amsterdamumc.nl</w:t>
        </w:r>
      </w:hyperlink>
      <w:r w:rsidRPr="003A0A66">
        <w:rPr>
          <w:color w:val="222222"/>
          <w:sz w:val="24"/>
          <w:szCs w:val="24"/>
          <w:shd w:val="clear" w:color="auto" w:fill="FFFFFF"/>
        </w:rPr>
        <w:t xml:space="preserve"> </w:t>
      </w:r>
    </w:p>
    <w:bookmarkEnd w:id="0"/>
    <w:p w14:paraId="6B00DB08" w14:textId="7E18E10E" w:rsidR="00737559" w:rsidRDefault="00737559" w:rsidP="00737559">
      <w:pPr>
        <w:rPr>
          <w:sz w:val="24"/>
          <w:szCs w:val="24"/>
        </w:rPr>
      </w:pPr>
    </w:p>
    <w:p w14:paraId="1ADFB752" w14:textId="77777777" w:rsidR="00737559" w:rsidRDefault="00737559" w:rsidP="00737559"/>
    <w:p w14:paraId="1388908B" w14:textId="732D94B6" w:rsidR="00737559" w:rsidRPr="00CB6A44" w:rsidRDefault="00737559" w:rsidP="00737559">
      <w:r w:rsidRPr="00CB6A44">
        <w:rPr>
          <w:b/>
        </w:rPr>
        <w:t xml:space="preserve">Behaviour: </w:t>
      </w:r>
      <w:r w:rsidRPr="00CB6A44">
        <w:t>The term ‘behaviour’ is used in a broad sense, following the definition by the America</w:t>
      </w:r>
      <w:r>
        <w:t>n Psychological Association as ‘</w:t>
      </w:r>
      <w:r w:rsidRPr="00CB6A44">
        <w:t>an organism’s activities in response to external or internal stimuli, including objectively observable activities, introspectively observable activities (see covert behaviour</w:t>
      </w:r>
      <w:r>
        <w:t>), and nonconscious processes</w:t>
      </w:r>
      <w:r w:rsidR="00892ACC">
        <w:t xml:space="preserve">’ </w:t>
      </w:r>
      <w:r w:rsidR="00892ACC">
        <w:fldChar w:fldCharType="begin"/>
      </w:r>
      <w:r w:rsidR="00B07B5E">
        <w:instrText xml:space="preserve"> ADDIN EN.CITE &lt;EndNote&gt;&lt;Cite&gt;&lt;Author&gt;Mauss&lt;/Author&gt;&lt;Year&gt;2009&lt;/Year&gt;&lt;RecNum&gt;40&lt;/RecNum&gt;&lt;DisplayText&gt;(Mauss &amp;amp; Robinson, 2009)&lt;/DisplayText&gt;&lt;record&gt;&lt;rec-number&gt;40&lt;/rec-number&gt;&lt;foreign-keys&gt;&lt;key app="EN" db-id="dzrdxzzfxzdepae0er75trdqr50p022t59aw" timestamp="1692963895"&gt;40&lt;/key&gt;&lt;/foreign-keys&gt;&lt;ref-type name="Journal Article"&gt;17&lt;/ref-type&gt;&lt;contributors&gt;&lt;authors&gt;&lt;author&gt;Mauss, Iris B&lt;/author&gt;&lt;author&gt;Robinson, Michael D&lt;/author&gt;&lt;/authors&gt;&lt;/contributors&gt;&lt;titles&gt;&lt;title&gt;Measures of emotion: A review&lt;/title&gt;&lt;secondary-title&gt;Cognition and emotion&lt;/secondary-title&gt;&lt;/titles&gt;&lt;periodical&gt;&lt;full-title&gt;Cognition and emotion&lt;/full-title&gt;&lt;/periodical&gt;&lt;pages&gt;209-237&lt;/pages&gt;&lt;volume&gt;23&lt;/volume&gt;&lt;number&gt;2&lt;/number&gt;&lt;dates&gt;&lt;year&gt;2009&lt;/year&gt;&lt;/dates&gt;&lt;isbn&gt;0269-9931&lt;/isbn&gt;&lt;urls&gt;&lt;/urls&gt;&lt;/record&gt;&lt;/Cite&gt;&lt;/EndNote&gt;</w:instrText>
      </w:r>
      <w:r w:rsidR="00892ACC">
        <w:fldChar w:fldCharType="separate"/>
      </w:r>
      <w:r w:rsidR="00B07B5E">
        <w:rPr>
          <w:noProof/>
        </w:rPr>
        <w:t>(Mauss &amp; Robinson, 2009)</w:t>
      </w:r>
      <w:r w:rsidR="00892ACC">
        <w:fldChar w:fldCharType="end"/>
      </w:r>
      <w:r w:rsidR="00892ACC">
        <w:t>.</w:t>
      </w:r>
      <w:r w:rsidRPr="00CB6A44">
        <w:t xml:space="preserve"> Hence, whenever we use the term ‘behaviour’, this may also refer to an individual’s emotions, states or attributes.</w:t>
      </w:r>
      <w:r w:rsidR="00892ACC">
        <w:t xml:space="preserve"> </w:t>
      </w:r>
      <w:r w:rsidR="00892ACC" w:rsidRPr="00892ACC">
        <w:t>Additionally, although human behaviour was the main point of reference during the development process, the presented guidelines may be applicable to a broader range of subjects, including animals and robots.</w:t>
      </w:r>
    </w:p>
    <w:p w14:paraId="791DF078" w14:textId="77777777" w:rsidR="00737559" w:rsidRPr="00CB6A44" w:rsidRDefault="00737559" w:rsidP="00737559">
      <w:pPr>
        <w:rPr>
          <w:b/>
        </w:rPr>
      </w:pPr>
    </w:p>
    <w:p w14:paraId="0C9F32D8" w14:textId="77777777" w:rsidR="00737559" w:rsidRPr="00CB6A44" w:rsidRDefault="00737559" w:rsidP="00737559">
      <w:r w:rsidRPr="00CB6A44">
        <w:rPr>
          <w:b/>
        </w:rPr>
        <w:t xml:space="preserve">Code (alternative terms: label, measure, behaviour): </w:t>
      </w:r>
      <w:r w:rsidRPr="00CB6A44">
        <w:t>A meaningful, pre-defined identifier that classifies, categorises, and/or represents a specific measure or behaviour. Several codes combined may constitute an ‘overarching code’ or dimension.</w:t>
      </w:r>
    </w:p>
    <w:p w14:paraId="526E36B3" w14:textId="77777777" w:rsidR="00737559" w:rsidRPr="00CB6A44" w:rsidRDefault="00737559" w:rsidP="00737559"/>
    <w:p w14:paraId="69354DA3" w14:textId="77777777" w:rsidR="00737559" w:rsidRPr="00CB6A44" w:rsidRDefault="00737559" w:rsidP="00737559">
      <w:pPr>
        <w:rPr>
          <w:color w:val="FF0000"/>
        </w:rPr>
      </w:pPr>
      <w:r w:rsidRPr="00CB6A44">
        <w:rPr>
          <w:b/>
        </w:rPr>
        <w:t xml:space="preserve">Codebook (alternative terms: coding manual, guide, instructions): </w:t>
      </w:r>
      <w:r w:rsidRPr="00CB6A44">
        <w:t>A document that provides detailed instructions and guidelines for coding data, the coding scheme, and examples of how to apply the codes.</w:t>
      </w:r>
      <w:r w:rsidRPr="00CB6A44">
        <w:rPr>
          <w:color w:val="FF0000"/>
        </w:rPr>
        <w:t xml:space="preserve"> </w:t>
      </w:r>
    </w:p>
    <w:p w14:paraId="3CF05389" w14:textId="77777777" w:rsidR="00737559" w:rsidRPr="00CB6A44" w:rsidRDefault="00737559" w:rsidP="00737559">
      <w:pPr>
        <w:rPr>
          <w:b/>
        </w:rPr>
      </w:pPr>
    </w:p>
    <w:p w14:paraId="6AC18921" w14:textId="1736AABD" w:rsidR="00737559" w:rsidRDefault="00737559" w:rsidP="0073755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 w:rsidRPr="00CB6A44">
        <w:rPr>
          <w:b/>
          <w:color w:val="000000"/>
        </w:rPr>
        <w:t>Coded data:</w:t>
      </w:r>
      <w:r w:rsidRPr="00CB6A44">
        <w:rPr>
          <w:color w:val="000000"/>
        </w:rPr>
        <w:t xml:space="preserve"> Data that result from applying the coding</w:t>
      </w:r>
      <w:r>
        <w:rPr>
          <w:color w:val="000000"/>
        </w:rPr>
        <w:t xml:space="preserve"> scheme to the source data. </w:t>
      </w:r>
    </w:p>
    <w:p w14:paraId="05F4E099" w14:textId="1A6B2CCE" w:rsidR="00737559" w:rsidRDefault="00737559" w:rsidP="00737559">
      <w:pPr>
        <w:rPr>
          <w:b/>
        </w:rPr>
      </w:pPr>
    </w:p>
    <w:p w14:paraId="1E58F812" w14:textId="1ACA8516" w:rsidR="00737559" w:rsidRPr="005275B8" w:rsidRDefault="00737559" w:rsidP="00737559">
      <w:r>
        <w:rPr>
          <w:b/>
        </w:rPr>
        <w:t xml:space="preserve">Coder drift (alternative term: observer drift): </w:t>
      </w:r>
      <w:r>
        <w:t>The phenomenon of coders changing the manner in which they apply the behavioural codes over time</w:t>
      </w:r>
      <w:r w:rsidR="00892ACC">
        <w:t xml:space="preserve"> </w:t>
      </w:r>
      <w:r w:rsidR="00892ACC">
        <w:fldChar w:fldCharType="begin"/>
      </w:r>
      <w:r w:rsidR="00B07B5E">
        <w:instrText xml:space="preserve"> ADDIN EN.CITE &lt;EndNote&gt;&lt;Cite&gt;&lt;Author&gt;Harris&lt;/Author&gt;&lt;Year&gt;1982&lt;/Year&gt;&lt;RecNum&gt;47&lt;/RecNum&gt;&lt;Suffix&gt;`, p.544&lt;/Suffix&gt;&lt;DisplayText&gt;(Harris &amp;amp; Lahey, 1982, p.544)&lt;/DisplayText&gt;&lt;record&gt;&lt;rec-number&gt;47&lt;/rec-number&gt;&lt;foreign-keys&gt;&lt;key app="EN" db-id="dzrdxzzfxzdepae0er75trdqr50p022t59aw" timestamp="1692964213"&gt;47&lt;/key&gt;&lt;/foreign-keys&gt;&lt;ref-type name="Journal Article"&gt;17&lt;/ref-type&gt;&lt;contributors&gt;&lt;authors&gt;&lt;author&gt;Harris, Francis C&lt;/author&gt;&lt;author&gt;Lahey, Benjamin B&lt;/author&gt;&lt;/authors&gt;&lt;/contributors&gt;&lt;titles&gt;&lt;title&gt;Subject reactivity in direct observational assessment: A review and critical analysis&lt;/title&gt;&lt;secondary-title&gt;Clinical Psychology Review&lt;/secondary-title&gt;&lt;/titles&gt;&lt;periodical&gt;&lt;full-title&gt;Clinical Psychology Review&lt;/full-title&gt;&lt;/periodical&gt;&lt;pages&gt;523-538&lt;/pages&gt;&lt;volume&gt;2&lt;/volume&gt;&lt;number&gt;4&lt;/number&gt;&lt;dates&gt;&lt;year&gt;1982&lt;/year&gt;&lt;/dates&gt;&lt;isbn&gt;0272-7358&lt;/isbn&gt;&lt;urls&gt;&lt;/urls&gt;&lt;/record&gt;&lt;/Cite&gt;&lt;/EndNote&gt;</w:instrText>
      </w:r>
      <w:r w:rsidR="00892ACC">
        <w:fldChar w:fldCharType="separate"/>
      </w:r>
      <w:r w:rsidR="00B07B5E">
        <w:rPr>
          <w:noProof/>
        </w:rPr>
        <w:t>(Harris &amp; Lahey, 1982, p.544)</w:t>
      </w:r>
      <w:r w:rsidR="00892ACC">
        <w:fldChar w:fldCharType="end"/>
      </w:r>
      <w:r>
        <w:t>. C</w:t>
      </w:r>
      <w:r w:rsidRPr="005275B8">
        <w:t xml:space="preserve">onsensual coder drift </w:t>
      </w:r>
      <w:r>
        <w:t>is</w:t>
      </w:r>
      <w:r>
        <w:rPr>
          <w:b/>
        </w:rPr>
        <w:t xml:space="preserve"> </w:t>
      </w:r>
      <w:r>
        <w:t xml:space="preserve">the phenomenon of coders adjusting their interpretations to agree with other coders for stronger inter-observer agreement. </w:t>
      </w:r>
    </w:p>
    <w:p w14:paraId="56317DA4" w14:textId="77777777" w:rsidR="00737559" w:rsidRDefault="00737559" w:rsidP="00737559"/>
    <w:p w14:paraId="43ADD1C6" w14:textId="77777777" w:rsidR="00737559" w:rsidRPr="00CB6A44" w:rsidRDefault="00737559" w:rsidP="00737559">
      <w:r>
        <w:rPr>
          <w:b/>
        </w:rPr>
        <w:t xml:space="preserve">Coding scheme (alternative </w:t>
      </w:r>
      <w:r w:rsidRPr="00CB6A44">
        <w:rPr>
          <w:b/>
        </w:rPr>
        <w:t xml:space="preserve">terms: ethogram, template, schedule, reference): </w:t>
      </w:r>
      <w:r w:rsidRPr="00CB6A44">
        <w:t xml:space="preserve">A </w:t>
      </w:r>
      <w:r>
        <w:t>catalogue</w:t>
      </w:r>
      <w:r w:rsidRPr="00CB6A44">
        <w:t xml:space="preserve"> or directory of codes (including code definitions and abbreviations), often detailing the organisation, grouping</w:t>
      </w:r>
      <w:r w:rsidR="00A3356F">
        <w:t>,</w:t>
      </w:r>
      <w:r w:rsidRPr="00CB6A44">
        <w:t xml:space="preserve"> or hierarchy of codes within a coding system.</w:t>
      </w:r>
    </w:p>
    <w:p w14:paraId="69CB9731" w14:textId="2372C7D8" w:rsidR="00737559" w:rsidRPr="007875A7" w:rsidRDefault="00737559" w:rsidP="00737559">
      <w:pPr>
        <w:rPr>
          <w:b/>
        </w:rPr>
      </w:pPr>
    </w:p>
    <w:p w14:paraId="4274200C" w14:textId="77777777" w:rsidR="00737559" w:rsidRDefault="00737559" w:rsidP="0073755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b/>
          <w:color w:val="000000"/>
        </w:rPr>
        <w:t>Source data:</w:t>
      </w:r>
      <w:r>
        <w:rPr>
          <w:color w:val="000000"/>
        </w:rPr>
        <w:t xml:space="preserve"> Initial observations to which the coding scheme is applied (e.g., video clips).</w:t>
      </w:r>
    </w:p>
    <w:p w14:paraId="7BFE3FC0" w14:textId="77777777" w:rsidR="00737559" w:rsidRDefault="00737559" w:rsidP="00737559">
      <w:pPr>
        <w:spacing w:before="240" w:after="240"/>
        <w:rPr>
          <w:b/>
        </w:rPr>
      </w:pPr>
    </w:p>
    <w:p w14:paraId="0E58DB75" w14:textId="77777777" w:rsidR="00892ACC" w:rsidRDefault="00892ACC">
      <w:pPr>
        <w:rPr>
          <w:b/>
        </w:rPr>
      </w:pPr>
    </w:p>
    <w:p w14:paraId="37510F1A" w14:textId="77777777" w:rsidR="00892ACC" w:rsidRDefault="00892ACC">
      <w:pPr>
        <w:rPr>
          <w:b/>
        </w:rPr>
      </w:pPr>
    </w:p>
    <w:p w14:paraId="243CC8F9" w14:textId="77777777" w:rsidR="00B07B5E" w:rsidRPr="003A0A66" w:rsidRDefault="00892ACC" w:rsidP="00B07B5E">
      <w:pPr>
        <w:pStyle w:val="EndNoteBibliographyTitle"/>
        <w:rPr>
          <w:lang w:val="en-US"/>
        </w:rPr>
      </w:pPr>
      <w:r>
        <w:fldChar w:fldCharType="begin"/>
      </w:r>
      <w:r w:rsidRPr="003A0A66">
        <w:rPr>
          <w:lang w:val="en-US"/>
        </w:rPr>
        <w:instrText xml:space="preserve"> ADDIN EN.REFLIST </w:instrText>
      </w:r>
      <w:r>
        <w:fldChar w:fldCharType="separate"/>
      </w:r>
      <w:r w:rsidR="00B07B5E" w:rsidRPr="003A0A66">
        <w:rPr>
          <w:lang w:val="en-US"/>
        </w:rPr>
        <w:t>References</w:t>
      </w:r>
    </w:p>
    <w:p w14:paraId="7736DE93" w14:textId="77777777" w:rsidR="00B07B5E" w:rsidRPr="003A0A66" w:rsidRDefault="00B07B5E" w:rsidP="00B07B5E">
      <w:pPr>
        <w:pStyle w:val="EndNoteBibliographyTitle"/>
        <w:rPr>
          <w:lang w:val="en-US"/>
        </w:rPr>
      </w:pPr>
    </w:p>
    <w:p w14:paraId="0EE7217E" w14:textId="77777777" w:rsidR="00B07B5E" w:rsidRPr="003A0A66" w:rsidRDefault="00B07B5E" w:rsidP="00B07B5E">
      <w:pPr>
        <w:pStyle w:val="EndNoteBibliography"/>
        <w:ind w:left="720" w:hanging="720"/>
        <w:rPr>
          <w:lang w:val="en-US"/>
        </w:rPr>
      </w:pPr>
      <w:r w:rsidRPr="003A0A66">
        <w:rPr>
          <w:lang w:val="en-US"/>
        </w:rPr>
        <w:t xml:space="preserve">Harris, F. C., &amp; Lahey, B. B. (1982). Subject reactivity in direct observational assessment: A review and critical analysis. </w:t>
      </w:r>
      <w:r w:rsidRPr="003A0A66">
        <w:rPr>
          <w:i/>
          <w:lang w:val="en-US"/>
        </w:rPr>
        <w:t>Clinical Psychology Review</w:t>
      </w:r>
      <w:r w:rsidRPr="003A0A66">
        <w:rPr>
          <w:lang w:val="en-US"/>
        </w:rPr>
        <w:t>,</w:t>
      </w:r>
      <w:r w:rsidRPr="003A0A66">
        <w:rPr>
          <w:i/>
          <w:lang w:val="en-US"/>
        </w:rPr>
        <w:t xml:space="preserve"> 2</w:t>
      </w:r>
      <w:r w:rsidRPr="003A0A66">
        <w:rPr>
          <w:lang w:val="en-US"/>
        </w:rPr>
        <w:t xml:space="preserve">(4), 523-538.  </w:t>
      </w:r>
    </w:p>
    <w:p w14:paraId="59C410D0" w14:textId="77777777" w:rsidR="00B07B5E" w:rsidRPr="00B07B5E" w:rsidRDefault="00B07B5E" w:rsidP="00B07B5E">
      <w:pPr>
        <w:pStyle w:val="EndNoteBibliography"/>
        <w:ind w:left="720" w:hanging="720"/>
      </w:pPr>
      <w:r w:rsidRPr="003A0A66">
        <w:rPr>
          <w:lang w:val="en-US"/>
        </w:rPr>
        <w:t xml:space="preserve">Mauss, I. B., &amp; Robinson, M. D. (2009). Measures of emotion: A review. </w:t>
      </w:r>
      <w:r w:rsidRPr="00B07B5E">
        <w:rPr>
          <w:i/>
        </w:rPr>
        <w:t>Cognition and emotion</w:t>
      </w:r>
      <w:r w:rsidRPr="00B07B5E">
        <w:t>,</w:t>
      </w:r>
      <w:r w:rsidRPr="00B07B5E">
        <w:rPr>
          <w:i/>
        </w:rPr>
        <w:t xml:space="preserve"> 23</w:t>
      </w:r>
      <w:r w:rsidRPr="00B07B5E">
        <w:t xml:space="preserve">(2), 209-237.  </w:t>
      </w:r>
    </w:p>
    <w:p w14:paraId="63E0AF52" w14:textId="1C5DE918" w:rsidR="00D54980" w:rsidRPr="00737559" w:rsidRDefault="00892ACC">
      <w:pPr>
        <w:rPr>
          <w:b/>
        </w:rPr>
      </w:pPr>
      <w:r>
        <w:rPr>
          <w:b/>
        </w:rPr>
        <w:fldChar w:fldCharType="end"/>
      </w:r>
    </w:p>
    <w:sectPr w:rsidR="00D54980" w:rsidRPr="007375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D628129" w16cid:durableId="28A453A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280C53" w14:textId="77777777" w:rsidR="003A0A66" w:rsidRDefault="003A0A66" w:rsidP="003A0A66">
      <w:pPr>
        <w:spacing w:line="240" w:lineRule="auto"/>
      </w:pPr>
      <w:r>
        <w:separator/>
      </w:r>
    </w:p>
  </w:endnote>
  <w:endnote w:type="continuationSeparator" w:id="0">
    <w:p w14:paraId="67E679AB" w14:textId="77777777" w:rsidR="003A0A66" w:rsidRDefault="003A0A66" w:rsidP="003A0A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67C99C" w14:textId="77777777" w:rsidR="003A0A66" w:rsidRDefault="003A0A66" w:rsidP="003A0A66">
      <w:pPr>
        <w:spacing w:line="240" w:lineRule="auto"/>
      </w:pPr>
      <w:r>
        <w:separator/>
      </w:r>
    </w:p>
  </w:footnote>
  <w:footnote w:type="continuationSeparator" w:id="0">
    <w:p w14:paraId="7C198384" w14:textId="77777777" w:rsidR="003A0A66" w:rsidRDefault="003A0A66" w:rsidP="003A0A6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TF-Standard APA Copy&lt;/Style&gt;&lt;LeftDelim&gt;{&lt;/LeftDelim&gt;&lt;RightDelim&gt;}&lt;/RightDelim&gt;&lt;FontName&gt;Arial&lt;/FontName&gt;&lt;FontSize&gt;11&lt;/FontSize&gt;&lt;ReflistTitle&gt;References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zrdxzzfxzdepae0er75trdqr50p022t59aw&quot;&gt;SCOBe reporting guidelines&lt;record-ids&gt;&lt;item&gt;40&lt;/item&gt;&lt;item&gt;47&lt;/item&gt;&lt;/record-ids&gt;&lt;/item&gt;&lt;/Libraries&gt;"/>
  </w:docVars>
  <w:rsids>
    <w:rsidRoot w:val="00737559"/>
    <w:rsid w:val="0023462E"/>
    <w:rsid w:val="003A0A66"/>
    <w:rsid w:val="00737559"/>
    <w:rsid w:val="00892ACC"/>
    <w:rsid w:val="009B7D0B"/>
    <w:rsid w:val="00A3356F"/>
    <w:rsid w:val="00B07B5E"/>
    <w:rsid w:val="00B53F04"/>
    <w:rsid w:val="00D54980"/>
    <w:rsid w:val="00DB0847"/>
    <w:rsid w:val="00FD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37C5F2"/>
  <w15:chartTrackingRefBased/>
  <w15:docId w15:val="{240D27C6-D612-4566-AE16-B2D37F6D1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737559"/>
    <w:pPr>
      <w:spacing w:line="276" w:lineRule="auto"/>
    </w:pPr>
    <w:rPr>
      <w:rFonts w:ascii="Arial" w:eastAsia="Arial" w:hAnsi="Arial" w:cs="Arial"/>
      <w:sz w:val="22"/>
      <w:szCs w:val="22"/>
      <w:lang w:val="en-GB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A3356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3356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3356F"/>
    <w:rPr>
      <w:rFonts w:ascii="Arial" w:eastAsia="Arial" w:hAnsi="Arial" w:cs="Arial"/>
      <w:lang w:val="en-GB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3356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3356F"/>
    <w:rPr>
      <w:rFonts w:ascii="Arial" w:eastAsia="Arial" w:hAnsi="Arial" w:cs="Arial"/>
      <w:b/>
      <w:bCs/>
      <w:lang w:val="en-GB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3356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3356F"/>
    <w:rPr>
      <w:rFonts w:ascii="Segoe UI" w:eastAsia="Arial" w:hAnsi="Segoe UI" w:cs="Segoe UI"/>
      <w:sz w:val="18"/>
      <w:szCs w:val="18"/>
      <w:lang w:val="en-GB" w:eastAsia="nl-NL"/>
    </w:rPr>
  </w:style>
  <w:style w:type="paragraph" w:customStyle="1" w:styleId="EndNoteBibliographyTitle">
    <w:name w:val="EndNote Bibliography Title"/>
    <w:basedOn w:val="Standaard"/>
    <w:link w:val="EndNoteBibliographyTitleChar"/>
    <w:rsid w:val="00892ACC"/>
    <w:pPr>
      <w:jc w:val="center"/>
    </w:pPr>
    <w:rPr>
      <w:noProof/>
      <w:lang w:val="nl-NL"/>
    </w:rPr>
  </w:style>
  <w:style w:type="character" w:customStyle="1" w:styleId="EndNoteBibliographyTitleChar">
    <w:name w:val="EndNote Bibliography Title Char"/>
    <w:basedOn w:val="Standaardalinea-lettertype"/>
    <w:link w:val="EndNoteBibliographyTitle"/>
    <w:rsid w:val="00892ACC"/>
    <w:rPr>
      <w:rFonts w:ascii="Arial" w:eastAsia="Arial" w:hAnsi="Arial" w:cs="Arial"/>
      <w:noProof/>
      <w:sz w:val="22"/>
      <w:szCs w:val="22"/>
      <w:lang w:eastAsia="nl-NL"/>
    </w:rPr>
  </w:style>
  <w:style w:type="paragraph" w:customStyle="1" w:styleId="EndNoteBibliography">
    <w:name w:val="EndNote Bibliography"/>
    <w:basedOn w:val="Standaard"/>
    <w:link w:val="EndNoteBibliographyChar"/>
    <w:rsid w:val="00892ACC"/>
    <w:pPr>
      <w:spacing w:line="240" w:lineRule="auto"/>
    </w:pPr>
    <w:rPr>
      <w:noProof/>
      <w:lang w:val="nl-NL"/>
    </w:rPr>
  </w:style>
  <w:style w:type="character" w:customStyle="1" w:styleId="EndNoteBibliographyChar">
    <w:name w:val="EndNote Bibliography Char"/>
    <w:basedOn w:val="Standaardalinea-lettertype"/>
    <w:link w:val="EndNoteBibliography"/>
    <w:rsid w:val="00892ACC"/>
    <w:rPr>
      <w:rFonts w:ascii="Arial" w:eastAsia="Arial" w:hAnsi="Arial" w:cs="Arial"/>
      <w:noProof/>
      <w:sz w:val="22"/>
      <w:szCs w:val="22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3A0A66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A0A66"/>
    <w:rPr>
      <w:rFonts w:ascii="Arial" w:eastAsia="Arial" w:hAnsi="Arial" w:cs="Arial"/>
      <w:sz w:val="22"/>
      <w:szCs w:val="22"/>
      <w:lang w:val="en-GB" w:eastAsia="nl-NL"/>
    </w:rPr>
  </w:style>
  <w:style w:type="paragraph" w:styleId="Voettekst">
    <w:name w:val="footer"/>
    <w:basedOn w:val="Standaard"/>
    <w:link w:val="VoettekstChar"/>
    <w:uiPriority w:val="99"/>
    <w:unhideWhenUsed/>
    <w:rsid w:val="003A0A66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A0A66"/>
    <w:rPr>
      <w:rFonts w:ascii="Arial" w:eastAsia="Arial" w:hAnsi="Arial" w:cs="Arial"/>
      <w:sz w:val="22"/>
      <w:szCs w:val="22"/>
      <w:lang w:val="en-GB" w:eastAsia="nl-NL"/>
    </w:rPr>
  </w:style>
  <w:style w:type="character" w:styleId="Hyperlink">
    <w:name w:val="Hyperlink"/>
    <w:basedOn w:val="Standaardalinea-lettertype"/>
    <w:uiPriority w:val="99"/>
    <w:unhideWhenUsed/>
    <w:rsid w:val="003A0A6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.a.hillen@amsterdamumc.n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659</Words>
  <Characters>3627</Characters>
  <Application>Microsoft Office Word</Application>
  <DocSecurity>0</DocSecurity>
  <Lines>30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AMC</Company>
  <LinksUpToDate>false</LinksUpToDate>
  <CharactersWithSpaces>4278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Hillen, M.A. (Marij)</dc:creator>
  <cp:keywords/>
  <dc:description/>
  <cp:lastModifiedBy>Hillen, M.A. (Marij)</cp:lastModifiedBy>
  <cp:revision>8</cp:revision>
  <dcterms:created xsi:type="dcterms:W3CDTF">2023-09-07T11:49:00Z</dcterms:created>
  <dcterms:modified xsi:type="dcterms:W3CDTF">2024-01-09T13:48:00Z</dcterms:modified>
</cp:coreProperties>
</file>