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26F" w:rsidRPr="0054626F" w:rsidRDefault="0054626F" w:rsidP="0054626F">
      <w:pPr>
        <w:spacing w:line="480" w:lineRule="auto"/>
        <w:jc w:val="center"/>
        <w:rPr>
          <w:rFonts w:ascii="Times" w:eastAsia="Arial" w:hAnsi="Times" w:cs="Arial"/>
          <w:b/>
          <w:bCs/>
          <w:color w:val="000000" w:themeColor="text1"/>
          <w:sz w:val="48"/>
          <w:szCs w:val="48"/>
          <w:lang w:val="en-US"/>
        </w:rPr>
      </w:pPr>
      <w:r w:rsidRPr="0054626F">
        <w:rPr>
          <w:rFonts w:ascii="Times" w:eastAsia="Arial" w:hAnsi="Times" w:cs="Arial"/>
          <w:b/>
          <w:bCs/>
          <w:color w:val="000000" w:themeColor="text1"/>
          <w:sz w:val="48"/>
          <w:szCs w:val="48"/>
          <w:lang w:val="en-US"/>
        </w:rPr>
        <w:t>Quality of life in people with dementia living in nursing homes: Validation of an eight-item version of the QUALIDEM for intensive longitudinal assessment</w:t>
      </w:r>
    </w:p>
    <w:p w:rsidR="008F3E78" w:rsidRPr="006608AC" w:rsidRDefault="008F3E78" w:rsidP="008F3E78">
      <w:pPr>
        <w:spacing w:line="480" w:lineRule="auto"/>
        <w:jc w:val="center"/>
        <w:rPr>
          <w:rFonts w:ascii="Times" w:eastAsia="Arial" w:hAnsi="Times" w:cs="Arial"/>
          <w:b/>
          <w:bCs/>
          <w:color w:val="000000" w:themeColor="text1"/>
          <w:sz w:val="26"/>
          <w:szCs w:val="26"/>
          <w:lang w:val="en-US"/>
        </w:rPr>
      </w:pPr>
    </w:p>
    <w:p w:rsidR="008F3E78" w:rsidRPr="000A5F9C" w:rsidRDefault="008F3E78" w:rsidP="008F3E78">
      <w:pPr>
        <w:rPr>
          <w:lang w:val="en-US"/>
        </w:rPr>
      </w:pPr>
      <w:r w:rsidRPr="000A5F9C">
        <w:rPr>
          <w:rFonts w:ascii="Times" w:eastAsia="Arial" w:hAnsi="Times" w:cs="Arial"/>
          <w:color w:val="000000" w:themeColor="text1"/>
          <w:sz w:val="26"/>
          <w:szCs w:val="26"/>
          <w:lang w:val="en-US"/>
        </w:rPr>
        <w:t>Stefan Junge</w:t>
      </w:r>
      <w:r w:rsidRPr="000A5F9C">
        <w:rPr>
          <w:rFonts w:ascii="Times" w:eastAsia="Arial" w:hAnsi="Times" w:cs="Arial"/>
          <w:color w:val="000000" w:themeColor="text1"/>
          <w:sz w:val="26"/>
          <w:szCs w:val="26"/>
          <w:vertAlign w:val="superscript"/>
          <w:lang w:val="en-US"/>
        </w:rPr>
        <w:t>1(</w:t>
      </w:r>
      <w:r w:rsidRPr="000A5F9C">
        <w:rPr>
          <w:rFonts w:ascii="Arial" w:hAnsi="Arial" w:cs="Arial"/>
          <w:color w:val="494A4C"/>
          <w:sz w:val="23"/>
          <w:szCs w:val="23"/>
          <w:lang w:val="en-US"/>
        </w:rPr>
        <w:t>0000-0003-3150-1505</w:t>
      </w:r>
      <w:r w:rsidRPr="000A5F9C">
        <w:rPr>
          <w:rFonts w:ascii="Times" w:eastAsia="Arial" w:hAnsi="Times" w:cs="Arial"/>
          <w:color w:val="000000" w:themeColor="text1"/>
          <w:sz w:val="26"/>
          <w:szCs w:val="26"/>
          <w:lang w:val="en-US"/>
        </w:rPr>
        <w:t>), Paul Gellert</w:t>
      </w:r>
      <w:r w:rsidRPr="000A5F9C">
        <w:rPr>
          <w:rFonts w:ascii="Times" w:eastAsia="Arial" w:hAnsi="Times" w:cs="Arial"/>
          <w:color w:val="000000" w:themeColor="text1"/>
          <w:sz w:val="26"/>
          <w:szCs w:val="26"/>
          <w:vertAlign w:val="superscript"/>
          <w:lang w:val="en-US"/>
        </w:rPr>
        <w:t>1</w:t>
      </w:r>
      <w:r w:rsidR="005C5487" w:rsidRPr="000A5F9C">
        <w:rPr>
          <w:rFonts w:ascii="Times" w:eastAsia="Arial" w:hAnsi="Times" w:cs="Arial"/>
          <w:szCs w:val="26"/>
          <w:lang w:val="en-US"/>
        </w:rPr>
        <w:t>(0000-0001-7492-7210)</w:t>
      </w:r>
      <w:r w:rsidRPr="000A5F9C">
        <w:rPr>
          <w:rFonts w:ascii="Times" w:eastAsia="Arial" w:hAnsi="Times" w:cs="Arial"/>
          <w:color w:val="000000" w:themeColor="text1"/>
          <w:sz w:val="26"/>
          <w:szCs w:val="26"/>
          <w:lang w:val="en-US"/>
        </w:rPr>
        <w:t>, Julie Lorraine O'Sullivan</w:t>
      </w:r>
      <w:r w:rsidRPr="000A5F9C">
        <w:rPr>
          <w:rFonts w:ascii="Times" w:eastAsia="Arial" w:hAnsi="Times" w:cs="Arial"/>
          <w:color w:val="000000" w:themeColor="text1"/>
          <w:sz w:val="26"/>
          <w:szCs w:val="26"/>
          <w:vertAlign w:val="superscript"/>
          <w:lang w:val="en-US"/>
        </w:rPr>
        <w:t>1</w:t>
      </w:r>
      <w:r w:rsidRPr="000A5F9C">
        <w:rPr>
          <w:rFonts w:ascii="Times" w:eastAsia="Arial" w:hAnsi="Times" w:cs="Arial"/>
          <w:color w:val="000000" w:themeColor="text1"/>
          <w:sz w:val="26"/>
          <w:szCs w:val="26"/>
          <w:lang w:val="en-US"/>
        </w:rPr>
        <w:t>, Sebastian Möller</w:t>
      </w:r>
      <w:r w:rsidRPr="000A5F9C">
        <w:rPr>
          <w:rFonts w:ascii="Times" w:eastAsia="Arial" w:hAnsi="Times" w:cs="Arial"/>
          <w:color w:val="000000" w:themeColor="text1"/>
          <w:sz w:val="26"/>
          <w:szCs w:val="26"/>
          <w:vertAlign w:val="superscript"/>
          <w:lang w:val="en-US"/>
        </w:rPr>
        <w:t>2</w:t>
      </w:r>
      <w:r w:rsidRPr="000A5F9C">
        <w:rPr>
          <w:rFonts w:ascii="Times" w:eastAsia="Arial" w:hAnsi="Times" w:cs="Arial"/>
          <w:color w:val="000000" w:themeColor="text1"/>
          <w:sz w:val="26"/>
          <w:szCs w:val="26"/>
          <w:lang w:val="en-US"/>
        </w:rPr>
        <w:t>, Jan-</w:t>
      </w:r>
      <w:proofErr w:type="spellStart"/>
      <w:r w:rsidRPr="000A5F9C">
        <w:rPr>
          <w:rFonts w:ascii="Times" w:eastAsia="Arial" w:hAnsi="Times" w:cs="Arial"/>
          <w:color w:val="000000" w:themeColor="text1"/>
          <w:sz w:val="26"/>
          <w:szCs w:val="26"/>
          <w:lang w:val="en-US"/>
        </w:rPr>
        <w:t>Niklas</w:t>
      </w:r>
      <w:proofErr w:type="spellEnd"/>
      <w:r w:rsidRPr="000A5F9C">
        <w:rPr>
          <w:rFonts w:ascii="Times" w:eastAsia="Arial" w:hAnsi="Times" w:cs="Arial"/>
          <w:color w:val="000000" w:themeColor="text1"/>
          <w:sz w:val="26"/>
          <w:szCs w:val="26"/>
          <w:lang w:val="en-US"/>
        </w:rPr>
        <w:t xml:space="preserve"> Voigt-Antons</w:t>
      </w:r>
      <w:r w:rsidRPr="000A5F9C">
        <w:rPr>
          <w:rFonts w:ascii="Times" w:eastAsia="Arial" w:hAnsi="Times" w:cs="Arial"/>
          <w:color w:val="000000" w:themeColor="text1"/>
          <w:sz w:val="26"/>
          <w:szCs w:val="26"/>
          <w:vertAlign w:val="superscript"/>
          <w:lang w:val="en-US"/>
        </w:rPr>
        <w:t>2</w:t>
      </w:r>
      <w:r w:rsidR="005C5487" w:rsidRPr="000A5F9C">
        <w:rPr>
          <w:rFonts w:ascii="Times" w:eastAsia="Arial" w:hAnsi="Times" w:cs="Arial"/>
          <w:szCs w:val="26"/>
          <w:lang w:val="en-US"/>
        </w:rPr>
        <w:t>(0000-0002-2786-9262)</w:t>
      </w:r>
      <w:r w:rsidRPr="000A5F9C">
        <w:rPr>
          <w:rFonts w:ascii="Times" w:eastAsia="Arial" w:hAnsi="Times" w:cs="Arial"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0A5F9C">
        <w:rPr>
          <w:rFonts w:ascii="Times" w:eastAsia="Arial" w:hAnsi="Times" w:cs="Arial"/>
          <w:color w:val="000000" w:themeColor="text1"/>
          <w:sz w:val="26"/>
          <w:szCs w:val="26"/>
          <w:lang w:val="en-US"/>
        </w:rPr>
        <w:t>Adelheid</w:t>
      </w:r>
      <w:proofErr w:type="spellEnd"/>
      <w:r w:rsidRPr="000A5F9C">
        <w:rPr>
          <w:rFonts w:ascii="Times" w:eastAsia="Arial" w:hAnsi="Times" w:cs="Arial"/>
          <w:color w:val="000000" w:themeColor="text1"/>
          <w:sz w:val="26"/>
          <w:szCs w:val="26"/>
          <w:lang w:val="en-US"/>
        </w:rPr>
        <w:t xml:space="preserve"> Kuhlmey</w:t>
      </w:r>
      <w:r w:rsidRPr="000A5F9C">
        <w:rPr>
          <w:rFonts w:ascii="Times" w:eastAsia="Arial" w:hAnsi="Times" w:cs="Arial"/>
          <w:color w:val="000000" w:themeColor="text1"/>
          <w:sz w:val="26"/>
          <w:szCs w:val="26"/>
          <w:vertAlign w:val="superscript"/>
          <w:lang w:val="en-US"/>
        </w:rPr>
        <w:t>1</w:t>
      </w:r>
      <w:r w:rsidR="000A5F9C" w:rsidRPr="000A5F9C">
        <w:rPr>
          <w:lang w:val="en-US"/>
        </w:rPr>
        <w:t xml:space="preserve"> (0000-0003-4088-4675)</w:t>
      </w:r>
      <w:r w:rsidRPr="006608AC">
        <w:rPr>
          <w:rFonts w:ascii="Times" w:eastAsia="Arial" w:hAnsi="Times" w:cs="Arial"/>
          <w:color w:val="000000" w:themeColor="text1"/>
          <w:sz w:val="26"/>
          <w:szCs w:val="26"/>
          <w:lang w:val="en-US"/>
        </w:rPr>
        <w:t>, Johanna Nordheim</w:t>
      </w:r>
      <w:r w:rsidRPr="006608AC">
        <w:rPr>
          <w:rFonts w:ascii="Times" w:eastAsia="Arial" w:hAnsi="Times" w:cs="Arial"/>
          <w:color w:val="000000" w:themeColor="text1"/>
          <w:sz w:val="26"/>
          <w:szCs w:val="26"/>
          <w:vertAlign w:val="superscript"/>
          <w:lang w:val="en-US"/>
        </w:rPr>
        <w:t>1</w:t>
      </w:r>
    </w:p>
    <w:p w:rsidR="008F3E78" w:rsidRPr="006608AC" w:rsidRDefault="008F3E78" w:rsidP="008F3E78">
      <w:pPr>
        <w:spacing w:line="480" w:lineRule="auto"/>
        <w:jc w:val="center"/>
        <w:rPr>
          <w:rFonts w:ascii="Times" w:eastAsia="Arial" w:hAnsi="Times" w:cs="Arial"/>
          <w:color w:val="000000" w:themeColor="text1"/>
          <w:sz w:val="26"/>
          <w:szCs w:val="26"/>
          <w:vertAlign w:val="superscript"/>
          <w:lang w:val="en-US"/>
        </w:rPr>
      </w:pPr>
    </w:p>
    <w:p w:rsidR="00614109" w:rsidRPr="00E972DB" w:rsidRDefault="008F3E78" w:rsidP="000822FF">
      <w:pPr>
        <w:outlineLvl w:val="0"/>
        <w:rPr>
          <w:lang w:val="en-US"/>
        </w:rPr>
      </w:pPr>
      <w:r>
        <w:rPr>
          <w:rFonts w:ascii="Times" w:eastAsia="Arial" w:hAnsi="Times" w:cs="Arial"/>
          <w:szCs w:val="26"/>
          <w:lang w:val="en-US"/>
        </w:rPr>
        <w:t xml:space="preserve">Corresponding author email: </w:t>
      </w:r>
      <w:proofErr w:type="gramStart"/>
      <w:r>
        <w:rPr>
          <w:rFonts w:ascii="Times" w:eastAsia="Arial" w:hAnsi="Times" w:cs="Arial"/>
          <w:szCs w:val="26"/>
          <w:lang w:val="en-US"/>
        </w:rPr>
        <w:t>stefan.junge@charite.de ;</w:t>
      </w:r>
      <w:proofErr w:type="gramEnd"/>
      <w:r>
        <w:rPr>
          <w:rFonts w:ascii="Times" w:eastAsia="Arial" w:hAnsi="Times" w:cs="Arial"/>
          <w:szCs w:val="26"/>
          <w:lang w:val="en-US"/>
        </w:rPr>
        <w:t xml:space="preserve"> </w:t>
      </w:r>
      <w:r w:rsidR="00614109">
        <w:rPr>
          <w:rFonts w:ascii="Times" w:eastAsia="Arial" w:hAnsi="Times" w:cs="Arial"/>
          <w:szCs w:val="26"/>
          <w:lang w:val="en-US"/>
        </w:rPr>
        <w:t xml:space="preserve">Tel.: </w:t>
      </w:r>
      <w:r w:rsidR="00614109" w:rsidRPr="00E972DB">
        <w:rPr>
          <w:rFonts w:ascii="Times" w:eastAsia="Arial" w:hAnsi="Times" w:cs="Arial"/>
          <w:szCs w:val="26"/>
          <w:lang w:val="en-US"/>
        </w:rPr>
        <w:t>+49 30 450 529 215</w:t>
      </w:r>
    </w:p>
    <w:p w:rsidR="00E0783D" w:rsidRDefault="00E0783D" w:rsidP="00E0783D">
      <w:pPr>
        <w:rPr>
          <w:rFonts w:ascii="Times" w:eastAsia="Arial" w:hAnsi="Times" w:cs="Arial"/>
          <w:b/>
          <w:bCs/>
          <w:sz w:val="32"/>
          <w:szCs w:val="32"/>
        </w:rPr>
      </w:pPr>
    </w:p>
    <w:p w:rsidR="00E0783D" w:rsidRDefault="00E0783D" w:rsidP="00E0783D">
      <w:pPr>
        <w:rPr>
          <w:rFonts w:ascii="Times" w:eastAsia="Arial" w:hAnsi="Times" w:cs="Arial"/>
          <w:b/>
          <w:bCs/>
          <w:sz w:val="32"/>
          <w:szCs w:val="32"/>
        </w:rPr>
      </w:pPr>
    </w:p>
    <w:p w:rsidR="00E0783D" w:rsidRDefault="00E0783D" w:rsidP="00E0783D">
      <w:pPr>
        <w:rPr>
          <w:rFonts w:ascii="Times" w:eastAsia="Arial" w:hAnsi="Times" w:cs="Arial"/>
          <w:b/>
          <w:bCs/>
          <w:sz w:val="32"/>
          <w:szCs w:val="32"/>
        </w:rPr>
      </w:pPr>
    </w:p>
    <w:p w:rsidR="00E0783D" w:rsidRDefault="00E0783D" w:rsidP="00E0783D">
      <w:pPr>
        <w:rPr>
          <w:rFonts w:ascii="Times" w:eastAsia="Arial" w:hAnsi="Times" w:cs="Arial"/>
          <w:b/>
          <w:bCs/>
          <w:sz w:val="32"/>
          <w:szCs w:val="32"/>
        </w:rPr>
      </w:pPr>
    </w:p>
    <w:p w:rsidR="00E0783D" w:rsidRDefault="00E0783D" w:rsidP="00E0783D">
      <w:pPr>
        <w:rPr>
          <w:rFonts w:ascii="Times" w:eastAsia="Arial" w:hAnsi="Times" w:cs="Arial"/>
          <w:b/>
          <w:bCs/>
          <w:sz w:val="32"/>
          <w:szCs w:val="32"/>
        </w:rPr>
      </w:pPr>
    </w:p>
    <w:p w:rsidR="000822FF" w:rsidRPr="00E0783D" w:rsidRDefault="00D238A0" w:rsidP="00E0783D">
      <w:pPr>
        <w:rPr>
          <w:rFonts w:ascii="Times" w:eastAsia="Arial" w:hAnsi="Times" w:cs="Arial"/>
          <w:lang w:val="en-US"/>
        </w:rPr>
      </w:pPr>
      <w:bookmarkStart w:id="0" w:name="_GoBack"/>
      <w:bookmarkEnd w:id="0"/>
      <w:r>
        <w:rPr>
          <w:rFonts w:ascii="Times" w:eastAsia="Arial" w:hAnsi="Times" w:cs="Arial"/>
          <w:b/>
          <w:bCs/>
          <w:sz w:val="32"/>
          <w:szCs w:val="32"/>
        </w:rPr>
        <w:t xml:space="preserve">Supplementary </w:t>
      </w:r>
      <w:r w:rsidR="000822FF" w:rsidRPr="000F2A78">
        <w:rPr>
          <w:rFonts w:ascii="Times" w:eastAsia="Arial" w:hAnsi="Times" w:cs="Arial"/>
          <w:b/>
          <w:bCs/>
          <w:sz w:val="32"/>
          <w:szCs w:val="32"/>
        </w:rPr>
        <w:t>TABLES</w:t>
      </w:r>
    </w:p>
    <w:p w:rsidR="00EF0429" w:rsidRDefault="00EF0429" w:rsidP="000822FF">
      <w:pPr>
        <w:spacing w:line="480" w:lineRule="auto"/>
        <w:rPr>
          <w:rFonts w:ascii="Times" w:eastAsia="Arial" w:hAnsi="Times" w:cs="Arial"/>
          <w:b/>
          <w:bCs/>
          <w:sz w:val="32"/>
          <w:szCs w:val="32"/>
        </w:rPr>
      </w:pPr>
    </w:p>
    <w:p w:rsidR="00EF0429" w:rsidRDefault="00EF0429" w:rsidP="000822FF">
      <w:pPr>
        <w:spacing w:line="480" w:lineRule="auto"/>
        <w:rPr>
          <w:rFonts w:ascii="Times" w:eastAsia="Arial" w:hAnsi="Times" w:cs="Arial"/>
          <w:b/>
          <w:bCs/>
          <w:sz w:val="32"/>
          <w:szCs w:val="32"/>
        </w:rPr>
      </w:pPr>
    </w:p>
    <w:p w:rsidR="00EF0429" w:rsidRDefault="00EF0429" w:rsidP="000822FF">
      <w:pPr>
        <w:spacing w:line="480" w:lineRule="auto"/>
        <w:rPr>
          <w:rFonts w:ascii="Times" w:hAnsi="Times"/>
          <w:b/>
          <w:bCs/>
          <w:sz w:val="26"/>
          <w:szCs w:val="2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78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  <w:gridCol w:w="703"/>
        <w:gridCol w:w="829"/>
      </w:tblGrid>
      <w:tr w:rsidR="000822FF" w:rsidRPr="000A6DE7" w:rsidTr="00D238A0">
        <w:trPr>
          <w:trHeight w:val="48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822FF" w:rsidRPr="00F758F0" w:rsidRDefault="000822FF" w:rsidP="000A6DE7">
            <w:pPr>
              <w:spacing w:line="480" w:lineRule="auto"/>
              <w:rPr>
                <w:rFonts w:ascii="Times" w:eastAsia="Arial" w:hAnsi="Times" w:cs="Arial"/>
                <w:lang w:val="en-US"/>
              </w:rPr>
            </w:pPr>
            <w:r w:rsidRPr="00F758F0">
              <w:rPr>
                <w:rFonts w:ascii="Times" w:eastAsia="Arial" w:hAnsi="Times" w:cs="Arial"/>
                <w:b/>
                <w:lang w:val="en-US"/>
              </w:rPr>
              <w:t>Supplementary Table S1.</w:t>
            </w:r>
            <w:r>
              <w:rPr>
                <w:rFonts w:ascii="Times" w:eastAsia="Arial" w:hAnsi="Times" w:cs="Arial"/>
                <w:b/>
                <w:lang w:val="en-US"/>
              </w:rPr>
              <w:t xml:space="preserve"> </w:t>
            </w:r>
            <w:r w:rsidRPr="00F758F0">
              <w:rPr>
                <w:rFonts w:ascii="Times" w:eastAsia="Arial" w:hAnsi="Times" w:cs="Arial"/>
                <w:b/>
                <w:lang w:val="en-US"/>
              </w:rPr>
              <w:t>Internal consistency of state-level quality of life by time point</w:t>
            </w:r>
          </w:p>
        </w:tc>
      </w:tr>
      <w:tr w:rsidR="000822FF" w:rsidRPr="00BF7FC0" w:rsidTr="00D238A0">
        <w:trPr>
          <w:trHeight w:val="22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i/>
                <w:iCs/>
              </w:rPr>
            </w:pPr>
            <w:r w:rsidRPr="00015D5E">
              <w:rPr>
                <w:rFonts w:ascii="Times" w:eastAsia="Arial" w:hAnsi="Times" w:cs="Arial"/>
                <w:i/>
                <w:iCs/>
              </w:rPr>
              <w:t>Time point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0 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1 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2 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3 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4 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5 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6 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7 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8 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9 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10 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11 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12 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13 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BF7FC0" w:rsidRDefault="000822FF" w:rsidP="000A6DE7">
            <w:pPr>
              <w:spacing w:line="480" w:lineRule="auto"/>
              <w:rPr>
                <w:rFonts w:ascii="Times" w:eastAsia="Arial" w:hAnsi="Times" w:cs="Arial"/>
                <w:sz w:val="26"/>
                <w:szCs w:val="26"/>
              </w:rPr>
            </w:pPr>
            <w:r w:rsidRPr="00BF7FC0">
              <w:rPr>
                <w:rFonts w:ascii="Times" w:eastAsia="Arial" w:hAnsi="Times" w:cs="Arial"/>
                <w:sz w:val="26"/>
                <w:szCs w:val="26"/>
              </w:rPr>
              <w:t>14 </w:t>
            </w:r>
          </w:p>
        </w:tc>
      </w:tr>
      <w:tr w:rsidR="000822FF" w:rsidRPr="00BF7FC0" w:rsidTr="00D238A0">
        <w:trPr>
          <w:trHeight w:val="225"/>
        </w:trPr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i/>
                <w:iCs/>
              </w:rPr>
            </w:pPr>
            <w:r w:rsidRPr="00015D5E">
              <w:rPr>
                <w:rFonts w:ascii="Times" w:eastAsia="Arial" w:hAnsi="Times" w:cs="Arial"/>
                <w:i/>
                <w:iCs/>
              </w:rPr>
              <w:t>Cronbach’salpha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.89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.88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.88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.88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.92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.91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.93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.93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.92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.94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.92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.89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.90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2FF" w:rsidRPr="00BF7FC0" w:rsidRDefault="000822FF" w:rsidP="000A6DE7">
            <w:pPr>
              <w:spacing w:line="480" w:lineRule="auto"/>
              <w:rPr>
                <w:rFonts w:ascii="Times" w:eastAsia="Arial" w:hAnsi="Times" w:cs="Arial"/>
                <w:sz w:val="26"/>
                <w:szCs w:val="26"/>
              </w:rPr>
            </w:pPr>
            <w:r w:rsidRPr="00BF7FC0">
              <w:rPr>
                <w:rFonts w:ascii="Times" w:eastAsia="Arial" w:hAnsi="Times" w:cs="Arial"/>
                <w:sz w:val="26"/>
                <w:szCs w:val="26"/>
              </w:rPr>
              <w:t>.92 </w:t>
            </w:r>
          </w:p>
        </w:tc>
      </w:tr>
      <w:tr w:rsidR="000822FF" w:rsidRPr="00BF7FC0" w:rsidTr="00D238A0">
        <w:trPr>
          <w:trHeight w:val="225"/>
        </w:trPr>
        <w:tc>
          <w:tcPr>
            <w:tcW w:w="9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i/>
                <w:iCs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2FF" w:rsidRPr="00BF7FC0" w:rsidRDefault="000822FF" w:rsidP="000A6DE7">
            <w:pPr>
              <w:spacing w:line="480" w:lineRule="auto"/>
              <w:rPr>
                <w:rFonts w:ascii="Times" w:eastAsia="Arial" w:hAnsi="Times" w:cs="Arial"/>
                <w:sz w:val="26"/>
                <w:szCs w:val="26"/>
              </w:rPr>
            </w:pPr>
          </w:p>
        </w:tc>
      </w:tr>
      <w:tr w:rsidR="000822FF" w:rsidRPr="00BF7FC0" w:rsidTr="00D238A0">
        <w:trPr>
          <w:trHeight w:val="22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i/>
                <w:iCs/>
              </w:rPr>
            </w:pPr>
            <w:r w:rsidRPr="00015D5E">
              <w:rPr>
                <w:rFonts w:ascii="Times" w:eastAsia="Arial" w:hAnsi="Times" w:cs="Arial"/>
                <w:i/>
                <w:iCs/>
              </w:rPr>
              <w:t>Time point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15 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16 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17 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18 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19 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20 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21 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22 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23 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24 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25 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26 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27 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28 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BF7FC0" w:rsidRDefault="000822FF" w:rsidP="000A6DE7">
            <w:pPr>
              <w:spacing w:line="480" w:lineRule="auto"/>
              <w:rPr>
                <w:rFonts w:ascii="Times" w:eastAsia="Arial" w:hAnsi="Times" w:cs="Arial"/>
                <w:sz w:val="26"/>
                <w:szCs w:val="26"/>
              </w:rPr>
            </w:pPr>
          </w:p>
        </w:tc>
      </w:tr>
      <w:tr w:rsidR="000822FF" w:rsidRPr="00BF7FC0" w:rsidTr="00D238A0">
        <w:trPr>
          <w:trHeight w:val="22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i/>
                <w:iCs/>
              </w:rPr>
            </w:pPr>
            <w:r w:rsidRPr="00015D5E">
              <w:rPr>
                <w:rFonts w:ascii="Times" w:eastAsia="Arial" w:hAnsi="Times" w:cs="Arial"/>
                <w:i/>
                <w:iCs/>
              </w:rPr>
              <w:t>Cronbach’salpha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.90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.91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.94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.90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.95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.96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.93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.97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.90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.98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.99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.88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X 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</w:rPr>
            </w:pPr>
            <w:r w:rsidRPr="00015D5E">
              <w:rPr>
                <w:rFonts w:ascii="Times" w:eastAsia="Arial" w:hAnsi="Times" w:cs="Arial"/>
              </w:rPr>
              <w:t>X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:rsidR="000822FF" w:rsidRPr="00BF7FC0" w:rsidRDefault="000822FF" w:rsidP="000A6DE7">
            <w:pPr>
              <w:spacing w:line="480" w:lineRule="auto"/>
              <w:rPr>
                <w:rFonts w:ascii="Times" w:eastAsia="Arial" w:hAnsi="Times" w:cs="Arial"/>
                <w:sz w:val="26"/>
                <w:szCs w:val="26"/>
              </w:rPr>
            </w:pPr>
          </w:p>
        </w:tc>
      </w:tr>
    </w:tbl>
    <w:p w:rsidR="000822FF" w:rsidRDefault="000822FF" w:rsidP="000822FF">
      <w:pPr>
        <w:spacing w:line="480" w:lineRule="auto"/>
        <w:rPr>
          <w:rFonts w:ascii="Times" w:hAnsi="Times"/>
          <w:sz w:val="26"/>
          <w:szCs w:val="26"/>
        </w:rPr>
        <w:sectPr w:rsidR="000822FF" w:rsidSect="0084673D">
          <w:pgSz w:w="16840" w:h="11900" w:orient="landscape"/>
          <w:pgMar w:top="1417" w:right="1417" w:bottom="1417" w:left="1134" w:header="708" w:footer="708" w:gutter="0"/>
          <w:cols w:space="708"/>
          <w:docGrid w:linePitch="360"/>
        </w:sectPr>
      </w:pPr>
    </w:p>
    <w:tbl>
      <w:tblPr>
        <w:tblStyle w:val="TableGrid"/>
        <w:tblW w:w="90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4350"/>
        <w:gridCol w:w="1091"/>
        <w:gridCol w:w="1241"/>
        <w:gridCol w:w="1240"/>
        <w:gridCol w:w="1139"/>
      </w:tblGrid>
      <w:tr w:rsidR="000822FF" w:rsidRPr="000A6DE7" w:rsidTr="000A6DE7">
        <w:tc>
          <w:tcPr>
            <w:tcW w:w="9061" w:type="dxa"/>
            <w:gridSpan w:val="5"/>
            <w:tcBorders>
              <w:bottom w:val="single" w:sz="4" w:space="0" w:color="auto"/>
            </w:tcBorders>
          </w:tcPr>
          <w:p w:rsidR="000822FF" w:rsidRPr="00F758F0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b/>
                <w:bCs/>
                <w:color w:val="000000" w:themeColor="text1"/>
                <w:lang w:val="en-US"/>
              </w:rPr>
              <w:lastRenderedPageBreak/>
              <w:t>Supplementary Table S2. Retest-reliability of state-level quality of life</w:t>
            </w:r>
          </w:p>
        </w:tc>
      </w:tr>
      <w:tr w:rsidR="000822FF" w:rsidRPr="00BF7FC0" w:rsidTr="000A6DE7">
        <w:tc>
          <w:tcPr>
            <w:tcW w:w="4350" w:type="dxa"/>
            <w:tcBorders>
              <w:top w:val="single" w:sz="4" w:space="0" w:color="auto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</w:p>
        </w:tc>
        <w:tc>
          <w:tcPr>
            <w:tcW w:w="1091" w:type="dxa"/>
            <w:tcBorders>
              <w:top w:val="single" w:sz="4" w:space="0" w:color="auto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</w:rPr>
              <w:t>Beta</w:t>
            </w: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</w:rPr>
              <w:t>P-value </w:t>
            </w:r>
          </w:p>
        </w:tc>
        <w:tc>
          <w:tcPr>
            <w:tcW w:w="1240" w:type="dxa"/>
            <w:tcBorders>
              <w:top w:val="single" w:sz="4" w:space="0" w:color="auto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CI min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CI max</w:t>
            </w:r>
          </w:p>
        </w:tc>
      </w:tr>
      <w:tr w:rsidR="000822FF" w:rsidRPr="00BF7FC0" w:rsidTr="00D238A0">
        <w:tc>
          <w:tcPr>
            <w:tcW w:w="4350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i/>
                <w:iCs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i/>
                <w:iCs/>
                <w:color w:val="000000" w:themeColor="text1"/>
                <w:lang w:val="en-US"/>
              </w:rPr>
              <w:t>Model 1</w:t>
            </w:r>
          </w:p>
        </w:tc>
        <w:tc>
          <w:tcPr>
            <w:tcW w:w="1091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</w:p>
        </w:tc>
        <w:tc>
          <w:tcPr>
            <w:tcW w:w="1241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</w:p>
        </w:tc>
        <w:tc>
          <w:tcPr>
            <w:tcW w:w="1240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</w:p>
        </w:tc>
        <w:tc>
          <w:tcPr>
            <w:tcW w:w="1139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</w:p>
        </w:tc>
      </w:tr>
      <w:tr w:rsidR="000822FF" w:rsidRPr="00BF7FC0" w:rsidTr="00D238A0">
        <w:tc>
          <w:tcPr>
            <w:tcW w:w="4350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 xml:space="preserve">   State-level </w:t>
            </w:r>
            <w:proofErr w:type="spellStart"/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QoL</w:t>
            </w:r>
            <w:proofErr w:type="spellEnd"/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, lag1</w:t>
            </w:r>
          </w:p>
        </w:tc>
        <w:tc>
          <w:tcPr>
            <w:tcW w:w="1091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.40</w:t>
            </w:r>
          </w:p>
        </w:tc>
        <w:tc>
          <w:tcPr>
            <w:tcW w:w="1241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&lt;.001</w:t>
            </w:r>
          </w:p>
        </w:tc>
        <w:tc>
          <w:tcPr>
            <w:tcW w:w="1240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.36</w:t>
            </w:r>
          </w:p>
        </w:tc>
        <w:tc>
          <w:tcPr>
            <w:tcW w:w="1139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.44</w:t>
            </w:r>
          </w:p>
        </w:tc>
      </w:tr>
      <w:tr w:rsidR="000822FF" w:rsidRPr="00BF7FC0" w:rsidTr="000A6DE7">
        <w:tc>
          <w:tcPr>
            <w:tcW w:w="4350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i/>
                <w:iCs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i/>
                <w:iCs/>
                <w:color w:val="000000" w:themeColor="text1"/>
                <w:lang w:val="en-US"/>
              </w:rPr>
              <w:t>Model 2</w:t>
            </w:r>
          </w:p>
        </w:tc>
        <w:tc>
          <w:tcPr>
            <w:tcW w:w="1091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</w:p>
        </w:tc>
        <w:tc>
          <w:tcPr>
            <w:tcW w:w="1241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</w:p>
        </w:tc>
        <w:tc>
          <w:tcPr>
            <w:tcW w:w="1240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</w:p>
        </w:tc>
        <w:tc>
          <w:tcPr>
            <w:tcW w:w="1139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</w:p>
        </w:tc>
      </w:tr>
      <w:tr w:rsidR="000822FF" w:rsidRPr="00BF7FC0" w:rsidTr="00D238A0">
        <w:tc>
          <w:tcPr>
            <w:tcW w:w="4350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 xml:space="preserve">   State-level </w:t>
            </w:r>
            <w:proofErr w:type="spellStart"/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QoL</w:t>
            </w:r>
            <w:proofErr w:type="spellEnd"/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 xml:space="preserve">, lag2 </w:t>
            </w:r>
          </w:p>
        </w:tc>
        <w:tc>
          <w:tcPr>
            <w:tcW w:w="1091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.36</w:t>
            </w:r>
          </w:p>
        </w:tc>
        <w:tc>
          <w:tcPr>
            <w:tcW w:w="1241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&lt;.001</w:t>
            </w:r>
          </w:p>
        </w:tc>
        <w:tc>
          <w:tcPr>
            <w:tcW w:w="1240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31</w:t>
            </w:r>
          </w:p>
        </w:tc>
        <w:tc>
          <w:tcPr>
            <w:tcW w:w="1139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40</w:t>
            </w:r>
          </w:p>
        </w:tc>
      </w:tr>
      <w:tr w:rsidR="000822FF" w:rsidRPr="00BF7FC0" w:rsidTr="00D238A0">
        <w:tc>
          <w:tcPr>
            <w:tcW w:w="4350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i/>
                <w:iCs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i/>
                <w:iCs/>
                <w:color w:val="000000" w:themeColor="text1"/>
                <w:lang w:val="en-US"/>
              </w:rPr>
              <w:t>Model 3</w:t>
            </w:r>
          </w:p>
        </w:tc>
        <w:tc>
          <w:tcPr>
            <w:tcW w:w="1091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</w:p>
        </w:tc>
        <w:tc>
          <w:tcPr>
            <w:tcW w:w="1241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</w:p>
        </w:tc>
        <w:tc>
          <w:tcPr>
            <w:tcW w:w="1240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</w:p>
        </w:tc>
        <w:tc>
          <w:tcPr>
            <w:tcW w:w="1139" w:type="dxa"/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</w:p>
        </w:tc>
      </w:tr>
      <w:tr w:rsidR="000822FF" w:rsidRPr="00BF7FC0" w:rsidTr="00D238A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 xml:space="preserve">   State-level </w:t>
            </w:r>
            <w:proofErr w:type="spellStart"/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QoL</w:t>
            </w:r>
            <w:proofErr w:type="spellEnd"/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 xml:space="preserve">, lag1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.32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&lt;.001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.27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.36</w:t>
            </w:r>
          </w:p>
        </w:tc>
      </w:tr>
      <w:tr w:rsidR="000822FF" w:rsidRPr="00BF7FC0" w:rsidTr="00D238A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 xml:space="preserve">   State-level </w:t>
            </w:r>
            <w:proofErr w:type="spellStart"/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QoL</w:t>
            </w:r>
            <w:proofErr w:type="spellEnd"/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, lag2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.23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&lt;.001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.19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>.27</w:t>
            </w:r>
          </w:p>
        </w:tc>
      </w:tr>
      <w:tr w:rsidR="000822FF" w:rsidRPr="000822FF" w:rsidTr="00D238A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90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2FF" w:rsidRPr="00015D5E" w:rsidRDefault="000822FF" w:rsidP="000A6DE7">
            <w:pPr>
              <w:spacing w:line="480" w:lineRule="auto"/>
              <w:rPr>
                <w:rFonts w:ascii="Times" w:eastAsia="Arial" w:hAnsi="Times" w:cs="Arial"/>
                <w:color w:val="000000" w:themeColor="text1"/>
                <w:lang w:val="en-US"/>
              </w:rPr>
            </w:pPr>
            <w:r w:rsidRPr="00015D5E">
              <w:rPr>
                <w:rFonts w:ascii="Times" w:eastAsia="Arial" w:hAnsi="Times" w:cs="Arial"/>
                <w:i/>
                <w:iCs/>
                <w:color w:val="000000" w:themeColor="text1"/>
                <w:lang w:val="en-US"/>
              </w:rPr>
              <w:t xml:space="preserve">Note. </w:t>
            </w:r>
            <w:r w:rsidRPr="00015D5E">
              <w:rPr>
                <w:rFonts w:ascii="Times" w:eastAsia="Arial" w:hAnsi="Times" w:cs="Arial"/>
                <w:color w:val="000000" w:themeColor="text1"/>
                <w:lang w:val="en-US"/>
              </w:rPr>
              <w:t xml:space="preserve">Lag1=association of time point (t) with one time point lagged (t-1); Lag2=lagged across two time points (t-2) </w:t>
            </w:r>
          </w:p>
        </w:tc>
      </w:tr>
    </w:tbl>
    <w:p w:rsidR="000822FF" w:rsidRDefault="000822FF">
      <w:pPr>
        <w:rPr>
          <w:rFonts w:ascii="Times" w:eastAsia="Arial" w:hAnsi="Times" w:cs="Arial"/>
          <w:lang w:val="en-US"/>
        </w:rPr>
      </w:pPr>
    </w:p>
    <w:sectPr w:rsidR="000822FF" w:rsidSect="000A5F9C"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00000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CB4"/>
    <w:rsid w:val="00074542"/>
    <w:rsid w:val="0008163B"/>
    <w:rsid w:val="000822FF"/>
    <w:rsid w:val="00083699"/>
    <w:rsid w:val="000A59A1"/>
    <w:rsid w:val="000A5F9C"/>
    <w:rsid w:val="000C1DEC"/>
    <w:rsid w:val="00190A9A"/>
    <w:rsid w:val="001B1DE3"/>
    <w:rsid w:val="00343C30"/>
    <w:rsid w:val="004B0F91"/>
    <w:rsid w:val="0054626F"/>
    <w:rsid w:val="005C4135"/>
    <w:rsid w:val="005C5487"/>
    <w:rsid w:val="005D1664"/>
    <w:rsid w:val="00614109"/>
    <w:rsid w:val="00617BFC"/>
    <w:rsid w:val="006C280B"/>
    <w:rsid w:val="006C5D08"/>
    <w:rsid w:val="00720345"/>
    <w:rsid w:val="00720845"/>
    <w:rsid w:val="00745F9B"/>
    <w:rsid w:val="007C7D29"/>
    <w:rsid w:val="00831111"/>
    <w:rsid w:val="008F3E78"/>
    <w:rsid w:val="00921644"/>
    <w:rsid w:val="0096371B"/>
    <w:rsid w:val="00A17CB4"/>
    <w:rsid w:val="00A9572C"/>
    <w:rsid w:val="00AA4889"/>
    <w:rsid w:val="00AC1762"/>
    <w:rsid w:val="00B050B9"/>
    <w:rsid w:val="00CC5F2F"/>
    <w:rsid w:val="00CF2954"/>
    <w:rsid w:val="00D238A0"/>
    <w:rsid w:val="00D77378"/>
    <w:rsid w:val="00DF1B30"/>
    <w:rsid w:val="00E0783D"/>
    <w:rsid w:val="00E439EA"/>
    <w:rsid w:val="00EF0429"/>
    <w:rsid w:val="00F34D19"/>
    <w:rsid w:val="00FC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3CE5A0-C819-4042-A221-A4824E20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CB4"/>
    <w:rPr>
      <w:rFonts w:ascii="Times New Roman" w:eastAsia="Times New Roman" w:hAnsi="Times New Roman" w:cs="Times New Roman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A17CB4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A17CB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Junge</dc:creator>
  <cp:keywords/>
  <dc:description/>
  <cp:lastModifiedBy>Ramya R.</cp:lastModifiedBy>
  <cp:revision>4</cp:revision>
  <dcterms:created xsi:type="dcterms:W3CDTF">2020-01-08T21:38:00Z</dcterms:created>
  <dcterms:modified xsi:type="dcterms:W3CDTF">2020-01-09T08:19:00Z</dcterms:modified>
</cp:coreProperties>
</file>